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56" w:rsidRPr="00701CB2" w:rsidRDefault="00391C0C" w:rsidP="00BF1556">
      <w:pPr>
        <w:spacing w:after="0" w:line="240" w:lineRule="auto"/>
        <w:jc w:val="center"/>
        <w:rPr>
          <w:rFonts w:ascii="Arial" w:hAnsi="Arial"/>
          <w:b/>
          <w:bCs/>
          <w:sz w:val="28"/>
          <w:szCs w:val="28"/>
          <w:u w:val="single"/>
          <w:rtl/>
          <w:lang w:val="fr-MA"/>
        </w:rPr>
      </w:pPr>
      <w:r>
        <w:rPr>
          <w:noProof/>
          <w:lang w:val="fr-FR" w:eastAsia="fr-FR"/>
        </w:rPr>
        <w:drawing>
          <wp:anchor distT="0" distB="0" distL="114300" distR="114300" simplePos="0" relativeHeight="251658240" behindDoc="1" locked="0" layoutInCell="1" allowOverlap="1">
            <wp:simplePos x="0" y="0"/>
            <wp:positionH relativeFrom="margin">
              <wp:posOffset>4326890</wp:posOffset>
            </wp:positionH>
            <wp:positionV relativeFrom="paragraph">
              <wp:posOffset>-17145</wp:posOffset>
            </wp:positionV>
            <wp:extent cx="1596390" cy="690880"/>
            <wp:effectExtent l="19050" t="0" r="3810" b="0"/>
            <wp:wrapTight wrapText="bothSides">
              <wp:wrapPolygon edited="0">
                <wp:start x="-258" y="0"/>
                <wp:lineTo x="-258" y="20846"/>
                <wp:lineTo x="21652" y="20846"/>
                <wp:lineTo x="21652" y="0"/>
                <wp:lineTo x="-258" y="0"/>
              </wp:wrapPolygon>
            </wp:wrapTight>
            <wp:docPr id="3" name="Imag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2"/>
                    <pic:cNvPicPr>
                      <a:picLocks noChangeAspect="1" noChangeArrowheads="1"/>
                    </pic:cNvPicPr>
                  </pic:nvPicPr>
                  <pic:blipFill>
                    <a:blip r:embed="rId4"/>
                    <a:srcRect/>
                    <a:stretch>
                      <a:fillRect/>
                    </a:stretch>
                  </pic:blipFill>
                  <pic:spPr bwMode="auto">
                    <a:xfrm>
                      <a:off x="0" y="0"/>
                      <a:ext cx="1596390" cy="69088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7216" behindDoc="0" locked="0" layoutInCell="1" allowOverlap="1">
            <wp:simplePos x="0" y="0"/>
            <wp:positionH relativeFrom="margin">
              <wp:posOffset>236220</wp:posOffset>
            </wp:positionH>
            <wp:positionV relativeFrom="margin">
              <wp:posOffset>-145415</wp:posOffset>
            </wp:positionV>
            <wp:extent cx="990600" cy="843280"/>
            <wp:effectExtent l="19050" t="0" r="0" b="0"/>
            <wp:wrapSquare wrapText="bothSides"/>
            <wp:docPr id="2" name="Image 0" descr="Description : HCP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HCP LOGO 1.jpg"/>
                    <pic:cNvPicPr>
                      <a:picLocks noChangeAspect="1" noChangeArrowheads="1"/>
                    </pic:cNvPicPr>
                  </pic:nvPicPr>
                  <pic:blipFill>
                    <a:blip r:embed="rId5"/>
                    <a:srcRect/>
                    <a:stretch>
                      <a:fillRect/>
                    </a:stretch>
                  </pic:blipFill>
                  <pic:spPr bwMode="auto">
                    <a:xfrm>
                      <a:off x="0" y="0"/>
                      <a:ext cx="990600" cy="843280"/>
                    </a:xfrm>
                    <a:prstGeom prst="rect">
                      <a:avLst/>
                    </a:prstGeom>
                    <a:noFill/>
                    <a:ln w="9525">
                      <a:noFill/>
                      <a:miter lim="800000"/>
                      <a:headEnd/>
                      <a:tailEnd/>
                    </a:ln>
                  </pic:spPr>
                </pic:pic>
              </a:graphicData>
            </a:graphic>
          </wp:anchor>
        </w:drawing>
      </w:r>
    </w:p>
    <w:p w:rsidR="00BF1556" w:rsidRPr="00701CB2" w:rsidRDefault="00BF1556" w:rsidP="00BF1556">
      <w:pPr>
        <w:spacing w:after="0" w:line="240" w:lineRule="auto"/>
        <w:jc w:val="center"/>
        <w:rPr>
          <w:rFonts w:ascii="Arial" w:hAnsi="Arial"/>
          <w:b/>
          <w:bCs/>
          <w:sz w:val="28"/>
          <w:szCs w:val="28"/>
          <w:u w:val="single"/>
          <w:rtl/>
          <w:lang w:val="fr-MA"/>
        </w:rPr>
      </w:pPr>
    </w:p>
    <w:p w:rsidR="00BF1556" w:rsidRPr="00701CB2" w:rsidRDefault="00BF1556" w:rsidP="00BF1556">
      <w:pPr>
        <w:spacing w:after="0" w:line="240" w:lineRule="auto"/>
        <w:jc w:val="center"/>
        <w:rPr>
          <w:rFonts w:ascii="Arial" w:hAnsi="Arial"/>
          <w:b/>
          <w:bCs/>
          <w:sz w:val="28"/>
          <w:szCs w:val="28"/>
          <w:u w:val="single"/>
          <w:rtl/>
          <w:lang w:val="fr-MA"/>
        </w:rPr>
      </w:pPr>
    </w:p>
    <w:p w:rsidR="00BF1556" w:rsidRPr="00701CB2" w:rsidRDefault="00BF1556" w:rsidP="00BF1556">
      <w:pPr>
        <w:spacing w:after="0" w:line="240" w:lineRule="auto"/>
        <w:jc w:val="center"/>
        <w:rPr>
          <w:rFonts w:ascii="Arial" w:hAnsi="Arial"/>
          <w:b/>
          <w:bCs/>
          <w:sz w:val="28"/>
          <w:szCs w:val="28"/>
          <w:u w:val="single"/>
          <w:rtl/>
          <w:lang w:val="fr-MA"/>
        </w:rPr>
      </w:pPr>
    </w:p>
    <w:p w:rsidR="00BF1556" w:rsidRPr="00701CB2" w:rsidRDefault="00A1476B" w:rsidP="00BF1556">
      <w:pPr>
        <w:spacing w:after="0" w:line="240" w:lineRule="auto"/>
        <w:jc w:val="center"/>
        <w:rPr>
          <w:rFonts w:ascii="Arial" w:hAnsi="Arial"/>
          <w:b/>
          <w:bCs/>
          <w:sz w:val="28"/>
          <w:szCs w:val="28"/>
          <w:u w:val="single"/>
          <w:rtl/>
          <w:lang w:val="fr-MA"/>
        </w:rPr>
      </w:pPr>
      <w:r>
        <w:rPr>
          <w:rFonts w:ascii="Arial" w:hAnsi="Arial"/>
          <w:b/>
          <w:bCs/>
          <w:sz w:val="28"/>
          <w:szCs w:val="28"/>
          <w:u w:val="single"/>
          <w:lang w:val="fr-MA"/>
        </w:rPr>
        <w:t xml:space="preserve">       </w:t>
      </w:r>
    </w:p>
    <w:p w:rsidR="00BF1556" w:rsidRDefault="00391C0C" w:rsidP="00BF1556">
      <w:pPr>
        <w:spacing w:after="0" w:line="240" w:lineRule="auto"/>
        <w:jc w:val="center"/>
        <w:rPr>
          <w:rFonts w:ascii="Arial" w:hAnsi="Arial"/>
          <w:b/>
          <w:bCs/>
          <w:sz w:val="28"/>
          <w:szCs w:val="28"/>
          <w:u w:val="single"/>
          <w:lang w:val="fr-FR"/>
        </w:rPr>
      </w:pPr>
      <w:r>
        <w:rPr>
          <w:rFonts w:ascii="Arial" w:hAnsi="Arial"/>
          <w:b/>
          <w:bCs/>
          <w:sz w:val="28"/>
          <w:szCs w:val="28"/>
          <w:u w:val="single"/>
          <w:lang w:val="fr-FR"/>
        </w:rPr>
        <w:t xml:space="preserve"> </w:t>
      </w:r>
    </w:p>
    <w:p w:rsidR="00391C0C" w:rsidRPr="00701CB2" w:rsidRDefault="00391C0C" w:rsidP="00BF1556">
      <w:pPr>
        <w:spacing w:after="0" w:line="240" w:lineRule="auto"/>
        <w:jc w:val="center"/>
        <w:rPr>
          <w:rFonts w:ascii="Arial" w:hAnsi="Arial"/>
          <w:b/>
          <w:bCs/>
          <w:sz w:val="28"/>
          <w:szCs w:val="28"/>
          <w:u w:val="single"/>
          <w:lang w:val="fr-FR"/>
        </w:rPr>
      </w:pPr>
    </w:p>
    <w:p w:rsidR="00BF1556" w:rsidRPr="00701CB2" w:rsidRDefault="00BF1556" w:rsidP="00BF1556">
      <w:pPr>
        <w:spacing w:after="0" w:line="240" w:lineRule="auto"/>
        <w:jc w:val="center"/>
        <w:rPr>
          <w:rFonts w:ascii="Arial" w:hAnsi="Arial"/>
          <w:b/>
          <w:bCs/>
          <w:sz w:val="28"/>
          <w:szCs w:val="28"/>
          <w:u w:val="single"/>
          <w:rtl/>
          <w:lang w:val="fr-FR"/>
        </w:rPr>
      </w:pPr>
    </w:p>
    <w:p w:rsidR="00D975BF" w:rsidRDefault="00BF1556" w:rsidP="00D975BF">
      <w:pPr>
        <w:spacing w:after="0" w:line="360" w:lineRule="auto"/>
        <w:jc w:val="center"/>
        <w:rPr>
          <w:rFonts w:ascii="Arial" w:hAnsi="Arial"/>
          <w:b/>
          <w:bCs/>
          <w:shadow/>
          <w:sz w:val="28"/>
          <w:szCs w:val="28"/>
          <w:lang w:val="fr-MA"/>
        </w:rPr>
      </w:pPr>
      <w:r w:rsidRPr="00391C0C">
        <w:rPr>
          <w:rFonts w:ascii="Arial" w:hAnsi="Arial"/>
          <w:b/>
          <w:bCs/>
          <w:shadow/>
          <w:sz w:val="28"/>
          <w:szCs w:val="28"/>
          <w:lang w:val="fr-MA"/>
        </w:rPr>
        <w:t>Le HCP et l</w:t>
      </w:r>
      <w:r w:rsidR="00D975BF">
        <w:rPr>
          <w:rFonts w:ascii="Arial" w:hAnsi="Arial"/>
          <w:b/>
          <w:bCs/>
          <w:shadow/>
          <w:sz w:val="28"/>
          <w:szCs w:val="28"/>
          <w:lang w:val="fr-MA"/>
        </w:rPr>
        <w:t>’</w:t>
      </w:r>
      <w:r w:rsidRPr="00391C0C">
        <w:rPr>
          <w:rFonts w:ascii="Arial" w:hAnsi="Arial"/>
          <w:b/>
          <w:bCs/>
          <w:shadow/>
          <w:sz w:val="28"/>
          <w:szCs w:val="28"/>
          <w:lang w:val="fr-MA"/>
        </w:rPr>
        <w:t xml:space="preserve">OIT renforcent leur coopération et </w:t>
      </w:r>
    </w:p>
    <w:p w:rsidR="00BF1556" w:rsidRPr="00391C0C" w:rsidRDefault="00BF1556" w:rsidP="00D975BF">
      <w:pPr>
        <w:spacing w:after="0" w:line="360" w:lineRule="auto"/>
        <w:jc w:val="center"/>
        <w:rPr>
          <w:rFonts w:ascii="Arial" w:hAnsi="Arial"/>
          <w:b/>
          <w:bCs/>
          <w:shadow/>
          <w:sz w:val="28"/>
          <w:szCs w:val="28"/>
          <w:lang w:val="fr-MA"/>
        </w:rPr>
      </w:pPr>
      <w:proofErr w:type="gramStart"/>
      <w:r w:rsidRPr="00391C0C">
        <w:rPr>
          <w:rFonts w:ascii="Arial" w:hAnsi="Arial"/>
          <w:b/>
          <w:bCs/>
          <w:shadow/>
          <w:sz w:val="28"/>
          <w:szCs w:val="28"/>
          <w:lang w:val="fr-MA"/>
        </w:rPr>
        <w:t>signent</w:t>
      </w:r>
      <w:proofErr w:type="gramEnd"/>
      <w:r w:rsidRPr="00391C0C">
        <w:rPr>
          <w:rFonts w:ascii="Arial" w:hAnsi="Arial"/>
          <w:b/>
          <w:bCs/>
          <w:shadow/>
          <w:sz w:val="28"/>
          <w:szCs w:val="28"/>
          <w:lang w:val="fr-MA"/>
        </w:rPr>
        <w:t xml:space="preserve"> un protocole d’entente</w:t>
      </w:r>
    </w:p>
    <w:p w:rsidR="00BF1556" w:rsidRPr="00701CB2" w:rsidRDefault="00BF1556" w:rsidP="00BF1556">
      <w:pPr>
        <w:spacing w:before="100" w:beforeAutospacing="1" w:after="100" w:afterAutospacing="1" w:line="240" w:lineRule="auto"/>
        <w:jc w:val="both"/>
        <w:rPr>
          <w:rFonts w:ascii="Arial" w:hAnsi="Arial"/>
          <w:b/>
          <w:bCs/>
          <w:sz w:val="28"/>
          <w:szCs w:val="28"/>
          <w:lang w:val="fr-MA"/>
        </w:rPr>
      </w:pPr>
    </w:p>
    <w:p w:rsidR="00BF1556" w:rsidRPr="00701CB2" w:rsidRDefault="00BF1556" w:rsidP="00604840">
      <w:pPr>
        <w:spacing w:before="120" w:after="120" w:line="360" w:lineRule="auto"/>
        <w:ind w:right="-45"/>
        <w:jc w:val="both"/>
        <w:rPr>
          <w:rFonts w:ascii="Times New Roman" w:hAnsi="Times New Roman" w:cs="Times New Roman"/>
          <w:color w:val="000000"/>
          <w:sz w:val="28"/>
          <w:szCs w:val="28"/>
          <w:lang w:val="fr-MA"/>
        </w:rPr>
      </w:pPr>
      <w:r w:rsidRPr="00701CB2">
        <w:rPr>
          <w:rFonts w:ascii="Arial" w:hAnsi="Arial"/>
          <w:b/>
          <w:bCs/>
          <w:color w:val="000000"/>
          <w:sz w:val="28"/>
          <w:szCs w:val="28"/>
          <w:lang w:val="fr-MA"/>
        </w:rPr>
        <w:t xml:space="preserve">Rabat, le 26 novembre 2019 – </w:t>
      </w:r>
      <w:r w:rsidRPr="00701CB2">
        <w:rPr>
          <w:rFonts w:ascii="Times New Roman" w:hAnsi="Times New Roman" w:cs="Times New Roman"/>
          <w:color w:val="000000"/>
          <w:sz w:val="28"/>
          <w:szCs w:val="28"/>
          <w:lang w:val="fr-MA"/>
        </w:rPr>
        <w:t xml:space="preserve">Le Directeur Général de la Statistique et  de la Comptabilité Nationale du Haut-Commissariat au Plan, M. Mohammed </w:t>
      </w:r>
      <w:proofErr w:type="spellStart"/>
      <w:r w:rsidRPr="00701CB2">
        <w:rPr>
          <w:rFonts w:ascii="Times New Roman" w:hAnsi="Times New Roman" w:cs="Times New Roman"/>
          <w:color w:val="000000"/>
          <w:sz w:val="28"/>
          <w:szCs w:val="28"/>
          <w:lang w:val="fr-MA"/>
        </w:rPr>
        <w:t>Bircharef</w:t>
      </w:r>
      <w:proofErr w:type="spellEnd"/>
      <w:r w:rsidRPr="00701CB2">
        <w:rPr>
          <w:rFonts w:ascii="Times New Roman" w:hAnsi="Times New Roman" w:cs="Times New Roman"/>
          <w:color w:val="000000"/>
          <w:sz w:val="28"/>
          <w:szCs w:val="28"/>
          <w:lang w:val="fr-MA"/>
        </w:rPr>
        <w:t xml:space="preserve">, et le Directeur par Intérim du Bureau </w:t>
      </w:r>
      <w:r w:rsidR="005D07E5" w:rsidRPr="00701CB2">
        <w:rPr>
          <w:rFonts w:ascii="Times New Roman" w:hAnsi="Times New Roman" w:cs="Times New Roman"/>
          <w:color w:val="000000"/>
          <w:sz w:val="28"/>
          <w:szCs w:val="28"/>
          <w:lang w:val="fr-MA"/>
        </w:rPr>
        <w:t>de</w:t>
      </w:r>
      <w:r w:rsidRPr="00701CB2">
        <w:rPr>
          <w:rFonts w:ascii="Times New Roman" w:hAnsi="Times New Roman" w:cs="Times New Roman"/>
          <w:color w:val="000000"/>
          <w:sz w:val="28"/>
          <w:szCs w:val="28"/>
          <w:lang w:val="fr-MA"/>
        </w:rPr>
        <w:t xml:space="preserve"> l’O</w:t>
      </w:r>
      <w:r w:rsidR="005D07E5" w:rsidRPr="00701CB2">
        <w:rPr>
          <w:rFonts w:ascii="Times New Roman" w:hAnsi="Times New Roman" w:cs="Times New Roman"/>
          <w:color w:val="000000"/>
          <w:sz w:val="28"/>
          <w:szCs w:val="28"/>
          <w:lang w:val="fr-MA"/>
        </w:rPr>
        <w:t xml:space="preserve">rganisation </w:t>
      </w:r>
      <w:r w:rsidRPr="00701CB2">
        <w:rPr>
          <w:rFonts w:ascii="Times New Roman" w:hAnsi="Times New Roman" w:cs="Times New Roman"/>
          <w:color w:val="000000"/>
          <w:sz w:val="28"/>
          <w:szCs w:val="28"/>
          <w:lang w:val="fr-MA"/>
        </w:rPr>
        <w:t>I</w:t>
      </w:r>
      <w:r w:rsidR="005D07E5" w:rsidRPr="00701CB2">
        <w:rPr>
          <w:rFonts w:ascii="Times New Roman" w:hAnsi="Times New Roman" w:cs="Times New Roman"/>
          <w:color w:val="000000"/>
          <w:sz w:val="28"/>
          <w:szCs w:val="28"/>
          <w:lang w:val="fr-MA"/>
        </w:rPr>
        <w:t xml:space="preserve">nternationale du </w:t>
      </w:r>
      <w:r w:rsidRPr="00701CB2">
        <w:rPr>
          <w:rFonts w:ascii="Times New Roman" w:hAnsi="Times New Roman" w:cs="Times New Roman"/>
          <w:color w:val="000000"/>
          <w:sz w:val="28"/>
          <w:szCs w:val="28"/>
          <w:lang w:val="fr-MA"/>
        </w:rPr>
        <w:t>T</w:t>
      </w:r>
      <w:r w:rsidR="005D07E5" w:rsidRPr="00701CB2">
        <w:rPr>
          <w:rFonts w:ascii="Times New Roman" w:hAnsi="Times New Roman" w:cs="Times New Roman"/>
          <w:color w:val="000000"/>
          <w:sz w:val="28"/>
          <w:szCs w:val="28"/>
          <w:lang w:val="fr-MA"/>
        </w:rPr>
        <w:t>ravail</w:t>
      </w:r>
      <w:r w:rsidRPr="00701CB2">
        <w:rPr>
          <w:rFonts w:ascii="Times New Roman" w:hAnsi="Times New Roman" w:cs="Times New Roman"/>
          <w:color w:val="000000"/>
          <w:sz w:val="28"/>
          <w:szCs w:val="28"/>
          <w:lang w:val="fr-MA"/>
        </w:rPr>
        <w:t xml:space="preserve"> pour l’Algérie, la Libye, le Maroc, la Tunisie et la Mauritanie,</w:t>
      </w:r>
      <w:r w:rsidRPr="00701CB2">
        <w:rPr>
          <w:color w:val="000000"/>
          <w:lang w:val="fr-FR"/>
        </w:rPr>
        <w:t xml:space="preserve"> </w:t>
      </w:r>
      <w:r w:rsidRPr="00701CB2">
        <w:rPr>
          <w:rFonts w:ascii="Times New Roman" w:hAnsi="Times New Roman" w:cs="Times New Roman"/>
          <w:color w:val="000000"/>
          <w:sz w:val="28"/>
          <w:szCs w:val="28"/>
          <w:lang w:val="fr-MA"/>
        </w:rPr>
        <w:t xml:space="preserve">M. </w:t>
      </w:r>
      <w:proofErr w:type="spellStart"/>
      <w:r w:rsidRPr="00701CB2">
        <w:rPr>
          <w:rFonts w:ascii="Times New Roman" w:hAnsi="Times New Roman" w:cs="Times New Roman"/>
          <w:color w:val="000000"/>
          <w:sz w:val="28"/>
          <w:szCs w:val="28"/>
          <w:lang w:val="fr-MA"/>
        </w:rPr>
        <w:t>Halim</w:t>
      </w:r>
      <w:proofErr w:type="spellEnd"/>
      <w:r w:rsidRPr="00701CB2">
        <w:rPr>
          <w:rFonts w:ascii="Times New Roman" w:hAnsi="Times New Roman" w:cs="Times New Roman"/>
          <w:color w:val="000000"/>
          <w:sz w:val="28"/>
          <w:szCs w:val="28"/>
          <w:lang w:val="fr-MA"/>
        </w:rPr>
        <w:t xml:space="preserve"> </w:t>
      </w:r>
      <w:proofErr w:type="spellStart"/>
      <w:r w:rsidRPr="00701CB2">
        <w:rPr>
          <w:rFonts w:ascii="Times New Roman" w:hAnsi="Times New Roman" w:cs="Times New Roman"/>
          <w:color w:val="000000"/>
          <w:sz w:val="28"/>
          <w:szCs w:val="28"/>
          <w:lang w:val="fr-MA"/>
        </w:rPr>
        <w:t>Hamzaoui</w:t>
      </w:r>
      <w:proofErr w:type="spellEnd"/>
      <w:r w:rsidRPr="00701CB2">
        <w:rPr>
          <w:rFonts w:ascii="Times New Roman" w:hAnsi="Times New Roman" w:cs="Times New Roman"/>
          <w:color w:val="000000"/>
          <w:sz w:val="28"/>
          <w:szCs w:val="28"/>
          <w:lang w:val="fr-MA"/>
        </w:rPr>
        <w:t>, ont signé un protocole d’entente entre le HCP et l</w:t>
      </w:r>
      <w:r w:rsidR="00604840">
        <w:rPr>
          <w:rFonts w:ascii="Times New Roman" w:hAnsi="Times New Roman" w:cs="Times New Roman"/>
          <w:color w:val="000000"/>
          <w:sz w:val="28"/>
          <w:szCs w:val="28"/>
          <w:lang w:val="fr-MA"/>
        </w:rPr>
        <w:t>’</w:t>
      </w:r>
      <w:r w:rsidR="00517C19">
        <w:rPr>
          <w:rFonts w:ascii="Times New Roman" w:hAnsi="Times New Roman" w:cs="Times New Roman"/>
          <w:color w:val="000000"/>
          <w:sz w:val="28"/>
          <w:szCs w:val="28"/>
          <w:lang w:val="fr-MA"/>
        </w:rPr>
        <w:t>O</w:t>
      </w:r>
      <w:r w:rsidRPr="00701CB2">
        <w:rPr>
          <w:rFonts w:ascii="Times New Roman" w:hAnsi="Times New Roman" w:cs="Times New Roman"/>
          <w:color w:val="000000"/>
          <w:sz w:val="28"/>
          <w:szCs w:val="28"/>
          <w:lang w:val="fr-MA"/>
        </w:rPr>
        <w:t xml:space="preserve">IT afin de et formaliser et renforcer leur coopération en matière  de statistiques sur le marché du travail. </w:t>
      </w:r>
    </w:p>
    <w:p w:rsidR="00BF1556" w:rsidRPr="00136EE7" w:rsidRDefault="00BF1556" w:rsidP="00136EE7">
      <w:pPr>
        <w:spacing w:after="0" w:line="240" w:lineRule="auto"/>
        <w:ind w:right="-45"/>
        <w:jc w:val="both"/>
        <w:rPr>
          <w:rFonts w:ascii="Times New Roman" w:hAnsi="Times New Roman" w:cs="Times New Roman"/>
          <w:color w:val="000000"/>
          <w:sz w:val="18"/>
          <w:szCs w:val="18"/>
          <w:lang w:val="fr-MA"/>
        </w:rPr>
      </w:pPr>
    </w:p>
    <w:p w:rsidR="00F66ECD" w:rsidRDefault="00BF1556" w:rsidP="005E2FDE">
      <w:pPr>
        <w:spacing w:before="120" w:after="120" w:line="360" w:lineRule="auto"/>
        <w:ind w:right="-45"/>
        <w:jc w:val="both"/>
        <w:rPr>
          <w:rFonts w:ascii="Times New Roman" w:hAnsi="Times New Roman" w:cs="Times New Roman"/>
          <w:color w:val="000000"/>
          <w:sz w:val="28"/>
          <w:szCs w:val="28"/>
          <w:lang w:val="fr-MA"/>
        </w:rPr>
      </w:pPr>
      <w:r w:rsidRPr="00701CB2">
        <w:rPr>
          <w:rFonts w:ascii="Times New Roman" w:hAnsi="Times New Roman" w:cs="Times New Roman"/>
          <w:color w:val="000000"/>
          <w:sz w:val="28"/>
          <w:szCs w:val="28"/>
          <w:lang w:val="fr-MA"/>
        </w:rPr>
        <w:t xml:space="preserve">Les deux parties se sont félicitées de l’excellent rapport unissant les deux institutions et sont convenues de les renforcer davantage en matière de production, compilation, standardisation et publication des statistiques relatives au marché du travail, en particulier au niveau des indicateurs liés aux Objectifs de Développement Durable, </w:t>
      </w:r>
      <w:r w:rsidR="005E2FDE" w:rsidRPr="00701CB2">
        <w:rPr>
          <w:rFonts w:ascii="Times New Roman" w:hAnsi="Times New Roman" w:cs="Times New Roman"/>
          <w:color w:val="000000"/>
          <w:sz w:val="28"/>
          <w:szCs w:val="28"/>
          <w:lang w:val="fr-MA"/>
        </w:rPr>
        <w:t xml:space="preserve">notamment l’objectif N°8 : </w:t>
      </w:r>
      <w:r w:rsidR="005E2FDE" w:rsidRPr="00701CB2">
        <w:rPr>
          <w:rFonts w:ascii="Times New Roman" w:hAnsi="Times New Roman" w:cs="Times New Roman"/>
          <w:b/>
          <w:bCs/>
          <w:color w:val="000000"/>
          <w:sz w:val="28"/>
          <w:szCs w:val="28"/>
          <w:lang w:val="fr-MA"/>
        </w:rPr>
        <w:t>Travail Décent et Croissance</w:t>
      </w:r>
      <w:r w:rsidR="005E2FDE" w:rsidRPr="00701CB2">
        <w:rPr>
          <w:rFonts w:ascii="Times New Roman" w:hAnsi="Times New Roman" w:cs="Times New Roman"/>
          <w:color w:val="000000"/>
          <w:sz w:val="28"/>
          <w:szCs w:val="28"/>
          <w:lang w:val="fr-MA"/>
        </w:rPr>
        <w:t xml:space="preserve">, </w:t>
      </w:r>
      <w:r w:rsidRPr="00701CB2">
        <w:rPr>
          <w:rFonts w:ascii="Times New Roman" w:hAnsi="Times New Roman" w:cs="Times New Roman"/>
          <w:color w:val="000000"/>
          <w:sz w:val="28"/>
          <w:szCs w:val="28"/>
          <w:lang w:val="fr-MA"/>
        </w:rPr>
        <w:t>pour lequel le BIT est dépositaire.</w:t>
      </w:r>
    </w:p>
    <w:p w:rsidR="00136EE7" w:rsidRPr="00136EE7" w:rsidRDefault="00136EE7" w:rsidP="00136EE7">
      <w:pPr>
        <w:spacing w:after="0" w:line="240" w:lineRule="auto"/>
        <w:ind w:right="-45"/>
        <w:jc w:val="both"/>
        <w:rPr>
          <w:rFonts w:ascii="Times New Roman" w:hAnsi="Times New Roman" w:cs="Times New Roman"/>
          <w:color w:val="000000"/>
          <w:sz w:val="18"/>
          <w:szCs w:val="18"/>
          <w:rtl/>
          <w:lang w:val="fr-MA"/>
        </w:rPr>
      </w:pPr>
    </w:p>
    <w:p w:rsidR="00BF1556" w:rsidRPr="0096639E" w:rsidRDefault="00BF1556" w:rsidP="00517C19">
      <w:pPr>
        <w:spacing w:before="120" w:after="120" w:line="360" w:lineRule="auto"/>
        <w:ind w:right="-45"/>
        <w:jc w:val="both"/>
        <w:rPr>
          <w:rFonts w:ascii="Arial" w:eastAsia="Arial" w:hAnsi="Arial"/>
          <w:color w:val="000000"/>
          <w:sz w:val="24"/>
          <w:szCs w:val="24"/>
          <w:lang w:val="fr-FR"/>
        </w:rPr>
      </w:pPr>
      <w:r w:rsidRPr="00701CB2">
        <w:rPr>
          <w:rFonts w:ascii="Times New Roman" w:hAnsi="Times New Roman" w:cs="Times New Roman"/>
          <w:color w:val="000000"/>
          <w:sz w:val="28"/>
          <w:szCs w:val="28"/>
          <w:lang w:val="fr-MA"/>
        </w:rPr>
        <w:t xml:space="preserve">Conscients de l’importance de ce genre de statistiques pour les politiques publiques, les deux institutions se sont accordées à conjuguer leurs efforts pour un meilleur accès, analyse et utilisation des statistiques relatives au marché du travail. </w:t>
      </w:r>
    </w:p>
    <w:p w:rsidR="001D1B60" w:rsidRPr="00BF1556" w:rsidRDefault="001D1B60">
      <w:pPr>
        <w:rPr>
          <w:lang w:val="fr-FR"/>
        </w:rPr>
      </w:pPr>
    </w:p>
    <w:sectPr w:rsidR="001D1B60" w:rsidRPr="00BF1556" w:rsidSect="00D820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F1556"/>
    <w:rsid w:val="00136EE7"/>
    <w:rsid w:val="001D1B60"/>
    <w:rsid w:val="00391C0C"/>
    <w:rsid w:val="00517C19"/>
    <w:rsid w:val="005D07E5"/>
    <w:rsid w:val="005E2FDE"/>
    <w:rsid w:val="00604840"/>
    <w:rsid w:val="00701CB2"/>
    <w:rsid w:val="008F4ADF"/>
    <w:rsid w:val="00A1476B"/>
    <w:rsid w:val="00BF1556"/>
    <w:rsid w:val="00C20CCD"/>
    <w:rsid w:val="00D82014"/>
    <w:rsid w:val="00D975BF"/>
    <w:rsid w:val="00F66E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56"/>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1071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2019-11-27T10:10:00Z</cp:lastPrinted>
  <dcterms:created xsi:type="dcterms:W3CDTF">2019-11-27T13:43:00Z</dcterms:created>
  <dcterms:modified xsi:type="dcterms:W3CDTF">2019-11-27T13:54:00Z</dcterms:modified>
</cp:coreProperties>
</file>