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6534DB" w:rsidRPr="00E82E2E" w:rsidRDefault="00D61EF0" w:rsidP="0085325A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        </w:t>
      </w:r>
    </w:p>
    <w:p w:rsidR="007E44B0" w:rsidRPr="00994C5D" w:rsidRDefault="007E44B0" w:rsidP="007E44B0">
      <w:pPr>
        <w:bidi/>
        <w:spacing w:after="120" w:line="340" w:lineRule="exact"/>
        <w:jc w:val="center"/>
        <w:rPr>
          <w:b/>
          <w:bCs/>
          <w:shadow/>
          <w:color w:val="FF9900"/>
          <w:sz w:val="28"/>
          <w:szCs w:val="28"/>
          <w:rtl/>
          <w:lang w:val="en-US" w:bidi="ar-MA"/>
        </w:rPr>
      </w:pPr>
      <w:r w:rsidRPr="00994C5D">
        <w:rPr>
          <w:rFonts w:hint="cs"/>
          <w:b/>
          <w:bCs/>
          <w:shadow/>
          <w:color w:val="FF9900"/>
          <w:sz w:val="28"/>
          <w:szCs w:val="28"/>
          <w:rtl/>
          <w:lang w:val="en-US" w:bidi="ar-MA"/>
        </w:rPr>
        <w:t>بلاغ من المندوبية السامية للتخطيط</w:t>
      </w:r>
    </w:p>
    <w:p w:rsidR="00333FD1" w:rsidRPr="00333FD1" w:rsidRDefault="007E44B0" w:rsidP="00333FD1">
      <w:pPr>
        <w:bidi/>
        <w:jc w:val="center"/>
        <w:rPr>
          <w:rFonts w:asciiTheme="minorBidi" w:hAnsiTheme="minorBidi"/>
          <w:b/>
          <w:bCs/>
          <w:sz w:val="16"/>
          <w:szCs w:val="16"/>
          <w:rtl/>
          <w:lang w:bidi="ar-MA"/>
        </w:rPr>
      </w:pPr>
      <w:r>
        <w:rPr>
          <w:rFonts w:asciiTheme="minorBidi" w:hAnsiTheme="minorBidi"/>
          <w:b/>
          <w:bCs/>
          <w:sz w:val="16"/>
          <w:szCs w:val="16"/>
          <w:lang w:bidi="ar-MA"/>
        </w:rPr>
        <w:t xml:space="preserve"> </w:t>
      </w:r>
    </w:p>
    <w:p w:rsidR="00FB7778" w:rsidRPr="00994C5D" w:rsidRDefault="00FB7778" w:rsidP="0085325A">
      <w:pPr>
        <w:bidi/>
        <w:spacing w:line="288" w:lineRule="auto"/>
        <w:jc w:val="center"/>
        <w:rPr>
          <w:rFonts w:asciiTheme="majorBidi" w:hAnsiTheme="majorBidi" w:cstheme="majorBidi"/>
          <w:b/>
          <w:bCs/>
          <w:shadow/>
          <w:color w:val="800080"/>
          <w:sz w:val="28"/>
          <w:szCs w:val="28"/>
          <w:rtl/>
          <w:lang w:bidi="ar-MA"/>
        </w:rPr>
      </w:pPr>
      <w:r w:rsidRPr="00994C5D">
        <w:rPr>
          <w:rFonts w:asciiTheme="majorBidi" w:hAnsiTheme="majorBidi" w:cstheme="majorBidi" w:hint="cs"/>
          <w:b/>
          <w:bCs/>
          <w:shadow/>
          <w:color w:val="800080"/>
          <w:sz w:val="28"/>
          <w:szCs w:val="28"/>
          <w:rtl/>
          <w:lang w:bidi="ar-MA"/>
        </w:rPr>
        <w:t xml:space="preserve">المملكة المغربية </w:t>
      </w:r>
      <w:proofErr w:type="gramStart"/>
      <w:r w:rsidRPr="00994C5D">
        <w:rPr>
          <w:rFonts w:asciiTheme="majorBidi" w:hAnsiTheme="majorBidi" w:cstheme="majorBidi" w:hint="cs"/>
          <w:b/>
          <w:bCs/>
          <w:shadow/>
          <w:color w:val="800080"/>
          <w:sz w:val="28"/>
          <w:szCs w:val="28"/>
          <w:rtl/>
          <w:lang w:bidi="ar-MA"/>
        </w:rPr>
        <w:t>نموذج</w:t>
      </w:r>
      <w:proofErr w:type="gramEnd"/>
      <w:r w:rsidRPr="00994C5D">
        <w:rPr>
          <w:rFonts w:asciiTheme="majorBidi" w:hAnsiTheme="majorBidi" w:cstheme="majorBidi" w:hint="cs"/>
          <w:b/>
          <w:bCs/>
          <w:shadow/>
          <w:color w:val="800080"/>
          <w:sz w:val="28"/>
          <w:szCs w:val="28"/>
          <w:rtl/>
          <w:lang w:bidi="ar-MA"/>
        </w:rPr>
        <w:t xml:space="preserve"> لرصد مستوى الأمن الغذائي في العالم العربي في </w:t>
      </w:r>
    </w:p>
    <w:p w:rsidR="00333FD1" w:rsidRPr="00994C5D" w:rsidRDefault="00FB7778" w:rsidP="00FB7778">
      <w:pPr>
        <w:jc w:val="center"/>
        <w:rPr>
          <w:rFonts w:asciiTheme="majorBidi" w:hAnsiTheme="majorBidi" w:cstheme="majorBidi"/>
          <w:b/>
          <w:bCs/>
          <w:shadow/>
          <w:color w:val="800080"/>
          <w:sz w:val="28"/>
          <w:szCs w:val="28"/>
          <w:rtl/>
          <w:lang w:bidi="ar-MA"/>
        </w:rPr>
      </w:pPr>
      <w:r w:rsidRPr="00994C5D">
        <w:rPr>
          <w:rFonts w:asciiTheme="majorBidi" w:hAnsiTheme="majorBidi" w:cstheme="majorBidi" w:hint="cs"/>
          <w:b/>
          <w:bCs/>
          <w:shadow/>
          <w:color w:val="800080"/>
          <w:sz w:val="28"/>
          <w:szCs w:val="28"/>
          <w:rtl/>
          <w:lang w:bidi="ar-MA"/>
        </w:rPr>
        <w:t xml:space="preserve">ندوة تونس للجنة الاقتصادية والاجتماعية لغربي </w:t>
      </w:r>
      <w:proofErr w:type="gramStart"/>
      <w:r w:rsidRPr="00994C5D">
        <w:rPr>
          <w:rFonts w:asciiTheme="majorBidi" w:hAnsiTheme="majorBidi" w:cstheme="majorBidi" w:hint="cs"/>
          <w:b/>
          <w:bCs/>
          <w:shadow/>
          <w:color w:val="800080"/>
          <w:sz w:val="28"/>
          <w:szCs w:val="28"/>
          <w:rtl/>
          <w:lang w:bidi="ar-MA"/>
        </w:rPr>
        <w:t>آسيا</w:t>
      </w:r>
      <w:proofErr w:type="gramEnd"/>
      <w:r w:rsidRPr="00994C5D">
        <w:rPr>
          <w:rFonts w:asciiTheme="majorBidi" w:hAnsiTheme="majorBidi" w:cstheme="majorBidi" w:hint="cs"/>
          <w:b/>
          <w:bCs/>
          <w:shadow/>
          <w:color w:val="800080"/>
          <w:sz w:val="28"/>
          <w:szCs w:val="28"/>
          <w:rtl/>
          <w:lang w:bidi="ar-MA"/>
        </w:rPr>
        <w:t xml:space="preserve"> والمنظمة العربية للتنمية الزراعية</w:t>
      </w:r>
    </w:p>
    <w:p w:rsidR="00333FD1" w:rsidRDefault="00333FD1" w:rsidP="007F7939">
      <w:pPr>
        <w:jc w:val="center"/>
        <w:rPr>
          <w:b/>
          <w:bCs/>
          <w:shadow/>
          <w:color w:val="FF9900"/>
          <w:sz w:val="30"/>
          <w:szCs w:val="30"/>
          <w:rtl/>
        </w:rPr>
      </w:pPr>
    </w:p>
    <w:p w:rsidR="00390990" w:rsidRPr="00DC271E" w:rsidRDefault="00390990" w:rsidP="00390990">
      <w:pPr>
        <w:bidi/>
        <w:spacing w:before="120" w:after="120" w:line="360" w:lineRule="auto"/>
        <w:ind w:firstLine="708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بدعوة من المنظمة العربية للتنمية الزراعية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lang w:bidi="ar-MA"/>
        </w:rPr>
        <w:t> 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واللجنة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الاقتصادية والاجتماعية لغربي آسيا (</w:t>
      </w:r>
      <w:proofErr w:type="spell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الإسكوا)،</w:t>
      </w:r>
      <w:proofErr w:type="spellEnd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بتونس من يوم 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29 </w:t>
      </w:r>
      <w:proofErr w:type="spell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يوليوز</w:t>
      </w:r>
      <w:proofErr w:type="spellEnd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إلى 1 غشت </w:t>
      </w:r>
      <w:proofErr w:type="spell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2019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،</w:t>
      </w:r>
      <w:proofErr w:type="spellEnd"/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انعقد لقاء لل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تداول في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آ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ليات رصد وضعية الأمن الغذائي بالعالم </w:t>
      </w:r>
      <w:proofErr w:type="spell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العربي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،</w:t>
      </w:r>
      <w:proofErr w:type="spellEnd"/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شاركت فيه المندوبية السامية للتخطيط عن المملكة المغربية و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منظمة الأمم المتحدة للأغذية والزراعة (الفاو</w:t>
      </w:r>
      <w:proofErr w:type="spell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)</w:t>
      </w:r>
      <w:proofErr w:type="spellEnd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والمعهد العربي للتخطيط والإحصاء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و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الأجهزة الإحصائية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وقطاعات الزراعة 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لمجموعة من الدول العربية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وحضره السيد رامي </w:t>
      </w:r>
      <w:proofErr w:type="spellStart"/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رزق،</w:t>
      </w:r>
      <w:proofErr w:type="spellEnd"/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خبير في الأمن الغذائي عن "</w:t>
      </w:r>
      <w:proofErr w:type="spellStart"/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الإسكوا".</w:t>
      </w:r>
      <w:proofErr w:type="spellEnd"/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</w:t>
      </w:r>
      <w:r w:rsidRPr="00DC271E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</w:p>
    <w:p w:rsidR="00390990" w:rsidRPr="00DC271E" w:rsidRDefault="00390990" w:rsidP="00390990">
      <w:pPr>
        <w:bidi/>
        <w:spacing w:before="120" w:after="120" w:line="360" w:lineRule="auto"/>
        <w:ind w:firstLine="708"/>
        <w:jc w:val="both"/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</w:pPr>
      <w:proofErr w:type="gram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تميزت</w:t>
      </w:r>
      <w:proofErr w:type="gramEnd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هذه الأشغال بتدارس مؤشرات تتبع وضعية الأمن الغذائي مع التركيز على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أ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همية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أ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جهزة الإحصاء الوطنية وقطاعات الزراعة في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إ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عداد هذه المؤشرات وإنتاج المعطيات الضرورية لذلك. وتشمل هذه المؤشرات المستقاة في مجملها من ال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أ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جندة العالمية لأهداف التنمية </w:t>
      </w:r>
      <w:proofErr w:type="spellStart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المستدامة،</w:t>
      </w:r>
      <w:proofErr w:type="spellEnd"/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</w:t>
      </w:r>
      <w:r w:rsidRPr="00DC271E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أ</w:t>
      </w:r>
      <w:r w:rsidRPr="00DC271E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ربعة محاور تعتمدها الفاو وتتعلق بالتوفر والحصول والاستفادة والاستقرار.</w:t>
      </w:r>
    </w:p>
    <w:p w:rsidR="00390990" w:rsidRPr="00AC1863" w:rsidRDefault="00390990" w:rsidP="00390990">
      <w:pPr>
        <w:bidi/>
        <w:spacing w:before="120" w:after="120" w:line="360" w:lineRule="auto"/>
        <w:ind w:firstLine="708"/>
        <w:jc w:val="both"/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</w:pP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وفي سياق الدراسات </w:t>
      </w:r>
      <w:proofErr w:type="spellStart"/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التطبيقية،</w:t>
      </w:r>
      <w:proofErr w:type="spellEnd"/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تم اختيار المملكة المغربية 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وجهورية تونس نموذج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ين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لأ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شغال المشاركين في رصد مستوى الأمن </w:t>
      </w:r>
      <w:proofErr w:type="spellStart"/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الغذائي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،</w:t>
      </w:r>
      <w:proofErr w:type="spellEnd"/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فيما قدم خبير من "</w:t>
      </w:r>
      <w:proofErr w:type="spellStart"/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الإسكوا"</w:t>
      </w:r>
      <w:proofErr w:type="spellEnd"/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تجربة الجزائر وأبدى ممثل المندوبية السامية للتخطيط ملاحظات حول اعتماد الخبير المذكور فيما يتعلق بالمملكة المغربية بعض ال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تقارير 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ال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دولية 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والمؤشرات مستقاة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من مواقع إلكترونية لبعض المنظمات 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تكون في كثير من الأحيان متقادمة وغير صحيحة وركز على ضرورة اعتماد 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مؤشرات توفرها المنظومة الإحصائية الوطنية المتقدمة</w:t>
      </w:r>
      <w:r w:rsidRPr="00AC186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والمنظمات الدولية المتابعة لوضعيتها</w:t>
      </w:r>
      <w:r w:rsidRPr="00AC186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. </w:t>
      </w:r>
    </w:p>
    <w:p w:rsidR="00390990" w:rsidRPr="004B5B73" w:rsidRDefault="00390990" w:rsidP="00390990">
      <w:pPr>
        <w:bidi/>
        <w:spacing w:before="120" w:after="120" w:line="360" w:lineRule="auto"/>
        <w:ind w:firstLine="708"/>
        <w:jc w:val="both"/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</w:pPr>
      <w:r w:rsidRPr="004B5B7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واعتبارا لما </w:t>
      </w:r>
      <w:proofErr w:type="spellStart"/>
      <w:r w:rsidRPr="004B5B73">
        <w:rPr>
          <w:rFonts w:asciiTheme="minorBidi" w:eastAsia="Arial" w:hAnsiTheme="minorBidi" w:cstheme="min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سبق،</w:t>
      </w:r>
      <w:proofErr w:type="spellEnd"/>
      <w:r w:rsidRPr="004B5B7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تم الاتفاق مع الجهات المنظمة على النقط </w:t>
      </w:r>
      <w:proofErr w:type="gramStart"/>
      <w:r w:rsidRPr="004B5B7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التالية </w:t>
      </w:r>
      <w:proofErr w:type="spellStart"/>
      <w:r w:rsidRPr="004B5B73">
        <w:rPr>
          <w:rFonts w:asciiTheme="minorBidi" w:eastAsia="Arial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:</w:t>
      </w:r>
      <w:proofErr w:type="spellEnd"/>
      <w:proofErr w:type="gramEnd"/>
    </w:p>
    <w:p w:rsidR="00390990" w:rsidRPr="0038378F" w:rsidRDefault="00390990" w:rsidP="00ED7FA4">
      <w:pPr>
        <w:bidi/>
        <w:spacing w:before="120" w:after="120"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spellStart"/>
      <w:r w:rsidRPr="0038378F">
        <w:rPr>
          <w:rFonts w:asciiTheme="majorBidi" w:hAnsiTheme="majorBidi" w:cstheme="majorBidi"/>
          <w:sz w:val="28"/>
          <w:szCs w:val="28"/>
          <w:rtl/>
          <w:lang w:bidi="ar-MA"/>
        </w:rPr>
        <w:t>-</w:t>
      </w:r>
      <w:proofErr w:type="spellEnd"/>
      <w:r w:rsidRPr="0038378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gramStart"/>
      <w:r w:rsidRPr="0020542B">
        <w:rPr>
          <w:rFonts w:asciiTheme="majorBidi" w:hAnsiTheme="majorBidi" w:cstheme="majorBidi"/>
          <w:b/>
          <w:bCs/>
          <w:color w:val="808080" w:themeColor="background1" w:themeShade="80"/>
          <w:sz w:val="26"/>
          <w:szCs w:val="26"/>
          <w:rtl/>
          <w:lang w:bidi="ar-MA"/>
        </w:rPr>
        <w:t>عدم</w:t>
      </w:r>
      <w:proofErr w:type="gramEnd"/>
      <w:r w:rsidRPr="0020542B">
        <w:rPr>
          <w:rFonts w:asciiTheme="majorBidi" w:hAnsiTheme="majorBidi" w:cstheme="maj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نشر التقرير إلا بعد المصادقة عليه من طرف المملكة المغربية مع التأكيد على حذف الإطار والخريطة المدرجين في مشروع التقرير،</w:t>
      </w:r>
      <w:r w:rsidR="00ED7FA4">
        <w:rPr>
          <w:rFonts w:asciiTheme="majorBidi" w:hAnsiTheme="majorBidi" w:cstheme="maj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</w:t>
      </w:r>
    </w:p>
    <w:p w:rsidR="00994C5D" w:rsidRDefault="00390990" w:rsidP="008126BA">
      <w:pPr>
        <w:pStyle w:val="Normal1"/>
        <w:bidi/>
        <w:spacing w:line="312" w:lineRule="auto"/>
        <w:ind w:firstLine="360"/>
        <w:jc w:val="both"/>
        <w:rPr>
          <w:rFonts w:asciiTheme="minorBidi" w:hAnsiTheme="minorBidi" w:cstheme="minorBidi" w:hint="cs"/>
          <w:b/>
          <w:bCs/>
          <w:color w:val="808080" w:themeColor="background1" w:themeShade="80"/>
          <w:sz w:val="28"/>
          <w:szCs w:val="28"/>
          <w:rtl/>
        </w:rPr>
      </w:pPr>
      <w:proofErr w:type="spellStart"/>
      <w:r w:rsidRPr="0038378F">
        <w:rPr>
          <w:rFonts w:asciiTheme="majorBidi" w:hAnsiTheme="majorBidi" w:cstheme="majorBidi"/>
          <w:sz w:val="28"/>
          <w:szCs w:val="28"/>
          <w:rtl/>
          <w:lang w:bidi="ar-MA"/>
        </w:rPr>
        <w:t>-</w:t>
      </w:r>
      <w:proofErr w:type="spellEnd"/>
      <w:r w:rsidRPr="0038378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3E78C5">
        <w:rPr>
          <w:rFonts w:asciiTheme="majorBidi" w:hAnsiTheme="majorBidi" w:cstheme="maj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ضرورة التعاون مع كل من اللجنة الاقتصادية والاجتماعية لغربي آسيا والمنظمة العربية للتنمية الزراعية من أجل مدهم بالمؤشرات الوطنية لاعتمادها في التقرير السنوي للأمن الغذائي بالعالم </w:t>
      </w:r>
      <w:proofErr w:type="spellStart"/>
      <w:r w:rsidRPr="003E78C5">
        <w:rPr>
          <w:rFonts w:asciiTheme="majorBidi" w:hAnsiTheme="majorBidi" w:cstheme="majorBidi"/>
          <w:b/>
          <w:bCs/>
          <w:color w:val="808080" w:themeColor="background1" w:themeShade="80"/>
          <w:sz w:val="26"/>
          <w:szCs w:val="26"/>
          <w:rtl/>
          <w:lang w:bidi="ar-MA"/>
        </w:rPr>
        <w:t>العربي،</w:t>
      </w:r>
      <w:proofErr w:type="spellEnd"/>
      <w:r w:rsidRPr="003E78C5">
        <w:rPr>
          <w:rFonts w:asciiTheme="majorBidi" w:hAnsiTheme="majorBidi" w:cstheme="majorBidi"/>
          <w:b/>
          <w:bCs/>
          <w:color w:val="808080" w:themeColor="background1" w:themeShade="80"/>
          <w:sz w:val="26"/>
          <w:szCs w:val="26"/>
          <w:rtl/>
          <w:lang w:bidi="ar-MA"/>
        </w:rPr>
        <w:t xml:space="preserve"> وفي هذا الإطار تم التأكيد على </w:t>
      </w:r>
      <w:r w:rsidRPr="003E78C5">
        <w:rPr>
          <w:rFonts w:asciiTheme="majorBidi" w:hAnsiTheme="majorBidi" w:cstheme="majorBidi" w:hint="cs"/>
          <w:b/>
          <w:bCs/>
          <w:color w:val="808080" w:themeColor="background1" w:themeShade="80"/>
          <w:sz w:val="26"/>
          <w:szCs w:val="26"/>
          <w:rtl/>
          <w:lang w:bidi="ar-MA"/>
        </w:rPr>
        <w:t>أ</w:t>
      </w:r>
      <w:r w:rsidRPr="003E78C5">
        <w:rPr>
          <w:rFonts w:asciiTheme="majorBidi" w:hAnsiTheme="majorBidi" w:cstheme="majorBidi"/>
          <w:b/>
          <w:bCs/>
          <w:color w:val="808080" w:themeColor="background1" w:themeShade="80"/>
          <w:sz w:val="26"/>
          <w:szCs w:val="26"/>
          <w:rtl/>
          <w:lang w:bidi="ar-MA"/>
        </w:rPr>
        <w:t>همية تحديد نقطة اتصال دائمة بجميع البلدان مع كل من اللجنة الاقتصادية والاجتماعية لغربي آسيا ومنظمة العربية للتنمية الزراعية</w:t>
      </w:r>
      <w:r w:rsidR="003E78C5" w:rsidRPr="00AC1863">
        <w:rPr>
          <w:rFonts w:asciiTheme="minorBidi" w:hAnsiTheme="minorBidi" w:cstheme="minorBidi"/>
          <w:b/>
          <w:bCs/>
          <w:color w:val="808080" w:themeColor="background1" w:themeShade="80"/>
          <w:sz w:val="26"/>
          <w:szCs w:val="26"/>
          <w:rtl/>
          <w:lang w:bidi="ar-MA"/>
        </w:rPr>
        <w:t>.</w:t>
      </w:r>
    </w:p>
    <w:sectPr w:rsidR="00994C5D" w:rsidSect="009B253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38" w:rsidRDefault="001D0D38">
      <w:r>
        <w:separator/>
      </w:r>
    </w:p>
  </w:endnote>
  <w:endnote w:type="continuationSeparator" w:id="0">
    <w:p w:rsidR="001D0D38" w:rsidRDefault="001D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E3D2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3E3D2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126B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126B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E3D2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38" w:rsidRDefault="001D0D38">
      <w:r>
        <w:separator/>
      </w:r>
    </w:p>
  </w:footnote>
  <w:footnote w:type="continuationSeparator" w:id="0">
    <w:p w:rsidR="001D0D38" w:rsidRDefault="001D0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1F6"/>
    <w:multiLevelType w:val="hybridMultilevel"/>
    <w:tmpl w:val="380A6744"/>
    <w:lvl w:ilvl="0" w:tplc="9E42E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06FD8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357F8"/>
    <w:rsid w:val="00050A6E"/>
    <w:rsid w:val="00054AA0"/>
    <w:rsid w:val="000554EE"/>
    <w:rsid w:val="00060321"/>
    <w:rsid w:val="00064386"/>
    <w:rsid w:val="0006553F"/>
    <w:rsid w:val="00070037"/>
    <w:rsid w:val="00081BE5"/>
    <w:rsid w:val="000821C3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03F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644C2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B4D85"/>
    <w:rsid w:val="001C3920"/>
    <w:rsid w:val="001C4BE1"/>
    <w:rsid w:val="001D07F7"/>
    <w:rsid w:val="001D0B13"/>
    <w:rsid w:val="001D0D38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42B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014E"/>
    <w:rsid w:val="00256291"/>
    <w:rsid w:val="002603C8"/>
    <w:rsid w:val="00262AA7"/>
    <w:rsid w:val="00264343"/>
    <w:rsid w:val="00264D30"/>
    <w:rsid w:val="00264E77"/>
    <w:rsid w:val="00271922"/>
    <w:rsid w:val="002742CD"/>
    <w:rsid w:val="0027509E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4F47"/>
    <w:rsid w:val="003151E9"/>
    <w:rsid w:val="00316A57"/>
    <w:rsid w:val="0031735D"/>
    <w:rsid w:val="003243B5"/>
    <w:rsid w:val="00326824"/>
    <w:rsid w:val="00327972"/>
    <w:rsid w:val="00333FD1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0990"/>
    <w:rsid w:val="00393B90"/>
    <w:rsid w:val="00393EF8"/>
    <w:rsid w:val="003A14B5"/>
    <w:rsid w:val="003A5CB2"/>
    <w:rsid w:val="003B7C9A"/>
    <w:rsid w:val="003C104F"/>
    <w:rsid w:val="003C1061"/>
    <w:rsid w:val="003C357A"/>
    <w:rsid w:val="003D7C32"/>
    <w:rsid w:val="003E328B"/>
    <w:rsid w:val="003E3D2A"/>
    <w:rsid w:val="003E5DDB"/>
    <w:rsid w:val="003E78C5"/>
    <w:rsid w:val="003F28EA"/>
    <w:rsid w:val="003F445E"/>
    <w:rsid w:val="003F7274"/>
    <w:rsid w:val="003F7FEB"/>
    <w:rsid w:val="00401D3E"/>
    <w:rsid w:val="00403A20"/>
    <w:rsid w:val="0041796D"/>
    <w:rsid w:val="0042218B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90F5D"/>
    <w:rsid w:val="004973C4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5B73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126C"/>
    <w:rsid w:val="0052635A"/>
    <w:rsid w:val="00537897"/>
    <w:rsid w:val="00541C46"/>
    <w:rsid w:val="00542043"/>
    <w:rsid w:val="00542E3A"/>
    <w:rsid w:val="0054655F"/>
    <w:rsid w:val="00547ECD"/>
    <w:rsid w:val="00550169"/>
    <w:rsid w:val="00550E9B"/>
    <w:rsid w:val="005549EE"/>
    <w:rsid w:val="0056068D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34DB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76A84"/>
    <w:rsid w:val="00682878"/>
    <w:rsid w:val="0068506D"/>
    <w:rsid w:val="00685175"/>
    <w:rsid w:val="00687A8F"/>
    <w:rsid w:val="00687F49"/>
    <w:rsid w:val="00690CED"/>
    <w:rsid w:val="00692552"/>
    <w:rsid w:val="00694FF6"/>
    <w:rsid w:val="00695BAE"/>
    <w:rsid w:val="00696598"/>
    <w:rsid w:val="006A15D8"/>
    <w:rsid w:val="006A1B1D"/>
    <w:rsid w:val="006A3883"/>
    <w:rsid w:val="006A771B"/>
    <w:rsid w:val="006B1766"/>
    <w:rsid w:val="006B5F68"/>
    <w:rsid w:val="006C4BDA"/>
    <w:rsid w:val="006D22BC"/>
    <w:rsid w:val="006D4D78"/>
    <w:rsid w:val="006D4F49"/>
    <w:rsid w:val="006D7AEF"/>
    <w:rsid w:val="006D7FA4"/>
    <w:rsid w:val="006E2C7A"/>
    <w:rsid w:val="006E456F"/>
    <w:rsid w:val="006E5679"/>
    <w:rsid w:val="006E7909"/>
    <w:rsid w:val="006E7B74"/>
    <w:rsid w:val="006F2804"/>
    <w:rsid w:val="006F3729"/>
    <w:rsid w:val="00700E75"/>
    <w:rsid w:val="007074C3"/>
    <w:rsid w:val="007170E8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2F0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12BF"/>
    <w:rsid w:val="007D56DB"/>
    <w:rsid w:val="007D7F9B"/>
    <w:rsid w:val="007E1420"/>
    <w:rsid w:val="007E1CA4"/>
    <w:rsid w:val="007E2D18"/>
    <w:rsid w:val="007E44B0"/>
    <w:rsid w:val="007E474D"/>
    <w:rsid w:val="007E47FC"/>
    <w:rsid w:val="007F475F"/>
    <w:rsid w:val="007F478E"/>
    <w:rsid w:val="007F4A8D"/>
    <w:rsid w:val="007F57B6"/>
    <w:rsid w:val="007F7939"/>
    <w:rsid w:val="00803256"/>
    <w:rsid w:val="00803806"/>
    <w:rsid w:val="0080593A"/>
    <w:rsid w:val="00807DC4"/>
    <w:rsid w:val="00811CEF"/>
    <w:rsid w:val="008126BA"/>
    <w:rsid w:val="008148E1"/>
    <w:rsid w:val="00817D3A"/>
    <w:rsid w:val="0083601D"/>
    <w:rsid w:val="008373A3"/>
    <w:rsid w:val="0084269C"/>
    <w:rsid w:val="00852402"/>
    <w:rsid w:val="0085325A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15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4EF1"/>
    <w:rsid w:val="00965163"/>
    <w:rsid w:val="009674B4"/>
    <w:rsid w:val="00970294"/>
    <w:rsid w:val="009750B7"/>
    <w:rsid w:val="009801E4"/>
    <w:rsid w:val="009818A4"/>
    <w:rsid w:val="00984C53"/>
    <w:rsid w:val="00990C6F"/>
    <w:rsid w:val="00994C5D"/>
    <w:rsid w:val="00996F92"/>
    <w:rsid w:val="009A205F"/>
    <w:rsid w:val="009A2769"/>
    <w:rsid w:val="009A3A8A"/>
    <w:rsid w:val="009A5BA1"/>
    <w:rsid w:val="009B253D"/>
    <w:rsid w:val="009B2B2B"/>
    <w:rsid w:val="009B74BE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E5B54"/>
    <w:rsid w:val="009F3563"/>
    <w:rsid w:val="009F5937"/>
    <w:rsid w:val="00A0074F"/>
    <w:rsid w:val="00A0175D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3E8"/>
    <w:rsid w:val="00A76F8C"/>
    <w:rsid w:val="00A821C4"/>
    <w:rsid w:val="00A8308B"/>
    <w:rsid w:val="00A834E9"/>
    <w:rsid w:val="00A84BFF"/>
    <w:rsid w:val="00A859EE"/>
    <w:rsid w:val="00A87B84"/>
    <w:rsid w:val="00AA3E6A"/>
    <w:rsid w:val="00AA4807"/>
    <w:rsid w:val="00AA48F7"/>
    <w:rsid w:val="00AA6739"/>
    <w:rsid w:val="00AA723E"/>
    <w:rsid w:val="00AB16AA"/>
    <w:rsid w:val="00AB4E07"/>
    <w:rsid w:val="00AB6A95"/>
    <w:rsid w:val="00AC09CB"/>
    <w:rsid w:val="00AC1863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06F16"/>
    <w:rsid w:val="00B10250"/>
    <w:rsid w:val="00B1167F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1AA4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A6DDC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6681"/>
    <w:rsid w:val="00BD7B29"/>
    <w:rsid w:val="00BE12C8"/>
    <w:rsid w:val="00BE30FD"/>
    <w:rsid w:val="00BF0862"/>
    <w:rsid w:val="00C005F2"/>
    <w:rsid w:val="00C01170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2F82"/>
    <w:rsid w:val="00C5584A"/>
    <w:rsid w:val="00C55A3C"/>
    <w:rsid w:val="00C569B9"/>
    <w:rsid w:val="00C57DE2"/>
    <w:rsid w:val="00C667F2"/>
    <w:rsid w:val="00C77AA4"/>
    <w:rsid w:val="00C92504"/>
    <w:rsid w:val="00C92E38"/>
    <w:rsid w:val="00C94FAA"/>
    <w:rsid w:val="00CA2232"/>
    <w:rsid w:val="00CB055F"/>
    <w:rsid w:val="00CB05C8"/>
    <w:rsid w:val="00CB23AA"/>
    <w:rsid w:val="00CB3A44"/>
    <w:rsid w:val="00CB7FFA"/>
    <w:rsid w:val="00CC289A"/>
    <w:rsid w:val="00CC5A17"/>
    <w:rsid w:val="00CC5F3B"/>
    <w:rsid w:val="00CD6E99"/>
    <w:rsid w:val="00CD7C5C"/>
    <w:rsid w:val="00CE08CE"/>
    <w:rsid w:val="00CE630B"/>
    <w:rsid w:val="00CE718A"/>
    <w:rsid w:val="00CE7BB5"/>
    <w:rsid w:val="00CE7D4C"/>
    <w:rsid w:val="00CF12C8"/>
    <w:rsid w:val="00CF3217"/>
    <w:rsid w:val="00D01031"/>
    <w:rsid w:val="00D013B3"/>
    <w:rsid w:val="00D07E75"/>
    <w:rsid w:val="00D12FA1"/>
    <w:rsid w:val="00D14BAE"/>
    <w:rsid w:val="00D156B4"/>
    <w:rsid w:val="00D15EC7"/>
    <w:rsid w:val="00D21C27"/>
    <w:rsid w:val="00D224CC"/>
    <w:rsid w:val="00D25594"/>
    <w:rsid w:val="00D30672"/>
    <w:rsid w:val="00D30B74"/>
    <w:rsid w:val="00D40AE4"/>
    <w:rsid w:val="00D46A93"/>
    <w:rsid w:val="00D475D3"/>
    <w:rsid w:val="00D4763E"/>
    <w:rsid w:val="00D60382"/>
    <w:rsid w:val="00D61EF0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C271E"/>
    <w:rsid w:val="00DC61F9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2680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2EF1"/>
    <w:rsid w:val="00E947A6"/>
    <w:rsid w:val="00E9733C"/>
    <w:rsid w:val="00EA0789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D7FA4"/>
    <w:rsid w:val="00EE0046"/>
    <w:rsid w:val="00EE549F"/>
    <w:rsid w:val="00EE5D39"/>
    <w:rsid w:val="00EE5EB6"/>
    <w:rsid w:val="00EF0833"/>
    <w:rsid w:val="00EF13CA"/>
    <w:rsid w:val="00EF3F98"/>
    <w:rsid w:val="00EF7466"/>
    <w:rsid w:val="00F01474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B7778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07"/>
    <w:rPr>
      <w:rFonts w:ascii="Courier New" w:hAnsi="Courier New" w:cs="Courier New"/>
      <w:sz w:val="20"/>
      <w:szCs w:val="20"/>
    </w:rPr>
  </w:style>
  <w:style w:type="paragraph" w:customStyle="1" w:styleId="normal0">
    <w:name w:val="normal"/>
    <w:rsid w:val="003E328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Normal1">
    <w:name w:val="Normal1"/>
    <w:rsid w:val="009E5B54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12</cp:revision>
  <cp:lastPrinted>2012-11-26T10:50:00Z</cp:lastPrinted>
  <dcterms:created xsi:type="dcterms:W3CDTF">2019-08-14T12:30:00Z</dcterms:created>
  <dcterms:modified xsi:type="dcterms:W3CDTF">2019-08-14T12:53:00Z</dcterms:modified>
</cp:coreProperties>
</file>