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902D21" w:rsidRDefault="00902D21" w:rsidP="008864AD">
      <w:pPr>
        <w:ind w:left="993" w:hanging="993"/>
        <w:jc w:val="center"/>
        <w:rPr>
          <w:rFonts w:ascii="Palatino" w:hAnsi="Palatino" w:cs="Times"/>
          <w:b/>
          <w:bCs/>
          <w:shadow/>
          <w:color w:val="FF9900"/>
          <w:sz w:val="26"/>
          <w:szCs w:val="26"/>
        </w:rPr>
      </w:pPr>
    </w:p>
    <w:p w:rsidR="00902D21" w:rsidRDefault="00902D21"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2358C6">
        <w:rPr>
          <w:rFonts w:ascii="Palatino" w:hAnsi="Palatino" w:cs="Times"/>
          <w:b/>
          <w:bCs/>
          <w:shadow/>
          <w:color w:val="FF9900"/>
          <w:sz w:val="26"/>
          <w:szCs w:val="26"/>
        </w:rPr>
        <w:t xml:space="preserve"> DE PRESSE</w:t>
      </w:r>
    </w:p>
    <w:p w:rsidR="0088592B" w:rsidRPr="00902D21" w:rsidRDefault="0088592B" w:rsidP="00902D21">
      <w:pPr>
        <w:spacing w:line="360" w:lineRule="auto"/>
        <w:ind w:left="992" w:hanging="992"/>
        <w:jc w:val="center"/>
        <w:rPr>
          <w:rFonts w:ascii="Palatino" w:hAnsi="Palatino" w:cs="Times"/>
          <w:shadow/>
          <w:color w:val="FF9900"/>
        </w:rPr>
      </w:pPr>
    </w:p>
    <w:p w:rsidR="00F5044D" w:rsidRPr="00962A13" w:rsidRDefault="00F5044D" w:rsidP="00F5044D">
      <w:pPr>
        <w:ind w:left="142" w:hanging="142"/>
        <w:jc w:val="center"/>
        <w:rPr>
          <w:rFonts w:ascii="Calibri" w:hAnsi="Calibri"/>
          <w:b/>
          <w:bCs/>
          <w:shadow/>
          <w:color w:val="800080"/>
        </w:rPr>
      </w:pPr>
      <w:bookmarkStart w:id="0" w:name="_GoBack"/>
      <w:r w:rsidRPr="00962A13">
        <w:rPr>
          <w:rFonts w:ascii="Calibri" w:hAnsi="Calibri"/>
          <w:b/>
          <w:bCs/>
          <w:shadow/>
          <w:color w:val="800080"/>
        </w:rPr>
        <w:t>Avec le HCP,</w:t>
      </w:r>
    </w:p>
    <w:p w:rsidR="00F5044D" w:rsidRPr="00962A13" w:rsidRDefault="00395CAF" w:rsidP="00F5044D">
      <w:pPr>
        <w:ind w:left="142" w:hanging="142"/>
        <w:jc w:val="center"/>
        <w:rPr>
          <w:rFonts w:ascii="Calibri" w:hAnsi="Calibri"/>
          <w:b/>
          <w:bCs/>
          <w:shadow/>
          <w:color w:val="800080"/>
        </w:rPr>
      </w:pPr>
      <w:r>
        <w:rPr>
          <w:rFonts w:ascii="Calibri" w:hAnsi="Calibri"/>
          <w:b/>
          <w:bCs/>
          <w:shadow/>
          <w:color w:val="800080"/>
        </w:rPr>
        <w:t>L</w:t>
      </w:r>
      <w:r w:rsidR="00F5044D" w:rsidRPr="00962A13">
        <w:rPr>
          <w:rFonts w:ascii="Calibri" w:hAnsi="Calibri"/>
          <w:b/>
          <w:bCs/>
          <w:shadow/>
          <w:color w:val="800080"/>
        </w:rPr>
        <w:t>e Maroc classé  42</w:t>
      </w:r>
      <w:r w:rsidR="00F5044D" w:rsidRPr="00962A13">
        <w:rPr>
          <w:rFonts w:ascii="Calibri" w:hAnsi="Calibri"/>
          <w:b/>
          <w:bCs/>
          <w:shadow/>
          <w:color w:val="800080"/>
          <w:vertAlign w:val="superscript"/>
        </w:rPr>
        <w:t>ème</w:t>
      </w:r>
      <w:r w:rsidR="00F5044D" w:rsidRPr="00962A13">
        <w:rPr>
          <w:rFonts w:ascii="Calibri" w:hAnsi="Calibri"/>
          <w:b/>
          <w:bCs/>
          <w:shadow/>
          <w:color w:val="800080"/>
        </w:rPr>
        <w:t xml:space="preserve"> sur 178 pays au niveau mondial </w:t>
      </w:r>
    </w:p>
    <w:p w:rsidR="00F5044D" w:rsidRDefault="00F5044D" w:rsidP="00F5044D">
      <w:pPr>
        <w:ind w:left="142" w:hanging="142"/>
        <w:jc w:val="center"/>
        <w:rPr>
          <w:rFonts w:ascii="Calibri" w:hAnsi="Calibri"/>
          <w:b/>
          <w:bCs/>
          <w:shadow/>
          <w:color w:val="800080"/>
        </w:rPr>
      </w:pPr>
      <w:proofErr w:type="gramStart"/>
      <w:r w:rsidRPr="00962A13">
        <w:rPr>
          <w:rFonts w:ascii="Calibri" w:hAnsi="Calibri"/>
          <w:b/>
          <w:bCs/>
          <w:shadow/>
          <w:color w:val="800080"/>
        </w:rPr>
        <w:t>en</w:t>
      </w:r>
      <w:proofErr w:type="gramEnd"/>
      <w:r w:rsidRPr="00962A13">
        <w:rPr>
          <w:rFonts w:ascii="Calibri" w:hAnsi="Calibri"/>
          <w:b/>
          <w:bCs/>
          <w:shadow/>
          <w:color w:val="800080"/>
        </w:rPr>
        <w:t xml:space="preserve"> matière d’Open Data</w:t>
      </w:r>
    </w:p>
    <w:p w:rsidR="00395CAF" w:rsidRDefault="00395CAF" w:rsidP="00F5044D">
      <w:pPr>
        <w:ind w:left="142" w:hanging="142"/>
        <w:jc w:val="center"/>
        <w:rPr>
          <w:rFonts w:ascii="Calibri" w:hAnsi="Calibri"/>
          <w:b/>
          <w:bCs/>
          <w:shadow/>
          <w:color w:val="800080"/>
        </w:rPr>
      </w:pPr>
    </w:p>
    <w:p w:rsidR="00FC47FB" w:rsidRDefault="00FC47FB" w:rsidP="002358C6">
      <w:pPr>
        <w:tabs>
          <w:tab w:val="left" w:pos="1889"/>
        </w:tabs>
        <w:jc w:val="both"/>
        <w:rPr>
          <w:color w:val="808080"/>
          <w:sz w:val="16"/>
          <w:szCs w:val="16"/>
        </w:rPr>
      </w:pPr>
    </w:p>
    <w:p w:rsidR="00F83849" w:rsidRPr="002358C6" w:rsidRDefault="00F83849" w:rsidP="002358C6">
      <w:pPr>
        <w:tabs>
          <w:tab w:val="left" w:pos="1889"/>
        </w:tabs>
        <w:jc w:val="both"/>
        <w:rPr>
          <w:color w:val="808080"/>
          <w:sz w:val="16"/>
          <w:szCs w:val="16"/>
        </w:rPr>
      </w:pPr>
    </w:p>
    <w:bookmarkEnd w:id="0"/>
    <w:p w:rsidR="00A11671" w:rsidRPr="00A11671" w:rsidRDefault="00A11671" w:rsidP="00A11671">
      <w:pPr>
        <w:spacing w:after="200" w:line="276" w:lineRule="auto"/>
        <w:ind w:firstLine="709"/>
        <w:jc w:val="both"/>
        <w:rPr>
          <w:rFonts w:ascii="Calibri" w:eastAsia="Calibri" w:hAnsi="Calibri" w:cs="Calibri"/>
          <w:b/>
          <w:bCs/>
          <w:color w:val="7F7F7F" w:themeColor="text1" w:themeTint="80"/>
          <w:sz w:val="26"/>
          <w:szCs w:val="26"/>
        </w:rPr>
      </w:pPr>
      <w:r w:rsidRPr="00A11671">
        <w:rPr>
          <w:rFonts w:ascii="Calibri" w:eastAsia="Calibri" w:hAnsi="Calibri" w:cs="Calibri"/>
          <w:b/>
          <w:bCs/>
          <w:color w:val="7F7F7F" w:themeColor="text1" w:themeTint="80"/>
          <w:sz w:val="26"/>
          <w:szCs w:val="26"/>
        </w:rPr>
        <w:t xml:space="preserve">Selon l’Indice d’Ouverture des Données (Open Data </w:t>
      </w:r>
      <w:proofErr w:type="spellStart"/>
      <w:r w:rsidRPr="00A11671">
        <w:rPr>
          <w:rFonts w:ascii="Calibri" w:eastAsia="Calibri" w:hAnsi="Calibri" w:cs="Calibri"/>
          <w:b/>
          <w:bCs/>
          <w:color w:val="7F7F7F" w:themeColor="text1" w:themeTint="80"/>
          <w:sz w:val="26"/>
          <w:szCs w:val="26"/>
        </w:rPr>
        <w:t>Inventory</w:t>
      </w:r>
      <w:proofErr w:type="spellEnd"/>
      <w:r w:rsidRPr="00A11671">
        <w:rPr>
          <w:rFonts w:ascii="Calibri" w:eastAsia="Calibri" w:hAnsi="Calibri" w:cs="Calibri"/>
          <w:b/>
          <w:bCs/>
          <w:color w:val="7F7F7F" w:themeColor="text1" w:themeTint="80"/>
          <w:sz w:val="26"/>
          <w:szCs w:val="26"/>
        </w:rPr>
        <w:t>, ODIN) élaboré par</w:t>
      </w:r>
      <w:r>
        <w:rPr>
          <w:rFonts w:ascii="Calibri" w:hAnsi="Calibri"/>
          <w:lang w:bidi="ar-MA"/>
        </w:rPr>
        <w:t xml:space="preserve"> </w:t>
      </w:r>
      <w:r w:rsidRPr="00A11671">
        <w:rPr>
          <w:rFonts w:ascii="Calibri" w:eastAsia="Calibri" w:hAnsi="Calibri" w:cs="Calibri"/>
          <w:b/>
          <w:bCs/>
          <w:color w:val="7F7F7F" w:themeColor="text1" w:themeTint="80"/>
          <w:sz w:val="26"/>
          <w:szCs w:val="26"/>
        </w:rPr>
        <w:t>Observatoire des Données Ouvertes (Open Data Watch, ODW), et sur la base de l’évaluation de 178 pays au plan international, le Maroc représenté par le HCP est classé 42ème, en 2018, occupant ainsi le premier rang dans la région Afrique du Nord, 2ème dans la région Arabe et la 3ème position en Afrique avec une note de 57,5 points, après le Rwanda et l’Ile Maurice qui ont été respectivement notés 58,3 et 57,9 points.</w:t>
      </w:r>
    </w:p>
    <w:p w:rsidR="00A11671" w:rsidRPr="00395CAF" w:rsidRDefault="00A11671" w:rsidP="00395CAF">
      <w:pPr>
        <w:spacing w:after="200" w:line="276" w:lineRule="auto"/>
        <w:ind w:firstLine="709"/>
        <w:jc w:val="both"/>
        <w:rPr>
          <w:rFonts w:ascii="Calibri" w:eastAsia="Calibri" w:hAnsi="Calibri" w:cs="Calibri"/>
          <w:b/>
          <w:bCs/>
          <w:color w:val="7F7F7F" w:themeColor="text1" w:themeTint="80"/>
          <w:sz w:val="26"/>
          <w:szCs w:val="26"/>
        </w:rPr>
      </w:pPr>
      <w:r w:rsidRPr="00395CAF">
        <w:rPr>
          <w:rFonts w:ascii="Calibri" w:eastAsia="Calibri" w:hAnsi="Calibri" w:cs="Calibri"/>
          <w:b/>
          <w:bCs/>
          <w:color w:val="7F7F7F" w:themeColor="text1" w:themeTint="80"/>
          <w:sz w:val="26"/>
          <w:szCs w:val="26"/>
        </w:rPr>
        <w:t xml:space="preserve">Ce classement consacre ainsi, au niveau mondial, les avancées du HCP dans le domaine de l’Open </w:t>
      </w:r>
      <w:proofErr w:type="gramStart"/>
      <w:r w:rsidRPr="00395CAF">
        <w:rPr>
          <w:rFonts w:ascii="Calibri" w:eastAsia="Calibri" w:hAnsi="Calibri" w:cs="Calibri"/>
          <w:b/>
          <w:bCs/>
          <w:color w:val="7F7F7F" w:themeColor="text1" w:themeTint="80"/>
          <w:sz w:val="26"/>
          <w:szCs w:val="26"/>
        </w:rPr>
        <w:t>Data</w:t>
      </w:r>
      <w:proofErr w:type="gramEnd"/>
      <w:r w:rsidRPr="00395CAF">
        <w:rPr>
          <w:rFonts w:ascii="Calibri" w:eastAsia="Calibri" w:hAnsi="Calibri" w:cs="Calibri"/>
          <w:b/>
          <w:bCs/>
          <w:color w:val="7F7F7F" w:themeColor="text1" w:themeTint="80"/>
          <w:sz w:val="26"/>
          <w:szCs w:val="26"/>
        </w:rPr>
        <w:t xml:space="preserve">. Il est appelé à s’améliorer avec l’intégration prévue de nouveaux indicateurs  dans la Base de Données Statistiques (BDS) de cette institution et l’ouverture aux utilisateurs intéressés des micro-données </w:t>
      </w:r>
      <w:proofErr w:type="spellStart"/>
      <w:r w:rsidRPr="00395CAF">
        <w:rPr>
          <w:rFonts w:ascii="Calibri" w:eastAsia="Calibri" w:hAnsi="Calibri" w:cs="Calibri"/>
          <w:b/>
          <w:bCs/>
          <w:color w:val="7F7F7F" w:themeColor="text1" w:themeTint="80"/>
          <w:sz w:val="26"/>
          <w:szCs w:val="26"/>
        </w:rPr>
        <w:t>anonymisées</w:t>
      </w:r>
      <w:proofErr w:type="spellEnd"/>
      <w:r w:rsidRPr="00395CAF">
        <w:rPr>
          <w:rFonts w:ascii="Calibri" w:eastAsia="Calibri" w:hAnsi="Calibri" w:cs="Calibri"/>
          <w:b/>
          <w:bCs/>
          <w:color w:val="7F7F7F" w:themeColor="text1" w:themeTint="80"/>
          <w:sz w:val="26"/>
          <w:szCs w:val="26"/>
        </w:rPr>
        <w:t xml:space="preserve"> de ses opérations statistiques. Il s’améliorerait encore plus au fur et à mesure que les départements détenteurs d’informations significatives sur les  activités sectorielles les mettront aux normes statistiques convenues, à la disposition du HCP. </w:t>
      </w:r>
    </w:p>
    <w:p w:rsidR="00867FAB" w:rsidRPr="00AD178B" w:rsidRDefault="00A11671" w:rsidP="00490530">
      <w:pPr>
        <w:spacing w:after="200" w:line="276" w:lineRule="auto"/>
        <w:ind w:firstLine="709"/>
        <w:jc w:val="both"/>
        <w:rPr>
          <w:b/>
          <w:bCs/>
          <w:color w:val="808080"/>
          <w:sz w:val="23"/>
          <w:szCs w:val="23"/>
        </w:rPr>
      </w:pPr>
      <w:r w:rsidRPr="00490530">
        <w:rPr>
          <w:rFonts w:ascii="Calibri" w:eastAsia="Calibri" w:hAnsi="Calibri" w:cs="Calibri"/>
          <w:b/>
          <w:bCs/>
          <w:color w:val="7F7F7F" w:themeColor="text1" w:themeTint="80"/>
          <w:sz w:val="26"/>
          <w:szCs w:val="26"/>
        </w:rPr>
        <w:t xml:space="preserve">Institution connue sur le plan international par son professionnalisme et son indépendance, l’ODW réalise l’évaluation mondiale des Organismes Nationaux de Statistique dans le domaine des données ouvertes et travaille en synergie et en permanente concertation avec la Division Statistique des Nations Unies. L’ODIN élaboré à cet effet est un indice composite d’évaluation des sites web basé sur les critères de couverture et d’ouverture des données diffusées. </w:t>
      </w:r>
      <w:r w:rsidR="00490530">
        <w:rPr>
          <w:rFonts w:ascii="Calibri" w:eastAsia="Calibri" w:hAnsi="Calibri" w:cs="Calibri"/>
          <w:b/>
          <w:bCs/>
          <w:color w:val="7F7F7F" w:themeColor="text1" w:themeTint="80"/>
          <w:sz w:val="26"/>
          <w:szCs w:val="26"/>
        </w:rPr>
        <w:t xml:space="preserve">  </w:t>
      </w:r>
    </w:p>
    <w:sectPr w:rsidR="00867FAB" w:rsidRPr="00AD178B" w:rsidSect="00E20901">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243" w:rsidRDefault="00175243">
      <w:r>
        <w:separator/>
      </w:r>
    </w:p>
  </w:endnote>
  <w:endnote w:type="continuationSeparator" w:id="0">
    <w:p w:rsidR="00175243" w:rsidRDefault="00175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FB0C9B"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FB0C9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49053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49053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FB0C9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proofErr w:type="spellStart"/>
                <w:r w:rsidRPr="00773F09">
                  <w:rPr>
                    <w:rFonts w:ascii="Arial" w:hAnsi="Arial" w:cs="Arial"/>
                    <w:color w:val="993366"/>
                    <w:sz w:val="20"/>
                    <w:szCs w:val="20"/>
                    <w:rtl/>
                    <w:lang w:bidi="ar-MA"/>
                  </w:rPr>
                  <w:t>المغربص</w:t>
                </w:r>
                <w:proofErr w:type="spellEnd"/>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proofErr w:type="gramStart"/>
                <w:r>
                  <w:rPr>
                    <w:rFonts w:ascii="Arial" w:hAnsi="Arial" w:cs="Arial"/>
                    <w:color w:val="993366"/>
                    <w:sz w:val="20"/>
                    <w:szCs w:val="20"/>
                    <w:lang w:val="en-US"/>
                  </w:rPr>
                  <w:t>,</w:t>
                </w:r>
                <w:r w:rsidRPr="00773F09">
                  <w:rPr>
                    <w:rFonts w:ascii="Arial" w:hAnsi="Arial" w:cs="Arial"/>
                    <w:color w:val="993366"/>
                    <w:sz w:val="20"/>
                    <w:szCs w:val="20"/>
                    <w:lang w:val="en-US"/>
                  </w:rPr>
                  <w:t>Rabat</w:t>
                </w:r>
                <w:proofErr w:type="gramEnd"/>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r>
                  <w:rPr>
                    <w:rFonts w:ascii="Arial" w:hAnsi="Arial" w:cs="Arial"/>
                    <w:color w:val="993366"/>
                    <w:sz w:val="20"/>
                    <w:szCs w:val="20"/>
                    <w:lang w:val="en-US"/>
                  </w:rPr>
                  <w:t>BP</w:t>
                </w:r>
                <w:proofErr w:type="spellEnd"/>
                <w:r>
                  <w:rPr>
                    <w:rFonts w:ascii="Arial" w:hAnsi="Arial" w:cs="Arial"/>
                    <w:color w:val="993366"/>
                    <w:sz w:val="20"/>
                    <w:szCs w:val="20"/>
                    <w:lang w:val="en-US"/>
                  </w:rPr>
                  <w:t xml:space="preserve">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243" w:rsidRDefault="00175243">
      <w:r>
        <w:separator/>
      </w:r>
    </w:p>
  </w:footnote>
  <w:footnote w:type="continuationSeparator" w:id="0">
    <w:p w:rsidR="00175243" w:rsidRDefault="00175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02D21">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8702675" cy="5038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A7067D"/>
    <w:rsid w:val="000012B3"/>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3263"/>
    <w:rsid w:val="000850C6"/>
    <w:rsid w:val="00085E86"/>
    <w:rsid w:val="000A3BE9"/>
    <w:rsid w:val="000A4F68"/>
    <w:rsid w:val="000A73D8"/>
    <w:rsid w:val="000B2A3E"/>
    <w:rsid w:val="000B6EA6"/>
    <w:rsid w:val="000C5E54"/>
    <w:rsid w:val="000C7682"/>
    <w:rsid w:val="000D25AF"/>
    <w:rsid w:val="000E0AA4"/>
    <w:rsid w:val="000E21D3"/>
    <w:rsid w:val="000E6EE7"/>
    <w:rsid w:val="000E7503"/>
    <w:rsid w:val="000F408A"/>
    <w:rsid w:val="00100AF5"/>
    <w:rsid w:val="001063C7"/>
    <w:rsid w:val="00107113"/>
    <w:rsid w:val="00114C7E"/>
    <w:rsid w:val="00116B4A"/>
    <w:rsid w:val="00120AF1"/>
    <w:rsid w:val="001217AF"/>
    <w:rsid w:val="0012265F"/>
    <w:rsid w:val="00131509"/>
    <w:rsid w:val="00134679"/>
    <w:rsid w:val="00137652"/>
    <w:rsid w:val="001379C2"/>
    <w:rsid w:val="001437B0"/>
    <w:rsid w:val="00143B44"/>
    <w:rsid w:val="0015016F"/>
    <w:rsid w:val="00153DC3"/>
    <w:rsid w:val="00155095"/>
    <w:rsid w:val="00155EBB"/>
    <w:rsid w:val="001630F0"/>
    <w:rsid w:val="0016363C"/>
    <w:rsid w:val="001640AC"/>
    <w:rsid w:val="00173DF2"/>
    <w:rsid w:val="001744A2"/>
    <w:rsid w:val="00174719"/>
    <w:rsid w:val="00175243"/>
    <w:rsid w:val="00176CC0"/>
    <w:rsid w:val="00177EC0"/>
    <w:rsid w:val="00181EFF"/>
    <w:rsid w:val="001A1A9C"/>
    <w:rsid w:val="001A282E"/>
    <w:rsid w:val="001A7093"/>
    <w:rsid w:val="001B438E"/>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358C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B254E"/>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447E"/>
    <w:rsid w:val="003671BE"/>
    <w:rsid w:val="00376048"/>
    <w:rsid w:val="00376C2C"/>
    <w:rsid w:val="00376C4A"/>
    <w:rsid w:val="00385013"/>
    <w:rsid w:val="0039063A"/>
    <w:rsid w:val="00393B90"/>
    <w:rsid w:val="00393EF8"/>
    <w:rsid w:val="00395CAF"/>
    <w:rsid w:val="003A0BAE"/>
    <w:rsid w:val="003A14B5"/>
    <w:rsid w:val="003A5CB2"/>
    <w:rsid w:val="003B7C9A"/>
    <w:rsid w:val="003C104F"/>
    <w:rsid w:val="003C131B"/>
    <w:rsid w:val="003C357A"/>
    <w:rsid w:val="003D37C5"/>
    <w:rsid w:val="003D4F18"/>
    <w:rsid w:val="003E5DDB"/>
    <w:rsid w:val="003F28EA"/>
    <w:rsid w:val="003F445E"/>
    <w:rsid w:val="00401D3E"/>
    <w:rsid w:val="00403A20"/>
    <w:rsid w:val="00406AD1"/>
    <w:rsid w:val="0041164E"/>
    <w:rsid w:val="0041796D"/>
    <w:rsid w:val="004275D6"/>
    <w:rsid w:val="0044277B"/>
    <w:rsid w:val="00446DB7"/>
    <w:rsid w:val="00447FBC"/>
    <w:rsid w:val="00455540"/>
    <w:rsid w:val="00461967"/>
    <w:rsid w:val="004744FF"/>
    <w:rsid w:val="00481E24"/>
    <w:rsid w:val="00484D41"/>
    <w:rsid w:val="00484E8D"/>
    <w:rsid w:val="00487904"/>
    <w:rsid w:val="00490530"/>
    <w:rsid w:val="0049060D"/>
    <w:rsid w:val="004A1173"/>
    <w:rsid w:val="004A13F4"/>
    <w:rsid w:val="004A225B"/>
    <w:rsid w:val="004A73C5"/>
    <w:rsid w:val="004B2CCC"/>
    <w:rsid w:val="004B3780"/>
    <w:rsid w:val="004B3B09"/>
    <w:rsid w:val="004B42B1"/>
    <w:rsid w:val="004B4D2F"/>
    <w:rsid w:val="004B5569"/>
    <w:rsid w:val="004B5F2A"/>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A3ACC"/>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312"/>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053A"/>
    <w:rsid w:val="006E2C7A"/>
    <w:rsid w:val="006E456F"/>
    <w:rsid w:val="006E5679"/>
    <w:rsid w:val="006E7909"/>
    <w:rsid w:val="006F2DA6"/>
    <w:rsid w:val="006F774E"/>
    <w:rsid w:val="00700E75"/>
    <w:rsid w:val="00707AC0"/>
    <w:rsid w:val="007206D4"/>
    <w:rsid w:val="007273F0"/>
    <w:rsid w:val="00730CFE"/>
    <w:rsid w:val="007320F2"/>
    <w:rsid w:val="00737D26"/>
    <w:rsid w:val="00737E9A"/>
    <w:rsid w:val="00740560"/>
    <w:rsid w:val="007418E0"/>
    <w:rsid w:val="00746E82"/>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5F97"/>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3C92"/>
    <w:rsid w:val="0080593A"/>
    <w:rsid w:val="00807DC4"/>
    <w:rsid w:val="00811CEF"/>
    <w:rsid w:val="008128D6"/>
    <w:rsid w:val="008148E1"/>
    <w:rsid w:val="00816870"/>
    <w:rsid w:val="00817D3A"/>
    <w:rsid w:val="008317B4"/>
    <w:rsid w:val="0083601D"/>
    <w:rsid w:val="008360E3"/>
    <w:rsid w:val="008373A3"/>
    <w:rsid w:val="0084269C"/>
    <w:rsid w:val="00851DF3"/>
    <w:rsid w:val="00852402"/>
    <w:rsid w:val="0086177A"/>
    <w:rsid w:val="008648C0"/>
    <w:rsid w:val="00866410"/>
    <w:rsid w:val="00867FAB"/>
    <w:rsid w:val="0087042E"/>
    <w:rsid w:val="008712A1"/>
    <w:rsid w:val="0087409F"/>
    <w:rsid w:val="00876083"/>
    <w:rsid w:val="00877C3F"/>
    <w:rsid w:val="00877E3C"/>
    <w:rsid w:val="0088015C"/>
    <w:rsid w:val="00884C20"/>
    <w:rsid w:val="0088592B"/>
    <w:rsid w:val="008864AD"/>
    <w:rsid w:val="00892946"/>
    <w:rsid w:val="008938AA"/>
    <w:rsid w:val="008946E5"/>
    <w:rsid w:val="00894A15"/>
    <w:rsid w:val="00894C3A"/>
    <w:rsid w:val="008951BF"/>
    <w:rsid w:val="008A2CAA"/>
    <w:rsid w:val="008A4CF7"/>
    <w:rsid w:val="008A6A9C"/>
    <w:rsid w:val="008A7125"/>
    <w:rsid w:val="008B1707"/>
    <w:rsid w:val="008B1E6D"/>
    <w:rsid w:val="008B32BE"/>
    <w:rsid w:val="008B471C"/>
    <w:rsid w:val="008C2C3C"/>
    <w:rsid w:val="008C4328"/>
    <w:rsid w:val="008C5B87"/>
    <w:rsid w:val="008C79BB"/>
    <w:rsid w:val="008D1587"/>
    <w:rsid w:val="008D38D9"/>
    <w:rsid w:val="008D767F"/>
    <w:rsid w:val="008E57C2"/>
    <w:rsid w:val="008E5D62"/>
    <w:rsid w:val="008E6AE9"/>
    <w:rsid w:val="008F3AB6"/>
    <w:rsid w:val="008F416D"/>
    <w:rsid w:val="008F6D54"/>
    <w:rsid w:val="008F72F2"/>
    <w:rsid w:val="008F7B26"/>
    <w:rsid w:val="008F7F80"/>
    <w:rsid w:val="00900744"/>
    <w:rsid w:val="00900B2E"/>
    <w:rsid w:val="00901F68"/>
    <w:rsid w:val="00902D21"/>
    <w:rsid w:val="00910948"/>
    <w:rsid w:val="00914F99"/>
    <w:rsid w:val="00930BC1"/>
    <w:rsid w:val="00931126"/>
    <w:rsid w:val="00944B4F"/>
    <w:rsid w:val="0095153B"/>
    <w:rsid w:val="00953DB4"/>
    <w:rsid w:val="00961216"/>
    <w:rsid w:val="0096299E"/>
    <w:rsid w:val="00965163"/>
    <w:rsid w:val="009674B4"/>
    <w:rsid w:val="00970294"/>
    <w:rsid w:val="009750B7"/>
    <w:rsid w:val="00977DAD"/>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671"/>
    <w:rsid w:val="00A11972"/>
    <w:rsid w:val="00A1268C"/>
    <w:rsid w:val="00A16299"/>
    <w:rsid w:val="00A164F1"/>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072"/>
    <w:rsid w:val="00AB4E07"/>
    <w:rsid w:val="00AB6A95"/>
    <w:rsid w:val="00AC09CB"/>
    <w:rsid w:val="00AC198C"/>
    <w:rsid w:val="00AC3133"/>
    <w:rsid w:val="00AC3EF4"/>
    <w:rsid w:val="00AC44F5"/>
    <w:rsid w:val="00AC5B9D"/>
    <w:rsid w:val="00AD178B"/>
    <w:rsid w:val="00AD3FE4"/>
    <w:rsid w:val="00AD7D28"/>
    <w:rsid w:val="00AE05A7"/>
    <w:rsid w:val="00AE3BF1"/>
    <w:rsid w:val="00AE4320"/>
    <w:rsid w:val="00AE61E0"/>
    <w:rsid w:val="00AF2DC5"/>
    <w:rsid w:val="00AF442C"/>
    <w:rsid w:val="00AF46EF"/>
    <w:rsid w:val="00AF5E43"/>
    <w:rsid w:val="00AF74CA"/>
    <w:rsid w:val="00AF778B"/>
    <w:rsid w:val="00B03879"/>
    <w:rsid w:val="00B03AF7"/>
    <w:rsid w:val="00B04498"/>
    <w:rsid w:val="00B04A43"/>
    <w:rsid w:val="00B065DA"/>
    <w:rsid w:val="00B10250"/>
    <w:rsid w:val="00B12082"/>
    <w:rsid w:val="00B14CE3"/>
    <w:rsid w:val="00B20029"/>
    <w:rsid w:val="00B2175B"/>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5F6F"/>
    <w:rsid w:val="00B76B20"/>
    <w:rsid w:val="00B779FE"/>
    <w:rsid w:val="00B800D1"/>
    <w:rsid w:val="00B80FCF"/>
    <w:rsid w:val="00B83212"/>
    <w:rsid w:val="00B8450C"/>
    <w:rsid w:val="00B8462E"/>
    <w:rsid w:val="00B84D1B"/>
    <w:rsid w:val="00B855EA"/>
    <w:rsid w:val="00B968C6"/>
    <w:rsid w:val="00BA5F9D"/>
    <w:rsid w:val="00BB27CA"/>
    <w:rsid w:val="00BB3BD2"/>
    <w:rsid w:val="00BB55C0"/>
    <w:rsid w:val="00BC035F"/>
    <w:rsid w:val="00BC2E39"/>
    <w:rsid w:val="00BC2EE7"/>
    <w:rsid w:val="00BC49B4"/>
    <w:rsid w:val="00BD05AA"/>
    <w:rsid w:val="00BD1A66"/>
    <w:rsid w:val="00BD3618"/>
    <w:rsid w:val="00BD611F"/>
    <w:rsid w:val="00BD7B29"/>
    <w:rsid w:val="00BE12C8"/>
    <w:rsid w:val="00C005F2"/>
    <w:rsid w:val="00C02BDF"/>
    <w:rsid w:val="00C03E14"/>
    <w:rsid w:val="00C10731"/>
    <w:rsid w:val="00C10BDD"/>
    <w:rsid w:val="00C14DCE"/>
    <w:rsid w:val="00C2077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CF4975"/>
    <w:rsid w:val="00D01031"/>
    <w:rsid w:val="00D068A7"/>
    <w:rsid w:val="00D07E75"/>
    <w:rsid w:val="00D12FA1"/>
    <w:rsid w:val="00D14BAE"/>
    <w:rsid w:val="00D15EC7"/>
    <w:rsid w:val="00D224CC"/>
    <w:rsid w:val="00D23C30"/>
    <w:rsid w:val="00D24AB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DF6641"/>
    <w:rsid w:val="00E022E3"/>
    <w:rsid w:val="00E03B7C"/>
    <w:rsid w:val="00E052C6"/>
    <w:rsid w:val="00E10773"/>
    <w:rsid w:val="00E1478F"/>
    <w:rsid w:val="00E15AA3"/>
    <w:rsid w:val="00E20239"/>
    <w:rsid w:val="00E20901"/>
    <w:rsid w:val="00E2252B"/>
    <w:rsid w:val="00E225AC"/>
    <w:rsid w:val="00E24DC2"/>
    <w:rsid w:val="00E26241"/>
    <w:rsid w:val="00E30992"/>
    <w:rsid w:val="00E3112C"/>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5E2C"/>
    <w:rsid w:val="00EC6140"/>
    <w:rsid w:val="00ED73BF"/>
    <w:rsid w:val="00EE0046"/>
    <w:rsid w:val="00EE549F"/>
    <w:rsid w:val="00EE5D39"/>
    <w:rsid w:val="00EF11E3"/>
    <w:rsid w:val="00EF13CA"/>
    <w:rsid w:val="00EF2E82"/>
    <w:rsid w:val="00F023A4"/>
    <w:rsid w:val="00F06C96"/>
    <w:rsid w:val="00F1016F"/>
    <w:rsid w:val="00F11331"/>
    <w:rsid w:val="00F13493"/>
    <w:rsid w:val="00F15891"/>
    <w:rsid w:val="00F16832"/>
    <w:rsid w:val="00F24784"/>
    <w:rsid w:val="00F2657B"/>
    <w:rsid w:val="00F30486"/>
    <w:rsid w:val="00F30675"/>
    <w:rsid w:val="00F33659"/>
    <w:rsid w:val="00F35B0B"/>
    <w:rsid w:val="00F35C32"/>
    <w:rsid w:val="00F40FE7"/>
    <w:rsid w:val="00F437BD"/>
    <w:rsid w:val="00F4704E"/>
    <w:rsid w:val="00F5044D"/>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3849"/>
    <w:rsid w:val="00F86045"/>
    <w:rsid w:val="00F867B3"/>
    <w:rsid w:val="00F90EB4"/>
    <w:rsid w:val="00F92A08"/>
    <w:rsid w:val="00F94487"/>
    <w:rsid w:val="00F94BFA"/>
    <w:rsid w:val="00F95914"/>
    <w:rsid w:val="00FA1FD9"/>
    <w:rsid w:val="00FA2B84"/>
    <w:rsid w:val="00FA6DBC"/>
    <w:rsid w:val="00FB00B3"/>
    <w:rsid w:val="00FB0C9B"/>
    <w:rsid w:val="00FB15D1"/>
    <w:rsid w:val="00FB4688"/>
    <w:rsid w:val="00FB5979"/>
    <w:rsid w:val="00FB69A5"/>
    <w:rsid w:val="00FC1BEE"/>
    <w:rsid w:val="00FC1D54"/>
    <w:rsid w:val="00FC20C3"/>
    <w:rsid w:val="00FC38F3"/>
    <w:rsid w:val="00FC47FB"/>
    <w:rsid w:val="00FC5115"/>
    <w:rsid w:val="00FC601C"/>
    <w:rsid w:val="00FD3095"/>
    <w:rsid w:val="00FD4E57"/>
    <w:rsid w:val="00FE18C9"/>
    <w:rsid w:val="00FE1FC9"/>
    <w:rsid w:val="00FE5DD9"/>
    <w:rsid w:val="00FE619F"/>
    <w:rsid w:val="00FE6E69"/>
    <w:rsid w:val="00FF060E"/>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740210"/>
    <w:rPr>
      <w:rFonts w:ascii="Cambria" w:eastAsia="Times New Roman"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customStyle="1" w:styleId="st">
    <w:name w:val="st"/>
    <w:basedOn w:val="Policepardfaut"/>
    <w:rsid w:val="002358C6"/>
  </w:style>
  <w:style w:type="paragraph" w:styleId="PrformatHTML">
    <w:name w:val="HTML Preformatted"/>
    <w:basedOn w:val="Normal"/>
    <w:link w:val="PrformatHTMLCar"/>
    <w:uiPriority w:val="99"/>
    <w:semiHidden/>
    <w:unhideWhenUsed/>
    <w:rsid w:val="00AD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AD178B"/>
    <w:rPr>
      <w:rFonts w:ascii="Courier New" w:hAnsi="Courier New" w:cs="Courier New"/>
    </w:rPr>
  </w:style>
  <w:style w:type="paragraph" w:customStyle="1" w:styleId="normal0">
    <w:name w:val="normal"/>
    <w:rsid w:val="00FC47FB"/>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1400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ٌٌٌRedressement progressif de la FBCF durant 2010…</vt:lpstr>
      <vt:lpstr>ٌٌٌRedressement progressif de la FBCF durant 2010…</vt:lpstr>
    </vt:vector>
  </TitlesOfParts>
  <Company>Hewlett-Packard Company</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6</cp:revision>
  <cp:lastPrinted>2018-06-05T10:20:00Z</cp:lastPrinted>
  <dcterms:created xsi:type="dcterms:W3CDTF">2019-05-23T13:30:00Z</dcterms:created>
  <dcterms:modified xsi:type="dcterms:W3CDTF">2019-05-23T13:42:00Z</dcterms:modified>
</cp:coreProperties>
</file>