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6C4BDA" w:rsidRDefault="006C4BDA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6A1B1D" w:rsidRDefault="006A1B1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7F7939" w:rsidRDefault="007F7939" w:rsidP="007F7939">
      <w:pPr>
        <w:jc w:val="center"/>
        <w:rPr>
          <w:b/>
          <w:bCs/>
          <w:shadow/>
          <w:color w:val="FF9900"/>
          <w:sz w:val="30"/>
          <w:szCs w:val="30"/>
          <w:rtl/>
        </w:rPr>
      </w:pP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بي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ــ</w:t>
      </w: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ان صح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ـــ</w:t>
      </w: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في</w:t>
      </w:r>
    </w:p>
    <w:p w:rsidR="00490F5D" w:rsidRPr="0042218B" w:rsidRDefault="00490F5D" w:rsidP="00AA4807">
      <w:pPr>
        <w:jc w:val="center"/>
        <w:rPr>
          <w:b/>
          <w:bCs/>
          <w:shadow/>
          <w:color w:val="FF9900"/>
          <w:sz w:val="30"/>
          <w:szCs w:val="30"/>
        </w:rPr>
      </w:pPr>
    </w:p>
    <w:p w:rsidR="00314F47" w:rsidRPr="00314F47" w:rsidRDefault="00314F47" w:rsidP="00314F47">
      <w:pPr>
        <w:bidi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</w:pPr>
      <w:proofErr w:type="gramStart"/>
      <w:r w:rsidRPr="00314F47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ممثلا</w:t>
      </w:r>
      <w:proofErr w:type="gramEnd"/>
      <w:r w:rsidRPr="00314F47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 xml:space="preserve"> بالمندوبية السامية للتخطيط، </w:t>
      </w:r>
    </w:p>
    <w:p w:rsidR="00314F47" w:rsidRPr="00314F47" w:rsidRDefault="00314F47" w:rsidP="00314F47">
      <w:pPr>
        <w:bidi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</w:pPr>
      <w:proofErr w:type="gramStart"/>
      <w:r w:rsidRPr="00314F47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المغرب</w:t>
      </w:r>
      <w:proofErr w:type="gramEnd"/>
      <w:r w:rsidRPr="00314F47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 xml:space="preserve"> مصنف في المرتبة 42 من أصل 178 بلد على الصعيد العالمي </w:t>
      </w:r>
    </w:p>
    <w:p w:rsidR="00314F47" w:rsidRPr="008578CF" w:rsidRDefault="00314F47" w:rsidP="00314F47">
      <w:pPr>
        <w:bidi/>
        <w:jc w:val="center"/>
        <w:rPr>
          <w:b/>
          <w:bCs/>
          <w:sz w:val="32"/>
          <w:szCs w:val="32"/>
          <w:rtl/>
          <w:lang w:bidi="ar-MA"/>
        </w:rPr>
      </w:pPr>
      <w:r w:rsidRPr="00314F47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في مجال البيانات المفتوحة</w:t>
      </w:r>
    </w:p>
    <w:p w:rsidR="00CB23AA" w:rsidRPr="00687F49" w:rsidRDefault="00CB23AA" w:rsidP="00CB2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lang w:bidi="ar-MA"/>
        </w:rPr>
      </w:pPr>
    </w:p>
    <w:p w:rsidR="006C4BDA" w:rsidRPr="006C4BDA" w:rsidRDefault="006C4BDA" w:rsidP="006C4BDA">
      <w:pPr>
        <w:pStyle w:val="normal0"/>
        <w:bidi/>
        <w:ind w:firstLine="708"/>
        <w:jc w:val="both"/>
        <w:rPr>
          <w:rFonts w:cs="Times New Roman"/>
          <w:b/>
          <w:bCs/>
          <w:color w:val="7F7F7F" w:themeColor="text1" w:themeTint="80"/>
          <w:sz w:val="30"/>
          <w:szCs w:val="30"/>
          <w:rtl/>
        </w:rPr>
      </w:pPr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تم</w:t>
      </w:r>
      <w:proofErr w:type="gram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تصنيف</w:t>
      </w:r>
      <w:proofErr w:type="gram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المغرب ممثلا بالمندوبية السامية للتخطيط سنة 2018 في المرتبة 42 من أصل 178 بلد على الصعيد العالمي تم تقييمها حسب مؤشر البيانات المفتوحة الذي يعتمده مرصد البيانات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المفتوحة،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محتلا بذلك الصف الأول في منطقة شمال إفريقيا والثاني في المنطقة العربية والثالث على الصعيد الإفريقي ب 57.5 نقطة بعد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روندا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وجزر موريس اللذين أحرزا على التوالي على  58.3 و 57.9 نقطة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.</w:t>
      </w:r>
      <w:proofErr w:type="spellEnd"/>
    </w:p>
    <w:p w:rsidR="006C4BDA" w:rsidRPr="006C4BDA" w:rsidRDefault="006C4BDA" w:rsidP="006C4BDA">
      <w:pPr>
        <w:pStyle w:val="normal0"/>
        <w:bidi/>
        <w:ind w:firstLine="708"/>
        <w:jc w:val="both"/>
        <w:rPr>
          <w:rFonts w:cs="Times New Roman"/>
          <w:b/>
          <w:bCs/>
          <w:color w:val="7F7F7F" w:themeColor="text1" w:themeTint="80"/>
          <w:sz w:val="30"/>
          <w:szCs w:val="30"/>
          <w:rtl/>
        </w:rPr>
      </w:pPr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ويكرس هذا التصنيف على الصعيد الدولي التطور الذي حققته المندوبية السامية للتخطيط في مجال البيانات 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المفتوحة،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على أنه من المنتظر أن يتحسن في المستقبل مع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الإغناء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المرتقب لقاعدة المعطيات الإحصائية لهذه المؤسسة بمؤشرات جديدة ووضع قواعد المعطيات الفردية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(</w:t>
      </w:r>
      <w:proofErr w:type="spellEnd"/>
      <w:r w:rsidRPr="006C4BDA">
        <w:rPr>
          <w:rFonts w:cs="Times New Roman"/>
          <w:b/>
          <w:bCs/>
          <w:color w:val="7F7F7F" w:themeColor="text1" w:themeTint="80"/>
          <w:sz w:val="30"/>
          <w:szCs w:val="30"/>
        </w:rPr>
        <w:t>(micro-données</w:t>
      </w:r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لعملياتها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الإحصائية،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بعد حجب هوية الأفراد المعنيين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بها</w:t>
      </w:r>
      <w:proofErr w:type="spellEnd"/>
      <w:r w:rsidRPr="006C4BDA">
        <w:rPr>
          <w:rFonts w:cs="Times New Roman"/>
          <w:b/>
          <w:bCs/>
          <w:color w:val="7F7F7F" w:themeColor="text1" w:themeTint="80"/>
          <w:sz w:val="30"/>
          <w:szCs w:val="30"/>
        </w:rPr>
        <w:t xml:space="preserve">(Anonymisation)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،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في متناول ذوي الاختصاص والاهتمام بموضوعها. كما قد يتحسن هذا التصنيف بكيفية أكبر كلما تم تزويد المندوبية السامية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للتخطيط،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وفق المعايير الإحصائية المعتمدة وبكيفية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مؤسساتية،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من طرف القطاعات بما تتوفر عليه من معطيات دالة حول أنشطتها.</w:t>
      </w:r>
    </w:p>
    <w:p w:rsidR="003E328B" w:rsidRPr="006C4BDA" w:rsidRDefault="006C4BDA" w:rsidP="006C4BDA">
      <w:pPr>
        <w:pStyle w:val="normal0"/>
        <w:bidi/>
        <w:ind w:firstLine="708"/>
        <w:jc w:val="both"/>
        <w:rPr>
          <w:rFonts w:cs="Times New Roman"/>
          <w:b/>
          <w:bCs/>
          <w:color w:val="7F7F7F" w:themeColor="text1" w:themeTint="80"/>
          <w:sz w:val="30"/>
          <w:szCs w:val="30"/>
        </w:rPr>
      </w:pPr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ويقوم مرصد البيانات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المفتوحة،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المعروف على الصعيد الدولي بمهنيته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واستقلاليته،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بتقييم دولي للأجهزة الوطنية للإحصاء في مجال البيانات المفتوحة </w:t>
      </w:r>
      <w:proofErr w:type="spellStart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>ويشتغل</w:t>
      </w:r>
      <w:proofErr w:type="spellEnd"/>
      <w:r w:rsidRPr="006C4BDA">
        <w:rPr>
          <w:rFonts w:cs="Times New Roman" w:hint="cs"/>
          <w:b/>
          <w:bCs/>
          <w:color w:val="7F7F7F" w:themeColor="text1" w:themeTint="80"/>
          <w:sz w:val="30"/>
          <w:szCs w:val="30"/>
          <w:rtl/>
        </w:rPr>
        <w:t xml:space="preserve"> بتنسيق مستمر مع قسم الإحصاء التابع للأمم المتحدة. ويعتبر مؤشر البيانات المفتوحة مؤشرا مركبا لتقييم المواقع الالكترونية بناءا على معايير مرتبطة بتغطية وانفتاح المعطيات المنشورة.</w:t>
      </w:r>
    </w:p>
    <w:p w:rsidR="00D21C27" w:rsidRPr="006C4BDA" w:rsidRDefault="00D21C27" w:rsidP="006C4BDA">
      <w:pPr>
        <w:pStyle w:val="normal0"/>
        <w:bidi/>
        <w:ind w:firstLine="708"/>
        <w:jc w:val="both"/>
        <w:rPr>
          <w:rFonts w:cs="Times New Roman"/>
          <w:b/>
          <w:bCs/>
          <w:color w:val="7F7F7F" w:themeColor="text1" w:themeTint="80"/>
          <w:sz w:val="30"/>
          <w:szCs w:val="30"/>
        </w:rPr>
      </w:pPr>
    </w:p>
    <w:p w:rsidR="003E328B" w:rsidRPr="006C4BDA" w:rsidRDefault="003E328B" w:rsidP="006C4BDA">
      <w:pPr>
        <w:pStyle w:val="normal0"/>
        <w:bidi/>
        <w:ind w:firstLine="708"/>
        <w:jc w:val="both"/>
        <w:rPr>
          <w:rFonts w:cs="Times New Roman"/>
          <w:b/>
          <w:bCs/>
          <w:color w:val="7F7F7F" w:themeColor="text1" w:themeTint="80"/>
          <w:sz w:val="30"/>
          <w:szCs w:val="30"/>
          <w:rtl/>
        </w:rPr>
      </w:pPr>
    </w:p>
    <w:p w:rsidR="00D21C27" w:rsidRDefault="00D21C27" w:rsidP="00AA4807">
      <w:pPr>
        <w:bidi/>
        <w:ind w:firstLine="708"/>
        <w:jc w:val="both"/>
        <w:rPr>
          <w:b/>
          <w:bCs/>
          <w:color w:val="808080"/>
          <w:sz w:val="28"/>
          <w:szCs w:val="28"/>
        </w:rPr>
      </w:pPr>
    </w:p>
    <w:sectPr w:rsidR="00D21C27" w:rsidSect="009B253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64" w:rsidRDefault="00042364">
      <w:r>
        <w:separator/>
      </w:r>
    </w:p>
  </w:endnote>
  <w:endnote w:type="continuationSeparator" w:id="0">
    <w:p w:rsidR="00042364" w:rsidRDefault="0004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013B3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D013B3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C4BD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C4BD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013B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64" w:rsidRDefault="00042364">
      <w:r>
        <w:separator/>
      </w:r>
    </w:p>
  </w:footnote>
  <w:footnote w:type="continuationSeparator" w:id="0">
    <w:p w:rsidR="00042364" w:rsidRDefault="00042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9E2"/>
    <w:rsid w:val="00006FD8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357F8"/>
    <w:rsid w:val="00042364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503F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644C2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B4D85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1F73F4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014E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4F47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D7C32"/>
    <w:rsid w:val="003E328B"/>
    <w:rsid w:val="003E5DDB"/>
    <w:rsid w:val="003F28EA"/>
    <w:rsid w:val="003F445E"/>
    <w:rsid w:val="003F7274"/>
    <w:rsid w:val="00401D3E"/>
    <w:rsid w:val="00403A20"/>
    <w:rsid w:val="0041796D"/>
    <w:rsid w:val="0042218B"/>
    <w:rsid w:val="004275D6"/>
    <w:rsid w:val="004374C7"/>
    <w:rsid w:val="00445EF9"/>
    <w:rsid w:val="00446DB7"/>
    <w:rsid w:val="00447FBC"/>
    <w:rsid w:val="00455540"/>
    <w:rsid w:val="004744FF"/>
    <w:rsid w:val="00481E24"/>
    <w:rsid w:val="00484E8D"/>
    <w:rsid w:val="0049060D"/>
    <w:rsid w:val="00490F5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126C"/>
    <w:rsid w:val="0052635A"/>
    <w:rsid w:val="00537897"/>
    <w:rsid w:val="00541C46"/>
    <w:rsid w:val="00542043"/>
    <w:rsid w:val="00542E3A"/>
    <w:rsid w:val="0054655F"/>
    <w:rsid w:val="00547ECD"/>
    <w:rsid w:val="00550169"/>
    <w:rsid w:val="00550E9B"/>
    <w:rsid w:val="005549EE"/>
    <w:rsid w:val="0056068D"/>
    <w:rsid w:val="00560DD1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87F49"/>
    <w:rsid w:val="00690CED"/>
    <w:rsid w:val="00692552"/>
    <w:rsid w:val="00694FF6"/>
    <w:rsid w:val="00695BAE"/>
    <w:rsid w:val="00696598"/>
    <w:rsid w:val="006A15D8"/>
    <w:rsid w:val="006A1B1D"/>
    <w:rsid w:val="006A3883"/>
    <w:rsid w:val="006B1766"/>
    <w:rsid w:val="006B5F68"/>
    <w:rsid w:val="006C4BDA"/>
    <w:rsid w:val="006D22BC"/>
    <w:rsid w:val="006D4D78"/>
    <w:rsid w:val="006D4F49"/>
    <w:rsid w:val="006D7AEF"/>
    <w:rsid w:val="006D7FA4"/>
    <w:rsid w:val="006E2C7A"/>
    <w:rsid w:val="006E456F"/>
    <w:rsid w:val="006E5679"/>
    <w:rsid w:val="006E7909"/>
    <w:rsid w:val="006E7B74"/>
    <w:rsid w:val="006F2804"/>
    <w:rsid w:val="00700E75"/>
    <w:rsid w:val="007074C3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2F0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7F7939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158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4EF1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B74BE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175D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3E8"/>
    <w:rsid w:val="00A76F8C"/>
    <w:rsid w:val="00A821C4"/>
    <w:rsid w:val="00A8308B"/>
    <w:rsid w:val="00A834E9"/>
    <w:rsid w:val="00A84BFF"/>
    <w:rsid w:val="00A859EE"/>
    <w:rsid w:val="00A87B84"/>
    <w:rsid w:val="00AA3E6A"/>
    <w:rsid w:val="00AA4807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1AA4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A6DDC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1170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23AA"/>
    <w:rsid w:val="00CB3A44"/>
    <w:rsid w:val="00CB7FFA"/>
    <w:rsid w:val="00CC289A"/>
    <w:rsid w:val="00CC5A17"/>
    <w:rsid w:val="00CC5F3B"/>
    <w:rsid w:val="00CD6E99"/>
    <w:rsid w:val="00CD7C5C"/>
    <w:rsid w:val="00CE08CE"/>
    <w:rsid w:val="00CE630B"/>
    <w:rsid w:val="00CE718A"/>
    <w:rsid w:val="00CE7BB5"/>
    <w:rsid w:val="00CE7D4C"/>
    <w:rsid w:val="00CF12C8"/>
    <w:rsid w:val="00CF3217"/>
    <w:rsid w:val="00D01031"/>
    <w:rsid w:val="00D013B3"/>
    <w:rsid w:val="00D07E75"/>
    <w:rsid w:val="00D12FA1"/>
    <w:rsid w:val="00D14BAE"/>
    <w:rsid w:val="00D156B4"/>
    <w:rsid w:val="00D15EC7"/>
    <w:rsid w:val="00D21C27"/>
    <w:rsid w:val="00D224CC"/>
    <w:rsid w:val="00D25594"/>
    <w:rsid w:val="00D30672"/>
    <w:rsid w:val="00D30B74"/>
    <w:rsid w:val="00D40AE4"/>
    <w:rsid w:val="00D46A93"/>
    <w:rsid w:val="00D475D3"/>
    <w:rsid w:val="00D4763E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92EF1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0833"/>
    <w:rsid w:val="00EF13CA"/>
    <w:rsid w:val="00EF3F98"/>
    <w:rsid w:val="00F01474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4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4807"/>
    <w:rPr>
      <w:rFonts w:ascii="Courier New" w:hAnsi="Courier New" w:cs="Courier New"/>
      <w:sz w:val="20"/>
      <w:szCs w:val="20"/>
    </w:rPr>
  </w:style>
  <w:style w:type="paragraph" w:customStyle="1" w:styleId="normal0">
    <w:name w:val="normal"/>
    <w:rsid w:val="003E328B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3</cp:revision>
  <cp:lastPrinted>2012-11-26T10:50:00Z</cp:lastPrinted>
  <dcterms:created xsi:type="dcterms:W3CDTF">2019-05-23T13:49:00Z</dcterms:created>
  <dcterms:modified xsi:type="dcterms:W3CDTF">2019-05-23T13:59:00Z</dcterms:modified>
</cp:coreProperties>
</file>