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B85530" w:rsidRDefault="00564788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9F2C03" w:rsidRPr="00E82E2E" w:rsidRDefault="009F2C03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7C2F91" w:rsidRPr="00082526" w:rsidRDefault="007C2F91" w:rsidP="007C2F91">
      <w:pPr>
        <w:ind w:left="993" w:hanging="993"/>
        <w:jc w:val="both"/>
        <w:rPr>
          <w:rFonts w:ascii="Book Antiqua" w:hAnsi="Book Antiqua"/>
          <w:b/>
          <w:bCs/>
          <w:rtl/>
        </w:rPr>
      </w:pPr>
    </w:p>
    <w:p w:rsidR="008E5D62" w:rsidRPr="003A45DD" w:rsidRDefault="003A45DD" w:rsidP="003A3A12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32"/>
          <w:szCs w:val="32"/>
        </w:rPr>
      </w:pPr>
      <w:r w:rsidRPr="003A45DD">
        <w:rPr>
          <w:rFonts w:ascii="Palatino" w:hAnsi="Palatino" w:hint="cs"/>
          <w:b/>
          <w:bCs/>
          <w:shadow/>
          <w:color w:val="FF9900"/>
          <w:sz w:val="32"/>
          <w:szCs w:val="32"/>
          <w:rtl/>
        </w:rPr>
        <w:t>ب</w:t>
      </w:r>
      <w:r>
        <w:rPr>
          <w:rFonts w:ascii="Palatino" w:hAnsi="Palatino" w:hint="cs"/>
          <w:b/>
          <w:bCs/>
          <w:shadow/>
          <w:color w:val="FF9900"/>
          <w:sz w:val="32"/>
          <w:szCs w:val="32"/>
          <w:rtl/>
        </w:rPr>
        <w:t>ــــــ</w:t>
      </w:r>
      <w:r w:rsidRPr="003A45DD">
        <w:rPr>
          <w:rFonts w:ascii="Palatino" w:hAnsi="Palatino" w:hint="cs"/>
          <w:b/>
          <w:bCs/>
          <w:shadow/>
          <w:color w:val="FF9900"/>
          <w:sz w:val="32"/>
          <w:szCs w:val="32"/>
          <w:rtl/>
        </w:rPr>
        <w:t>لاغ صح</w:t>
      </w:r>
      <w:r>
        <w:rPr>
          <w:rFonts w:ascii="Palatino" w:hAnsi="Palatino" w:hint="cs"/>
          <w:b/>
          <w:bCs/>
          <w:shadow/>
          <w:color w:val="FF9900"/>
          <w:sz w:val="32"/>
          <w:szCs w:val="32"/>
          <w:rtl/>
        </w:rPr>
        <w:t>ـــــ</w:t>
      </w:r>
      <w:r w:rsidRPr="003A45DD">
        <w:rPr>
          <w:rFonts w:ascii="Palatino" w:hAnsi="Palatino" w:hint="cs"/>
          <w:b/>
          <w:bCs/>
          <w:shadow/>
          <w:color w:val="FF9900"/>
          <w:sz w:val="32"/>
          <w:szCs w:val="32"/>
          <w:rtl/>
        </w:rPr>
        <w:t>في</w:t>
      </w:r>
    </w:p>
    <w:p w:rsidR="00082526" w:rsidRDefault="00082526" w:rsidP="003A45DD">
      <w:pPr>
        <w:spacing w:line="276" w:lineRule="auto"/>
        <w:ind w:firstLine="709"/>
        <w:jc w:val="right"/>
        <w:rPr>
          <w:b/>
          <w:bCs/>
          <w:color w:val="808080"/>
          <w:rtl/>
          <w:lang w:bidi="ar-MA"/>
        </w:rPr>
      </w:pPr>
    </w:p>
    <w:p w:rsidR="00F631AD" w:rsidRDefault="00F631AD" w:rsidP="003A45DD">
      <w:pPr>
        <w:spacing w:line="276" w:lineRule="auto"/>
        <w:ind w:firstLine="709"/>
        <w:jc w:val="right"/>
        <w:rPr>
          <w:b/>
          <w:bCs/>
          <w:color w:val="808080"/>
          <w:rtl/>
          <w:lang w:bidi="ar-MA"/>
        </w:rPr>
      </w:pPr>
    </w:p>
    <w:p w:rsidR="005A2D46" w:rsidRPr="005A2D46" w:rsidRDefault="005A2D46" w:rsidP="005A2D46">
      <w:pPr>
        <w:jc w:val="center"/>
        <w:rPr>
          <w:rFonts w:ascii="Palatino" w:hAnsi="Palatino"/>
          <w:b/>
          <w:bCs/>
          <w:shadow/>
          <w:color w:val="800080"/>
          <w:sz w:val="32"/>
          <w:szCs w:val="32"/>
        </w:rPr>
      </w:pPr>
      <w:r w:rsidRPr="005A2D46">
        <w:rPr>
          <w:rFonts w:ascii="Palatino" w:hAnsi="Palatino" w:hint="cs"/>
          <w:b/>
          <w:bCs/>
          <w:shadow/>
          <w:color w:val="800080"/>
          <w:sz w:val="32"/>
          <w:szCs w:val="32"/>
          <w:rtl/>
        </w:rPr>
        <w:t xml:space="preserve">انتخاب المندوبية السامية للتخطيط </w:t>
      </w:r>
      <w:proofErr w:type="gramStart"/>
      <w:r w:rsidRPr="005A2D46">
        <w:rPr>
          <w:rFonts w:ascii="Palatino" w:hAnsi="Palatino" w:hint="cs"/>
          <w:b/>
          <w:bCs/>
          <w:shadow/>
          <w:color w:val="800080"/>
          <w:sz w:val="32"/>
          <w:szCs w:val="32"/>
          <w:rtl/>
        </w:rPr>
        <w:t>رئيسا</w:t>
      </w:r>
      <w:proofErr w:type="gramEnd"/>
      <w:r w:rsidRPr="005A2D46">
        <w:rPr>
          <w:rFonts w:ascii="Palatino" w:hAnsi="Palatino" w:hint="cs"/>
          <w:b/>
          <w:bCs/>
          <w:shadow/>
          <w:color w:val="800080"/>
          <w:sz w:val="32"/>
          <w:szCs w:val="32"/>
          <w:rtl/>
        </w:rPr>
        <w:t xml:space="preserve"> مشتركا مع المفوضية الأوروبية</w:t>
      </w:r>
    </w:p>
    <w:p w:rsidR="005A2D46" w:rsidRPr="005A2D46" w:rsidRDefault="005A2D46" w:rsidP="005A2D46">
      <w:pPr>
        <w:jc w:val="center"/>
        <w:rPr>
          <w:rFonts w:ascii="Palatino" w:hAnsi="Palatino"/>
          <w:b/>
          <w:bCs/>
          <w:shadow/>
          <w:color w:val="800080"/>
          <w:sz w:val="32"/>
          <w:szCs w:val="32"/>
          <w:rtl/>
        </w:rPr>
      </w:pPr>
      <w:r w:rsidRPr="005A2D46">
        <w:rPr>
          <w:rFonts w:ascii="Palatino" w:hAnsi="Palatino" w:hint="cs"/>
          <w:b/>
          <w:bCs/>
          <w:shadow/>
          <w:color w:val="800080"/>
          <w:sz w:val="32"/>
          <w:szCs w:val="32"/>
          <w:rtl/>
        </w:rPr>
        <w:t>ل</w:t>
      </w:r>
      <w:r w:rsidRPr="005A2D46">
        <w:rPr>
          <w:rFonts w:ascii="Palatino" w:hAnsi="Palatino"/>
          <w:b/>
          <w:bCs/>
          <w:shadow/>
          <w:color w:val="800080"/>
          <w:sz w:val="32"/>
          <w:szCs w:val="32"/>
          <w:rtl/>
        </w:rPr>
        <w:t xml:space="preserve">منتدى </w:t>
      </w:r>
      <w:r w:rsidRPr="005A2D46">
        <w:rPr>
          <w:rFonts w:ascii="Palatino" w:hAnsi="Palatino" w:hint="cs"/>
          <w:b/>
          <w:bCs/>
          <w:shadow/>
          <w:color w:val="800080"/>
          <w:sz w:val="32"/>
          <w:szCs w:val="32"/>
          <w:rtl/>
        </w:rPr>
        <w:t>الإ</w:t>
      </w:r>
      <w:r w:rsidRPr="005A2D46">
        <w:rPr>
          <w:rFonts w:ascii="Palatino" w:hAnsi="Palatino"/>
          <w:b/>
          <w:bCs/>
          <w:shadow/>
          <w:color w:val="800080"/>
          <w:sz w:val="32"/>
          <w:szCs w:val="32"/>
          <w:rtl/>
        </w:rPr>
        <w:t xml:space="preserve">حصائيين </w:t>
      </w:r>
      <w:proofErr w:type="spellStart"/>
      <w:r w:rsidRPr="005A2D46">
        <w:rPr>
          <w:rFonts w:ascii="Palatino" w:hAnsi="Palatino" w:hint="cs"/>
          <w:b/>
          <w:bCs/>
          <w:shadow/>
          <w:color w:val="800080"/>
          <w:sz w:val="32"/>
          <w:szCs w:val="32"/>
          <w:rtl/>
        </w:rPr>
        <w:t>الأورو</w:t>
      </w:r>
      <w:r w:rsidRPr="005A2D46">
        <w:rPr>
          <w:rFonts w:ascii="Palatino" w:hAnsi="Palatino"/>
          <w:b/>
          <w:bCs/>
          <w:shadow/>
          <w:color w:val="800080"/>
          <w:sz w:val="32"/>
          <w:szCs w:val="32"/>
          <w:rtl/>
        </w:rPr>
        <w:t>–</w:t>
      </w:r>
      <w:proofErr w:type="spellEnd"/>
      <w:r w:rsidRPr="005A2D46">
        <w:rPr>
          <w:rFonts w:ascii="Palatino" w:hAnsi="Palatino"/>
          <w:b/>
          <w:bCs/>
          <w:shadow/>
          <w:color w:val="800080"/>
          <w:sz w:val="32"/>
          <w:szCs w:val="32"/>
          <w:rtl/>
        </w:rPr>
        <w:t xml:space="preserve"> متوسطي</w:t>
      </w:r>
      <w:r w:rsidRPr="005A2D46">
        <w:rPr>
          <w:rFonts w:ascii="Palatino" w:hAnsi="Palatino" w:hint="cs"/>
          <w:b/>
          <w:bCs/>
          <w:shadow/>
          <w:color w:val="800080"/>
          <w:sz w:val="32"/>
          <w:szCs w:val="32"/>
          <w:rtl/>
        </w:rPr>
        <w:t>ين</w:t>
      </w:r>
    </w:p>
    <w:p w:rsidR="005A2D46" w:rsidRDefault="005A2D46" w:rsidP="005A2D46">
      <w:pPr>
        <w:jc w:val="center"/>
        <w:rPr>
          <w:rFonts w:ascii="Simplified Arabic" w:hAnsi="Simplified Arabic" w:cs="Simplified Arabic" w:hint="cs"/>
          <w:sz w:val="20"/>
          <w:szCs w:val="20"/>
          <w:rtl/>
        </w:rPr>
      </w:pPr>
    </w:p>
    <w:p w:rsidR="005A2D46" w:rsidRPr="006575B8" w:rsidRDefault="005A2D46" w:rsidP="005A2D46">
      <w:pPr>
        <w:jc w:val="center"/>
        <w:rPr>
          <w:rFonts w:ascii="Simplified Arabic" w:hAnsi="Simplified Arabic" w:cs="Simplified Arabic"/>
          <w:sz w:val="20"/>
          <w:szCs w:val="20"/>
        </w:rPr>
      </w:pPr>
    </w:p>
    <w:p w:rsidR="005A2D46" w:rsidRDefault="005A2D46" w:rsidP="005A2D46">
      <w:pPr>
        <w:bidi/>
        <w:spacing w:line="312" w:lineRule="auto"/>
        <w:jc w:val="both"/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</w:pPr>
      <w:r w:rsidRPr="005A2D46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 xml:space="preserve">مع </w:t>
      </w:r>
      <w:proofErr w:type="spellStart"/>
      <w:r w:rsidRPr="005A2D46">
        <w:rPr>
          <w:rFonts w:ascii="Arial" w:hAnsi="Arial"/>
          <w:b/>
          <w:bCs/>
          <w:color w:val="808080" w:themeColor="background1" w:themeShade="80"/>
          <w:sz w:val="26"/>
          <w:szCs w:val="26"/>
          <w:rtl/>
        </w:rPr>
        <w:t>رئاست</w:t>
      </w:r>
      <w:r w:rsidRPr="005A2D46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>ها</w:t>
      </w:r>
      <w:r w:rsidRPr="005A2D46">
        <w:rPr>
          <w:rFonts w:ascii="Arial" w:hAnsi="Arial"/>
          <w:b/>
          <w:bCs/>
          <w:color w:val="808080" w:themeColor="background1" w:themeShade="80"/>
          <w:sz w:val="26"/>
          <w:szCs w:val="26"/>
          <w:rtl/>
        </w:rPr>
        <w:t>،</w:t>
      </w:r>
      <w:proofErr w:type="spellEnd"/>
      <w:r w:rsidRPr="005A2D46">
        <w:rPr>
          <w:rFonts w:ascii="Arial" w:hAnsi="Arial"/>
          <w:b/>
          <w:bCs/>
          <w:color w:val="808080" w:themeColor="background1" w:themeShade="80"/>
          <w:sz w:val="26"/>
          <w:szCs w:val="26"/>
          <w:rtl/>
        </w:rPr>
        <w:t xml:space="preserve"> منذ </w:t>
      </w:r>
      <w:r w:rsidRPr="005A2D46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>سنة</w:t>
      </w:r>
      <w:r w:rsidRPr="005A2D46">
        <w:rPr>
          <w:rFonts w:ascii="Arial" w:hAnsi="Arial"/>
          <w:b/>
          <w:bCs/>
          <w:color w:val="808080" w:themeColor="background1" w:themeShade="80"/>
          <w:sz w:val="26"/>
          <w:szCs w:val="26"/>
          <w:rtl/>
        </w:rPr>
        <w:t xml:space="preserve"> 2014، </w:t>
      </w:r>
      <w:r w:rsidRPr="005A2D46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>ل</w:t>
      </w:r>
      <w:r w:rsidRPr="005A2D46">
        <w:rPr>
          <w:rFonts w:ascii="Arial" w:hAnsi="Arial"/>
          <w:b/>
          <w:bCs/>
          <w:color w:val="808080" w:themeColor="background1" w:themeShade="80"/>
          <w:sz w:val="26"/>
          <w:szCs w:val="26"/>
          <w:rtl/>
        </w:rPr>
        <w:t xml:space="preserve">ثلاث مجموعات عمل قطاعية </w:t>
      </w:r>
      <w:r w:rsidRPr="005A2D46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 xml:space="preserve">من بين </w:t>
      </w:r>
      <w:r w:rsidRPr="005A2D46">
        <w:rPr>
          <w:rFonts w:ascii="Arial" w:hAnsi="Arial"/>
          <w:b/>
          <w:bCs/>
          <w:color w:val="808080" w:themeColor="background1" w:themeShade="80"/>
          <w:sz w:val="26"/>
          <w:szCs w:val="26"/>
          <w:rtl/>
        </w:rPr>
        <w:t xml:space="preserve">سبعة </w:t>
      </w:r>
      <w:r w:rsidRPr="005A2D46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>في إطار</w:t>
      </w:r>
      <w:r w:rsidRPr="005A2D46">
        <w:rPr>
          <w:rFonts w:ascii="Arial" w:hAnsi="Arial"/>
          <w:b/>
          <w:bCs/>
          <w:color w:val="808080" w:themeColor="background1" w:themeShade="80"/>
          <w:sz w:val="26"/>
          <w:szCs w:val="26"/>
          <w:rtl/>
        </w:rPr>
        <w:t xml:space="preserve"> التعاون </w:t>
      </w:r>
      <w:proofErr w:type="spellStart"/>
      <w:r w:rsidRPr="005A2D46">
        <w:rPr>
          <w:rFonts w:ascii="Arial" w:hAnsi="Arial"/>
          <w:b/>
          <w:bCs/>
          <w:color w:val="808080" w:themeColor="background1" w:themeShade="80"/>
          <w:sz w:val="26"/>
          <w:szCs w:val="26"/>
          <w:rtl/>
        </w:rPr>
        <w:t>الأورو</w:t>
      </w:r>
      <w:r w:rsidRPr="005A2D46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>-</w:t>
      </w:r>
      <w:proofErr w:type="spellEnd"/>
      <w:r w:rsidRPr="005A2D46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 xml:space="preserve"> </w:t>
      </w:r>
      <w:r w:rsidRPr="005A2D46">
        <w:rPr>
          <w:rFonts w:ascii="Arial" w:hAnsi="Arial"/>
          <w:b/>
          <w:bCs/>
          <w:color w:val="808080" w:themeColor="background1" w:themeShade="80"/>
          <w:sz w:val="26"/>
          <w:szCs w:val="26"/>
          <w:rtl/>
        </w:rPr>
        <w:t>متوسطي</w:t>
      </w:r>
      <w:r w:rsidRPr="005A2D46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 xml:space="preserve"> في مجال </w:t>
      </w:r>
      <w:proofErr w:type="spellStart"/>
      <w:r w:rsidRPr="005A2D46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>الإحصاء</w:t>
      </w:r>
      <w:r w:rsidRPr="005A2D46">
        <w:rPr>
          <w:rFonts w:ascii="Arial" w:hAnsi="Arial"/>
          <w:b/>
          <w:bCs/>
          <w:color w:val="808080" w:themeColor="background1" w:themeShade="80"/>
          <w:sz w:val="26"/>
          <w:szCs w:val="26"/>
          <w:rtl/>
        </w:rPr>
        <w:t>،</w:t>
      </w:r>
      <w:proofErr w:type="spellEnd"/>
      <w:r w:rsidRPr="005A2D46">
        <w:rPr>
          <w:rFonts w:ascii="Arial" w:hAnsi="Arial"/>
          <w:b/>
          <w:bCs/>
          <w:color w:val="808080" w:themeColor="background1" w:themeShade="80"/>
          <w:sz w:val="26"/>
          <w:szCs w:val="26"/>
          <w:rtl/>
        </w:rPr>
        <w:t xml:space="preserve"> تم انتخاب</w:t>
      </w:r>
      <w:r w:rsidRPr="005A2D46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 xml:space="preserve"> المندوبية السامية للتخطيط</w:t>
      </w:r>
      <w:r w:rsidRPr="005A2D46">
        <w:rPr>
          <w:rFonts w:ascii="Arial" w:hAnsi="Arial"/>
          <w:b/>
          <w:bCs/>
          <w:color w:val="808080" w:themeColor="background1" w:themeShade="80"/>
          <w:sz w:val="26"/>
          <w:szCs w:val="26"/>
          <w:rtl/>
        </w:rPr>
        <w:t xml:space="preserve"> </w:t>
      </w:r>
      <w:r w:rsidRPr="005A2D46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>للرئاسة المشتركة</w:t>
      </w:r>
      <w:r w:rsidRPr="005A2D46">
        <w:rPr>
          <w:rFonts w:ascii="Arial" w:hAnsi="Arial"/>
          <w:b/>
          <w:bCs/>
          <w:color w:val="808080" w:themeColor="background1" w:themeShade="80"/>
          <w:sz w:val="26"/>
          <w:szCs w:val="26"/>
          <w:rtl/>
        </w:rPr>
        <w:t xml:space="preserve"> </w:t>
      </w:r>
      <w:r w:rsidRPr="005A2D46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>مع المفوضية الأوروبية ل</w:t>
      </w:r>
      <w:r w:rsidRPr="005A2D46">
        <w:rPr>
          <w:rFonts w:ascii="Arial" w:hAnsi="Arial"/>
          <w:b/>
          <w:bCs/>
          <w:color w:val="808080" w:themeColor="background1" w:themeShade="80"/>
          <w:sz w:val="26"/>
          <w:szCs w:val="26"/>
          <w:rtl/>
        </w:rPr>
        <w:t xml:space="preserve">منتدى الإحصائيين </w:t>
      </w:r>
      <w:proofErr w:type="spellStart"/>
      <w:r w:rsidRPr="005A2D46">
        <w:rPr>
          <w:rFonts w:ascii="Arial" w:hAnsi="Arial"/>
          <w:b/>
          <w:bCs/>
          <w:color w:val="808080" w:themeColor="background1" w:themeShade="80"/>
          <w:sz w:val="26"/>
          <w:szCs w:val="26"/>
          <w:rtl/>
        </w:rPr>
        <w:t>الأورو</w:t>
      </w:r>
      <w:proofErr w:type="spellEnd"/>
      <w:r w:rsidRPr="005A2D46">
        <w:rPr>
          <w:rFonts w:ascii="Arial" w:hAnsi="Arial"/>
          <w:b/>
          <w:bCs/>
          <w:color w:val="808080" w:themeColor="background1" w:themeShade="80"/>
          <w:sz w:val="26"/>
          <w:szCs w:val="26"/>
          <w:rtl/>
        </w:rPr>
        <w:t>-متوسط</w:t>
      </w:r>
      <w:r w:rsidRPr="005A2D46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>ي</w:t>
      </w:r>
      <w:r w:rsidRPr="005A2D46">
        <w:rPr>
          <w:rFonts w:ascii="Arial" w:hAnsi="Arial"/>
          <w:b/>
          <w:bCs/>
          <w:color w:val="808080" w:themeColor="background1" w:themeShade="80"/>
          <w:sz w:val="26"/>
          <w:szCs w:val="26"/>
          <w:rtl/>
        </w:rPr>
        <w:t>ي</w:t>
      </w:r>
      <w:r w:rsidRPr="005A2D46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>ن وذلك خلفا للجهاز الإحصائي اللبناني.</w:t>
      </w:r>
    </w:p>
    <w:p w:rsidR="005A2D46" w:rsidRPr="005A2D46" w:rsidRDefault="004A5892" w:rsidP="005A2D46">
      <w:pPr>
        <w:bidi/>
        <w:spacing w:line="312" w:lineRule="auto"/>
        <w:jc w:val="both"/>
        <w:rPr>
          <w:rFonts w:ascii="Arial" w:hAnsi="Arial"/>
          <w:b/>
          <w:bCs/>
          <w:color w:val="808080" w:themeColor="background1" w:themeShade="80"/>
          <w:sz w:val="26"/>
          <w:szCs w:val="26"/>
          <w:rtl/>
        </w:rPr>
      </w:pPr>
      <w:r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 xml:space="preserve">      </w:t>
      </w:r>
    </w:p>
    <w:p w:rsidR="005A2D46" w:rsidRDefault="005A2D46" w:rsidP="005A2D46">
      <w:pPr>
        <w:bidi/>
        <w:spacing w:line="312" w:lineRule="auto"/>
        <w:jc w:val="both"/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</w:pPr>
      <w:r w:rsidRPr="005A2D46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 xml:space="preserve">وقد تمت عملية الانتخاب </w:t>
      </w:r>
      <w:proofErr w:type="spellStart"/>
      <w:r w:rsidRPr="005A2D46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>هاته</w:t>
      </w:r>
      <w:proofErr w:type="spellEnd"/>
      <w:r w:rsidRPr="005A2D46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 xml:space="preserve"> بالإجماع خلال اجتماع المنتدى في دورته السادسة يومي 16 </w:t>
      </w:r>
      <w:proofErr w:type="spellStart"/>
      <w:r w:rsidRPr="005A2D46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>و17</w:t>
      </w:r>
      <w:proofErr w:type="spellEnd"/>
      <w:r w:rsidRPr="005A2D46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 xml:space="preserve"> </w:t>
      </w:r>
      <w:proofErr w:type="spellStart"/>
      <w:r w:rsidRPr="005A2D46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>ماي</w:t>
      </w:r>
      <w:proofErr w:type="spellEnd"/>
      <w:r w:rsidRPr="005A2D46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 xml:space="preserve"> 2017 </w:t>
      </w:r>
      <w:proofErr w:type="spellStart"/>
      <w:r w:rsidRPr="005A2D46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>بمالطا</w:t>
      </w:r>
      <w:proofErr w:type="spellEnd"/>
      <w:r w:rsidRPr="005A2D46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 xml:space="preserve"> والذي شارك في أشغاله رؤساء الأجهزة الإحصائية لدول جنوب المتوسط وممثلون عن المفوضية الأوروبية (مكتب الإحصاء الأوروبي والمديرية العامة المكلفة بدول الجوار الأوروبي</w:t>
      </w:r>
      <w:proofErr w:type="spellStart"/>
      <w:r w:rsidRPr="005A2D46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>)</w:t>
      </w:r>
      <w:proofErr w:type="spellEnd"/>
      <w:r w:rsidRPr="005A2D46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 xml:space="preserve"> وكذا ممثلون عن بعض الأجهزة الإحصائية الأوروبية. </w:t>
      </w:r>
    </w:p>
    <w:p w:rsidR="005A2D46" w:rsidRPr="005A2D46" w:rsidRDefault="005A2D46" w:rsidP="005A2D46">
      <w:pPr>
        <w:bidi/>
        <w:spacing w:line="312" w:lineRule="auto"/>
        <w:jc w:val="both"/>
        <w:rPr>
          <w:rFonts w:ascii="Arial" w:hAnsi="Arial"/>
          <w:b/>
          <w:bCs/>
          <w:color w:val="808080" w:themeColor="background1" w:themeShade="80"/>
          <w:sz w:val="26"/>
          <w:szCs w:val="26"/>
        </w:rPr>
      </w:pPr>
    </w:p>
    <w:p w:rsidR="005A2D46" w:rsidRDefault="005A2D46" w:rsidP="005A2D46">
      <w:pPr>
        <w:bidi/>
        <w:spacing w:line="312" w:lineRule="auto"/>
        <w:jc w:val="both"/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</w:pPr>
      <w:proofErr w:type="spellStart"/>
      <w:r w:rsidRPr="005A2D46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>ويأكد</w:t>
      </w:r>
      <w:proofErr w:type="spellEnd"/>
      <w:r w:rsidRPr="005A2D46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 xml:space="preserve"> هذا التتويج على الدور الذي يلعبه المغرب </w:t>
      </w:r>
      <w:r w:rsidRPr="005A2D46">
        <w:rPr>
          <w:rFonts w:ascii="Arial" w:hAnsi="Arial"/>
          <w:b/>
          <w:bCs/>
          <w:color w:val="808080" w:themeColor="background1" w:themeShade="80"/>
          <w:sz w:val="26"/>
          <w:szCs w:val="26"/>
          <w:rtl/>
        </w:rPr>
        <w:t xml:space="preserve">في تطوير التعاون </w:t>
      </w:r>
      <w:proofErr w:type="spellStart"/>
      <w:r w:rsidRPr="005A2D46">
        <w:rPr>
          <w:rFonts w:ascii="Arial" w:hAnsi="Arial"/>
          <w:b/>
          <w:bCs/>
          <w:color w:val="808080" w:themeColor="background1" w:themeShade="80"/>
          <w:sz w:val="26"/>
          <w:szCs w:val="26"/>
          <w:rtl/>
        </w:rPr>
        <w:t>الأورو</w:t>
      </w:r>
      <w:proofErr w:type="spellEnd"/>
      <w:r w:rsidRPr="005A2D46">
        <w:rPr>
          <w:rFonts w:ascii="Arial" w:hAnsi="Arial"/>
          <w:b/>
          <w:bCs/>
          <w:color w:val="808080" w:themeColor="background1" w:themeShade="80"/>
          <w:sz w:val="26"/>
          <w:szCs w:val="26"/>
          <w:rtl/>
        </w:rPr>
        <w:t xml:space="preserve">-متوسطي </w:t>
      </w:r>
      <w:r w:rsidRPr="005A2D46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 xml:space="preserve">في مجال الإحصاء ويزكي المكانة التي يحظى </w:t>
      </w:r>
      <w:proofErr w:type="spellStart"/>
      <w:r w:rsidRPr="005A2D46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>بها</w:t>
      </w:r>
      <w:proofErr w:type="spellEnd"/>
      <w:r w:rsidRPr="005A2D46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 xml:space="preserve"> النظام الإحصائي لبلادنا في المنطقة وعلى الصعيد</w:t>
      </w:r>
      <w:r w:rsidRPr="005A2D46">
        <w:rPr>
          <w:rFonts w:ascii="Arial" w:hAnsi="Arial"/>
          <w:b/>
          <w:bCs/>
          <w:color w:val="808080" w:themeColor="background1" w:themeShade="80"/>
          <w:sz w:val="26"/>
          <w:szCs w:val="26"/>
          <w:rtl/>
        </w:rPr>
        <w:t xml:space="preserve"> </w:t>
      </w:r>
      <w:r w:rsidRPr="005A2D46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>ال</w:t>
      </w:r>
      <w:r w:rsidRPr="005A2D46">
        <w:rPr>
          <w:rFonts w:ascii="Arial" w:hAnsi="Arial"/>
          <w:b/>
          <w:bCs/>
          <w:color w:val="808080" w:themeColor="background1" w:themeShade="80"/>
          <w:sz w:val="26"/>
          <w:szCs w:val="26"/>
          <w:rtl/>
        </w:rPr>
        <w:t>دول</w:t>
      </w:r>
      <w:r w:rsidRPr="005A2D46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>ي.</w:t>
      </w:r>
      <w:r w:rsidRPr="005A2D46">
        <w:rPr>
          <w:rFonts w:ascii="Arial" w:hAnsi="Arial"/>
          <w:b/>
          <w:bCs/>
          <w:color w:val="808080" w:themeColor="background1" w:themeShade="80"/>
          <w:sz w:val="26"/>
          <w:szCs w:val="26"/>
          <w:rtl/>
        </w:rPr>
        <w:t xml:space="preserve"> </w:t>
      </w:r>
    </w:p>
    <w:p w:rsidR="005A2D46" w:rsidRPr="005A2D46" w:rsidRDefault="005A2D46" w:rsidP="005A2D46">
      <w:pPr>
        <w:bidi/>
        <w:spacing w:line="312" w:lineRule="auto"/>
        <w:jc w:val="both"/>
        <w:rPr>
          <w:rFonts w:ascii="Arial" w:hAnsi="Arial"/>
          <w:b/>
          <w:bCs/>
          <w:color w:val="808080" w:themeColor="background1" w:themeShade="80"/>
          <w:sz w:val="26"/>
          <w:szCs w:val="26"/>
          <w:rtl/>
        </w:rPr>
      </w:pPr>
    </w:p>
    <w:p w:rsidR="005A2D46" w:rsidRDefault="005A2D46" w:rsidP="005A2D46">
      <w:pPr>
        <w:bidi/>
        <w:spacing w:line="312" w:lineRule="auto"/>
        <w:jc w:val="both"/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</w:pPr>
      <w:r w:rsidRPr="005A2D46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>ويعتبر</w:t>
      </w:r>
      <w:r w:rsidRPr="005A2D46">
        <w:rPr>
          <w:rFonts w:ascii="Arial" w:hAnsi="Arial"/>
          <w:b/>
          <w:bCs/>
          <w:color w:val="808080" w:themeColor="background1" w:themeShade="80"/>
          <w:sz w:val="26"/>
          <w:szCs w:val="26"/>
          <w:rtl/>
        </w:rPr>
        <w:t xml:space="preserve"> منتدى </w:t>
      </w:r>
      <w:r w:rsidRPr="005A2D46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>ا</w:t>
      </w:r>
      <w:r w:rsidRPr="005A2D46">
        <w:rPr>
          <w:rFonts w:ascii="Arial" w:hAnsi="Arial"/>
          <w:b/>
          <w:bCs/>
          <w:color w:val="808080" w:themeColor="background1" w:themeShade="80"/>
          <w:sz w:val="26"/>
          <w:szCs w:val="26"/>
          <w:rtl/>
        </w:rPr>
        <w:t xml:space="preserve">لإحصائيين </w:t>
      </w:r>
      <w:proofErr w:type="spellStart"/>
      <w:r w:rsidRPr="005A2D46">
        <w:rPr>
          <w:rFonts w:ascii="Arial" w:hAnsi="Arial"/>
          <w:b/>
          <w:bCs/>
          <w:color w:val="808080" w:themeColor="background1" w:themeShade="80"/>
          <w:sz w:val="26"/>
          <w:szCs w:val="26"/>
          <w:rtl/>
        </w:rPr>
        <w:t>الأورو-متوسطي</w:t>
      </w:r>
      <w:r w:rsidRPr="005A2D46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>ن</w:t>
      </w:r>
      <w:r w:rsidRPr="005A2D46">
        <w:rPr>
          <w:rFonts w:ascii="Arial" w:hAnsi="Arial"/>
          <w:b/>
          <w:bCs/>
          <w:color w:val="808080" w:themeColor="background1" w:themeShade="80"/>
          <w:sz w:val="26"/>
          <w:szCs w:val="26"/>
          <w:rtl/>
        </w:rPr>
        <w:t>،</w:t>
      </w:r>
      <w:proofErr w:type="spellEnd"/>
      <w:r w:rsidRPr="005A2D46">
        <w:rPr>
          <w:rFonts w:ascii="Arial" w:hAnsi="Arial"/>
          <w:b/>
          <w:bCs/>
          <w:color w:val="808080" w:themeColor="background1" w:themeShade="80"/>
          <w:sz w:val="26"/>
          <w:szCs w:val="26"/>
          <w:rtl/>
        </w:rPr>
        <w:t xml:space="preserve"> منذ إنشائ</w:t>
      </w:r>
      <w:r w:rsidRPr="005A2D46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>ه</w:t>
      </w:r>
      <w:r w:rsidRPr="005A2D46">
        <w:rPr>
          <w:rFonts w:ascii="Arial" w:hAnsi="Arial"/>
          <w:b/>
          <w:bCs/>
          <w:color w:val="808080" w:themeColor="background1" w:themeShade="80"/>
          <w:sz w:val="26"/>
          <w:szCs w:val="26"/>
          <w:rtl/>
        </w:rPr>
        <w:t xml:space="preserve"> </w:t>
      </w:r>
      <w:r w:rsidRPr="005A2D46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>سنة</w:t>
      </w:r>
      <w:r w:rsidRPr="005A2D46">
        <w:rPr>
          <w:rFonts w:ascii="Arial" w:hAnsi="Arial"/>
          <w:b/>
          <w:bCs/>
          <w:color w:val="808080" w:themeColor="background1" w:themeShade="80"/>
          <w:sz w:val="26"/>
          <w:szCs w:val="26"/>
          <w:rtl/>
        </w:rPr>
        <w:t xml:space="preserve"> </w:t>
      </w:r>
      <w:proofErr w:type="spellStart"/>
      <w:r w:rsidRPr="005A2D46">
        <w:rPr>
          <w:rFonts w:ascii="Arial" w:hAnsi="Arial"/>
          <w:b/>
          <w:bCs/>
          <w:color w:val="808080" w:themeColor="background1" w:themeShade="80"/>
          <w:sz w:val="26"/>
          <w:szCs w:val="26"/>
          <w:rtl/>
        </w:rPr>
        <w:t>2013،</w:t>
      </w:r>
      <w:proofErr w:type="spellEnd"/>
      <w:r w:rsidRPr="005A2D46">
        <w:rPr>
          <w:rFonts w:ascii="Arial" w:hAnsi="Arial"/>
          <w:b/>
          <w:bCs/>
          <w:color w:val="808080" w:themeColor="background1" w:themeShade="80"/>
          <w:sz w:val="26"/>
          <w:szCs w:val="26"/>
          <w:rtl/>
        </w:rPr>
        <w:t xml:space="preserve"> </w:t>
      </w:r>
      <w:r w:rsidRPr="005A2D46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>ال</w:t>
      </w:r>
      <w:r w:rsidRPr="005A2D46">
        <w:rPr>
          <w:rFonts w:ascii="Arial" w:hAnsi="Arial"/>
          <w:b/>
          <w:bCs/>
          <w:color w:val="808080" w:themeColor="background1" w:themeShade="80"/>
          <w:sz w:val="26"/>
          <w:szCs w:val="26"/>
          <w:rtl/>
        </w:rPr>
        <w:t xml:space="preserve">هيئة </w:t>
      </w:r>
      <w:r w:rsidRPr="005A2D46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 xml:space="preserve">العليا لاتخاذ </w:t>
      </w:r>
      <w:r w:rsidRPr="005A2D46">
        <w:rPr>
          <w:rFonts w:ascii="Arial" w:hAnsi="Arial"/>
          <w:b/>
          <w:bCs/>
          <w:color w:val="808080" w:themeColor="background1" w:themeShade="80"/>
          <w:sz w:val="26"/>
          <w:szCs w:val="26"/>
          <w:rtl/>
        </w:rPr>
        <w:t xml:space="preserve">القرار </w:t>
      </w:r>
      <w:r w:rsidRPr="005A2D46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>والمكلفة بال</w:t>
      </w:r>
      <w:r w:rsidRPr="005A2D46">
        <w:rPr>
          <w:rFonts w:ascii="Arial" w:hAnsi="Arial"/>
          <w:b/>
          <w:bCs/>
          <w:color w:val="808080" w:themeColor="background1" w:themeShade="80"/>
          <w:sz w:val="26"/>
          <w:szCs w:val="26"/>
          <w:rtl/>
        </w:rPr>
        <w:t>توجيه و</w:t>
      </w:r>
      <w:r w:rsidRPr="005A2D46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>ال</w:t>
      </w:r>
      <w:r w:rsidRPr="005A2D46">
        <w:rPr>
          <w:rFonts w:ascii="Arial" w:hAnsi="Arial"/>
          <w:b/>
          <w:bCs/>
          <w:color w:val="808080" w:themeColor="background1" w:themeShade="80"/>
          <w:sz w:val="26"/>
          <w:szCs w:val="26"/>
          <w:rtl/>
        </w:rPr>
        <w:t>تقييم و</w:t>
      </w:r>
      <w:r w:rsidRPr="005A2D46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>المصادقة على برامج مجموعات العمل المتوسطية والتي تغطي</w:t>
      </w:r>
      <w:r w:rsidRPr="005A2D46">
        <w:rPr>
          <w:rFonts w:ascii="Arial" w:hAnsi="Arial"/>
          <w:b/>
          <w:bCs/>
          <w:color w:val="808080" w:themeColor="background1" w:themeShade="80"/>
          <w:sz w:val="26"/>
          <w:szCs w:val="26"/>
          <w:rtl/>
        </w:rPr>
        <w:t xml:space="preserve"> قطاعات </w:t>
      </w:r>
      <w:r w:rsidRPr="005A2D46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>الشغل</w:t>
      </w:r>
      <w:r w:rsidRPr="005A2D46">
        <w:rPr>
          <w:rFonts w:ascii="Arial" w:hAnsi="Arial"/>
          <w:b/>
          <w:bCs/>
          <w:color w:val="808080" w:themeColor="background1" w:themeShade="80"/>
          <w:sz w:val="26"/>
          <w:szCs w:val="26"/>
          <w:rtl/>
        </w:rPr>
        <w:t xml:space="preserve"> والهجرة </w:t>
      </w:r>
      <w:r w:rsidRPr="005A2D46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>و</w:t>
      </w:r>
      <w:r w:rsidRPr="005A2D46">
        <w:rPr>
          <w:rFonts w:ascii="Arial" w:hAnsi="Arial"/>
          <w:b/>
          <w:bCs/>
          <w:color w:val="808080" w:themeColor="background1" w:themeShade="80"/>
          <w:sz w:val="26"/>
          <w:szCs w:val="26"/>
          <w:rtl/>
        </w:rPr>
        <w:t xml:space="preserve">النقل </w:t>
      </w:r>
      <w:r w:rsidRPr="005A2D46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>و</w:t>
      </w:r>
      <w:r w:rsidRPr="005A2D46">
        <w:rPr>
          <w:rFonts w:ascii="Arial" w:hAnsi="Arial"/>
          <w:b/>
          <w:bCs/>
          <w:color w:val="808080" w:themeColor="background1" w:themeShade="80"/>
          <w:sz w:val="26"/>
          <w:szCs w:val="26"/>
          <w:rtl/>
        </w:rPr>
        <w:t xml:space="preserve">الطاقة </w:t>
      </w:r>
      <w:r w:rsidRPr="005A2D46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>والسجل الإحصائي للمقاولات</w:t>
      </w:r>
      <w:r w:rsidRPr="005A2D46">
        <w:rPr>
          <w:rFonts w:ascii="Arial" w:hAnsi="Arial"/>
          <w:b/>
          <w:bCs/>
          <w:color w:val="808080" w:themeColor="background1" w:themeShade="80"/>
          <w:sz w:val="26"/>
          <w:szCs w:val="26"/>
          <w:rtl/>
        </w:rPr>
        <w:t xml:space="preserve"> والتجارة الخارجية والجودة بالإضافة إلى أنشطة</w:t>
      </w:r>
      <w:r w:rsidRPr="005A2D46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 xml:space="preserve"> أفقية.</w:t>
      </w:r>
    </w:p>
    <w:p w:rsidR="005A2D46" w:rsidRPr="005A2D46" w:rsidRDefault="005A2D46" w:rsidP="005A2D46">
      <w:pPr>
        <w:bidi/>
        <w:spacing w:line="312" w:lineRule="auto"/>
        <w:jc w:val="both"/>
        <w:rPr>
          <w:rFonts w:ascii="Arial" w:hAnsi="Arial"/>
          <w:b/>
          <w:bCs/>
          <w:color w:val="808080" w:themeColor="background1" w:themeShade="80"/>
          <w:sz w:val="26"/>
          <w:szCs w:val="26"/>
          <w:rtl/>
        </w:rPr>
      </w:pPr>
    </w:p>
    <w:p w:rsidR="005A2D46" w:rsidRPr="005A2D46" w:rsidRDefault="005A2D46" w:rsidP="005A2D46">
      <w:pPr>
        <w:bidi/>
        <w:spacing w:line="312" w:lineRule="auto"/>
        <w:jc w:val="both"/>
        <w:rPr>
          <w:rFonts w:ascii="Arial" w:hAnsi="Arial"/>
          <w:b/>
          <w:bCs/>
          <w:color w:val="808080" w:themeColor="background1" w:themeShade="80"/>
          <w:sz w:val="26"/>
          <w:szCs w:val="26"/>
        </w:rPr>
      </w:pPr>
      <w:r w:rsidRPr="005A2D46">
        <w:rPr>
          <w:rFonts w:ascii="Arial" w:hAnsi="Arial"/>
          <w:b/>
          <w:bCs/>
          <w:color w:val="808080" w:themeColor="background1" w:themeShade="80"/>
          <w:sz w:val="26"/>
          <w:szCs w:val="26"/>
          <w:rtl/>
        </w:rPr>
        <w:t xml:space="preserve">وتجدر الإشارة في هذا الصدد </w:t>
      </w:r>
      <w:r w:rsidRPr="005A2D46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>إلى أن المنتدى يعتبر</w:t>
      </w:r>
      <w:r w:rsidRPr="005A2D46">
        <w:rPr>
          <w:rFonts w:ascii="Arial" w:hAnsi="Arial"/>
          <w:b/>
          <w:bCs/>
          <w:color w:val="808080" w:themeColor="background1" w:themeShade="80"/>
          <w:sz w:val="26"/>
          <w:szCs w:val="26"/>
          <w:rtl/>
        </w:rPr>
        <w:t xml:space="preserve"> </w:t>
      </w:r>
      <w:r w:rsidRPr="005A2D46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>تتويجا</w:t>
      </w:r>
      <w:r w:rsidRPr="005A2D46">
        <w:rPr>
          <w:rFonts w:ascii="Arial" w:hAnsi="Arial"/>
          <w:b/>
          <w:bCs/>
          <w:color w:val="808080" w:themeColor="background1" w:themeShade="80"/>
          <w:sz w:val="26"/>
          <w:szCs w:val="26"/>
          <w:rtl/>
        </w:rPr>
        <w:t xml:space="preserve"> لسلسلة من </w:t>
      </w:r>
      <w:r w:rsidRPr="005A2D46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 xml:space="preserve">برامج التعاون </w:t>
      </w:r>
      <w:proofErr w:type="spellStart"/>
      <w:r w:rsidRPr="005A2D46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>الأورو</w:t>
      </w:r>
      <w:proofErr w:type="spellEnd"/>
      <w:r w:rsidRPr="005A2D46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>-متوسطي في مجال الإحصاء (</w:t>
      </w:r>
      <w:proofErr w:type="spellStart"/>
      <w:r w:rsidRPr="005A2D46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>ميدستات)</w:t>
      </w:r>
      <w:proofErr w:type="spellEnd"/>
      <w:r w:rsidRPr="005A2D46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 xml:space="preserve"> والتي تهدف بالأساس إلى </w:t>
      </w:r>
      <w:r w:rsidRPr="005A2D46">
        <w:rPr>
          <w:rFonts w:ascii="Arial" w:hAnsi="Arial"/>
          <w:b/>
          <w:bCs/>
          <w:color w:val="808080" w:themeColor="background1" w:themeShade="80"/>
          <w:sz w:val="26"/>
          <w:szCs w:val="26"/>
          <w:rtl/>
        </w:rPr>
        <w:t xml:space="preserve">تعزيز </w:t>
      </w:r>
      <w:r w:rsidRPr="005A2D46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 xml:space="preserve">مسار مواءمة الإحصائيات في المنطقة المتوسطية مع المعايير الدولية وتبادل الخبرات ودعم </w:t>
      </w:r>
      <w:r w:rsidRPr="005A2D46">
        <w:rPr>
          <w:rFonts w:ascii="Arial" w:hAnsi="Arial"/>
          <w:b/>
          <w:bCs/>
          <w:color w:val="808080" w:themeColor="background1" w:themeShade="80"/>
          <w:sz w:val="26"/>
          <w:szCs w:val="26"/>
          <w:rtl/>
        </w:rPr>
        <w:t>القدرات التقنية</w:t>
      </w:r>
      <w:r w:rsidRPr="005A2D46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 xml:space="preserve"> للأجهزة الإحصائية المتوسطية.</w:t>
      </w:r>
    </w:p>
    <w:p w:rsidR="00F631AD" w:rsidRDefault="003A45DD" w:rsidP="005A2D46">
      <w:pPr>
        <w:bidi/>
        <w:spacing w:line="312" w:lineRule="auto"/>
        <w:jc w:val="both"/>
        <w:rPr>
          <w:rFonts w:ascii="Arial" w:hAnsi="Arial"/>
          <w:b/>
          <w:bCs/>
          <w:color w:val="808080" w:themeColor="background1" w:themeShade="80"/>
          <w:sz w:val="26"/>
          <w:szCs w:val="26"/>
        </w:rPr>
      </w:pPr>
      <w:r w:rsidRPr="005A2D46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br/>
      </w:r>
    </w:p>
    <w:p w:rsidR="00F631AD" w:rsidRDefault="00F631AD" w:rsidP="00F631AD">
      <w:pPr>
        <w:bidi/>
        <w:spacing w:line="288" w:lineRule="auto"/>
        <w:jc w:val="both"/>
        <w:rPr>
          <w:rFonts w:ascii="Arial" w:hAnsi="Arial"/>
          <w:b/>
          <w:bCs/>
          <w:color w:val="808080" w:themeColor="background1" w:themeShade="80"/>
          <w:sz w:val="26"/>
          <w:szCs w:val="26"/>
        </w:rPr>
      </w:pPr>
    </w:p>
    <w:sectPr w:rsidR="00F631AD" w:rsidSect="003A3A12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107" w:rsidRDefault="00130107">
      <w:r>
        <w:separator/>
      </w:r>
    </w:p>
  </w:endnote>
  <w:endnote w:type="continuationSeparator" w:id="0">
    <w:p w:rsidR="00130107" w:rsidRDefault="00130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F00919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F00919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5A2D46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5A2D46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F00919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0pt;margin-top:-15.95pt;width:261pt;height:27pt;z-index:251654656" stroked="f">
          <v:textbox style="mso-next-textbox:#_x0000_s2050"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31-3،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قطاع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16،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proofErr w:type="spellEnd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proofErr w:type="spellStart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  <w:proofErr w:type="spellEnd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-9pt;margin-top:2.05pt;width:180pt;height:27pt;z-index:251655680" stroked="f">
          <v:textbox style="mso-next-textbox:#_x0000_s2051">
            <w:txbxContent>
              <w:p w:rsidR="00867FAB" w:rsidRPr="00660633" w:rsidRDefault="00867FAB" w:rsidP="00660633">
                <w:pPr>
                  <w:rPr>
                    <w:szCs w:val="20"/>
                  </w:rPr>
                </w:pP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41.7pt;margin-top:-15.2pt;width:311.7pt;height:17.25pt;z-index:251657728" stroked="f">
          <v:textbox style="mso-next-textbox:#_x0000_s2052"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1-3, </w:t>
                </w:r>
                <w:proofErr w:type="spell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secteur</w:t>
                </w:r>
                <w:proofErr w:type="spell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16, Hay </w:t>
                </w:r>
                <w:proofErr w:type="spell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Riad</w:t>
                </w:r>
                <w:proofErr w:type="spell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proofErr w:type="gram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BP :</w:t>
                </w:r>
                <w:proofErr w:type="gram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margin-left:4in;margin-top:2.05pt;width:210.55pt;height:37.35pt;z-index:251658752" stroked="f">
          <v:textbox style="mso-next-textbox:#_x0000_s2053">
            <w:txbxContent>
              <w:p w:rsidR="00867FAB" w:rsidRPr="00660633" w:rsidRDefault="00867FAB" w:rsidP="00660633">
                <w:pPr>
                  <w:rPr>
                    <w:sz w:val="20"/>
                    <w:rtl/>
                  </w:rPr>
                </w:pPr>
              </w:p>
            </w:txbxContent>
          </v:textbox>
        </v:shape>
      </w:pict>
    </w:r>
    <w:r>
      <w:rPr>
        <w:noProof/>
      </w:rPr>
      <w:pict>
        <v:shape id="_x0000_s2054" type="#_x0000_t202" style="position:absolute;margin-left:171pt;margin-top:2.05pt;width:162pt;height:37.35pt;z-index:251656704" stroked="f">
          <v:textbox style="mso-next-textbox:#_x0000_s2054"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198pt;margin-top:20.05pt;width:1in;height:18pt;z-index:251659776" filled="f" stroked="f">
          <v:textbox style="mso-next-textbox:#_x0000_s2055"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107" w:rsidRDefault="00130107">
      <w:r>
        <w:separator/>
      </w:r>
    </w:p>
  </w:footnote>
  <w:footnote w:type="continuationSeparator" w:id="0">
    <w:p w:rsidR="00130107" w:rsidRDefault="001301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2678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characterSpacingControl w:val="doNotCompress"/>
  <w:savePreviewPicture/>
  <w:hdrShapeDefaults>
    <o:shapedefaults v:ext="edit" spidmax="512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1390E"/>
    <w:rsid w:val="00013A7F"/>
    <w:rsid w:val="00013C22"/>
    <w:rsid w:val="000152BC"/>
    <w:rsid w:val="00017E6C"/>
    <w:rsid w:val="000205FA"/>
    <w:rsid w:val="00024095"/>
    <w:rsid w:val="00027850"/>
    <w:rsid w:val="00050A6E"/>
    <w:rsid w:val="00053289"/>
    <w:rsid w:val="00053619"/>
    <w:rsid w:val="000554EE"/>
    <w:rsid w:val="00060321"/>
    <w:rsid w:val="00064386"/>
    <w:rsid w:val="0006553F"/>
    <w:rsid w:val="00065DCD"/>
    <w:rsid w:val="00070037"/>
    <w:rsid w:val="00072C11"/>
    <w:rsid w:val="00081BE5"/>
    <w:rsid w:val="00082526"/>
    <w:rsid w:val="00085E86"/>
    <w:rsid w:val="000A3BE9"/>
    <w:rsid w:val="000A4F68"/>
    <w:rsid w:val="000B2A3E"/>
    <w:rsid w:val="000B6EA6"/>
    <w:rsid w:val="000C5E54"/>
    <w:rsid w:val="000C7682"/>
    <w:rsid w:val="000D25AF"/>
    <w:rsid w:val="000E21D3"/>
    <w:rsid w:val="000E7503"/>
    <w:rsid w:val="000F3AA7"/>
    <w:rsid w:val="000F408A"/>
    <w:rsid w:val="000F4E0A"/>
    <w:rsid w:val="00100AF5"/>
    <w:rsid w:val="001063C7"/>
    <w:rsid w:val="00107113"/>
    <w:rsid w:val="00114C7E"/>
    <w:rsid w:val="00116B4A"/>
    <w:rsid w:val="00120AF1"/>
    <w:rsid w:val="001217AF"/>
    <w:rsid w:val="0012265F"/>
    <w:rsid w:val="00130107"/>
    <w:rsid w:val="00137652"/>
    <w:rsid w:val="001379C2"/>
    <w:rsid w:val="001437B0"/>
    <w:rsid w:val="0015016F"/>
    <w:rsid w:val="00153DC3"/>
    <w:rsid w:val="00155095"/>
    <w:rsid w:val="00155EBB"/>
    <w:rsid w:val="001630F0"/>
    <w:rsid w:val="0016363C"/>
    <w:rsid w:val="001640AC"/>
    <w:rsid w:val="00173DF2"/>
    <w:rsid w:val="001744A2"/>
    <w:rsid w:val="00174719"/>
    <w:rsid w:val="00176CC0"/>
    <w:rsid w:val="00177EC0"/>
    <w:rsid w:val="00181EFF"/>
    <w:rsid w:val="001A1A9C"/>
    <w:rsid w:val="001A282E"/>
    <w:rsid w:val="001A4AB1"/>
    <w:rsid w:val="001A7093"/>
    <w:rsid w:val="001B4AB1"/>
    <w:rsid w:val="001C3920"/>
    <w:rsid w:val="001C4BE1"/>
    <w:rsid w:val="001D07F7"/>
    <w:rsid w:val="001D0B13"/>
    <w:rsid w:val="001D34E6"/>
    <w:rsid w:val="001D57E1"/>
    <w:rsid w:val="001E05D5"/>
    <w:rsid w:val="001F1343"/>
    <w:rsid w:val="001F3482"/>
    <w:rsid w:val="001F4836"/>
    <w:rsid w:val="001F6AD9"/>
    <w:rsid w:val="002019A3"/>
    <w:rsid w:val="00205A6A"/>
    <w:rsid w:val="00206659"/>
    <w:rsid w:val="002139B6"/>
    <w:rsid w:val="00217A9A"/>
    <w:rsid w:val="00220DF6"/>
    <w:rsid w:val="0022299E"/>
    <w:rsid w:val="0022597E"/>
    <w:rsid w:val="0023043F"/>
    <w:rsid w:val="002316A6"/>
    <w:rsid w:val="00242C76"/>
    <w:rsid w:val="00242CBE"/>
    <w:rsid w:val="002443AA"/>
    <w:rsid w:val="0024586A"/>
    <w:rsid w:val="00256291"/>
    <w:rsid w:val="002603C8"/>
    <w:rsid w:val="00262AA7"/>
    <w:rsid w:val="00264343"/>
    <w:rsid w:val="00264D30"/>
    <w:rsid w:val="00264E77"/>
    <w:rsid w:val="00271922"/>
    <w:rsid w:val="0028585A"/>
    <w:rsid w:val="00286F23"/>
    <w:rsid w:val="00290B88"/>
    <w:rsid w:val="002A281B"/>
    <w:rsid w:val="002A5379"/>
    <w:rsid w:val="002A5A7C"/>
    <w:rsid w:val="002A688F"/>
    <w:rsid w:val="002C02CC"/>
    <w:rsid w:val="002C09B2"/>
    <w:rsid w:val="002C6433"/>
    <w:rsid w:val="002D022C"/>
    <w:rsid w:val="002D3BD2"/>
    <w:rsid w:val="002D4302"/>
    <w:rsid w:val="002D49EF"/>
    <w:rsid w:val="002F237C"/>
    <w:rsid w:val="002F3B72"/>
    <w:rsid w:val="0030560D"/>
    <w:rsid w:val="0030605C"/>
    <w:rsid w:val="003121A0"/>
    <w:rsid w:val="00314191"/>
    <w:rsid w:val="003151E9"/>
    <w:rsid w:val="00316A57"/>
    <w:rsid w:val="0031735D"/>
    <w:rsid w:val="003243B5"/>
    <w:rsid w:val="00326824"/>
    <w:rsid w:val="00327972"/>
    <w:rsid w:val="003347C0"/>
    <w:rsid w:val="0033724B"/>
    <w:rsid w:val="00341857"/>
    <w:rsid w:val="00341BE6"/>
    <w:rsid w:val="00346F33"/>
    <w:rsid w:val="00351D4C"/>
    <w:rsid w:val="00351E39"/>
    <w:rsid w:val="003557D2"/>
    <w:rsid w:val="00360101"/>
    <w:rsid w:val="003671BE"/>
    <w:rsid w:val="00376048"/>
    <w:rsid w:val="00376C2C"/>
    <w:rsid w:val="00376C4A"/>
    <w:rsid w:val="00385013"/>
    <w:rsid w:val="0039063A"/>
    <w:rsid w:val="00393B90"/>
    <w:rsid w:val="00393EF8"/>
    <w:rsid w:val="003A14B5"/>
    <w:rsid w:val="003A3A12"/>
    <w:rsid w:val="003A45DD"/>
    <w:rsid w:val="003A5CB2"/>
    <w:rsid w:val="003B51AD"/>
    <w:rsid w:val="003B779D"/>
    <w:rsid w:val="003B7C9A"/>
    <w:rsid w:val="003C104F"/>
    <w:rsid w:val="003C131B"/>
    <w:rsid w:val="003C184E"/>
    <w:rsid w:val="003C357A"/>
    <w:rsid w:val="003E5DDB"/>
    <w:rsid w:val="003F28EA"/>
    <w:rsid w:val="003F445E"/>
    <w:rsid w:val="00401D3E"/>
    <w:rsid w:val="00403A20"/>
    <w:rsid w:val="0041796D"/>
    <w:rsid w:val="004275D6"/>
    <w:rsid w:val="00446DB7"/>
    <w:rsid w:val="00447FBC"/>
    <w:rsid w:val="00455540"/>
    <w:rsid w:val="004744FF"/>
    <w:rsid w:val="00481E24"/>
    <w:rsid w:val="00484E8D"/>
    <w:rsid w:val="0049060D"/>
    <w:rsid w:val="00497C73"/>
    <w:rsid w:val="004A1173"/>
    <w:rsid w:val="004A225B"/>
    <w:rsid w:val="004A5892"/>
    <w:rsid w:val="004A73C5"/>
    <w:rsid w:val="004B2CCC"/>
    <w:rsid w:val="004B3780"/>
    <w:rsid w:val="004B3B09"/>
    <w:rsid w:val="004B42B1"/>
    <w:rsid w:val="004B4D2F"/>
    <w:rsid w:val="004B5569"/>
    <w:rsid w:val="004B6126"/>
    <w:rsid w:val="004B66EA"/>
    <w:rsid w:val="004C43FD"/>
    <w:rsid w:val="004D12CB"/>
    <w:rsid w:val="004E36E2"/>
    <w:rsid w:val="004E67F8"/>
    <w:rsid w:val="004F553E"/>
    <w:rsid w:val="004F572F"/>
    <w:rsid w:val="004F57F8"/>
    <w:rsid w:val="004F70A7"/>
    <w:rsid w:val="005052E3"/>
    <w:rsid w:val="005126CC"/>
    <w:rsid w:val="005178FE"/>
    <w:rsid w:val="0052635A"/>
    <w:rsid w:val="00537897"/>
    <w:rsid w:val="00541C46"/>
    <w:rsid w:val="00542043"/>
    <w:rsid w:val="00542E3A"/>
    <w:rsid w:val="00547ECD"/>
    <w:rsid w:val="00550169"/>
    <w:rsid w:val="005549EE"/>
    <w:rsid w:val="005624A3"/>
    <w:rsid w:val="00564788"/>
    <w:rsid w:val="00564AE3"/>
    <w:rsid w:val="0057148E"/>
    <w:rsid w:val="00571918"/>
    <w:rsid w:val="005746EB"/>
    <w:rsid w:val="005754A6"/>
    <w:rsid w:val="0057589F"/>
    <w:rsid w:val="005814DE"/>
    <w:rsid w:val="00582403"/>
    <w:rsid w:val="00590E1B"/>
    <w:rsid w:val="00594250"/>
    <w:rsid w:val="00594D60"/>
    <w:rsid w:val="00595235"/>
    <w:rsid w:val="005A2D46"/>
    <w:rsid w:val="005B0675"/>
    <w:rsid w:val="005B3582"/>
    <w:rsid w:val="005B48EA"/>
    <w:rsid w:val="005C28E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604836"/>
    <w:rsid w:val="00610ADF"/>
    <w:rsid w:val="00611B94"/>
    <w:rsid w:val="00613BEE"/>
    <w:rsid w:val="0061442D"/>
    <w:rsid w:val="00621F5D"/>
    <w:rsid w:val="00630E13"/>
    <w:rsid w:val="0063123E"/>
    <w:rsid w:val="00633846"/>
    <w:rsid w:val="00633BBA"/>
    <w:rsid w:val="00635AEC"/>
    <w:rsid w:val="006418B5"/>
    <w:rsid w:val="00650FBE"/>
    <w:rsid w:val="00656EDF"/>
    <w:rsid w:val="0065766E"/>
    <w:rsid w:val="00660633"/>
    <w:rsid w:val="00661B0F"/>
    <w:rsid w:val="00665592"/>
    <w:rsid w:val="00667E75"/>
    <w:rsid w:val="00667ECC"/>
    <w:rsid w:val="006707C0"/>
    <w:rsid w:val="006732B3"/>
    <w:rsid w:val="00673E67"/>
    <w:rsid w:val="00682878"/>
    <w:rsid w:val="0068506D"/>
    <w:rsid w:val="00687A8F"/>
    <w:rsid w:val="00690CED"/>
    <w:rsid w:val="00692552"/>
    <w:rsid w:val="00694FF6"/>
    <w:rsid w:val="00695BAE"/>
    <w:rsid w:val="006A3883"/>
    <w:rsid w:val="006B5F68"/>
    <w:rsid w:val="006D22BC"/>
    <w:rsid w:val="006D4F49"/>
    <w:rsid w:val="006D6B8F"/>
    <w:rsid w:val="006D7AEF"/>
    <w:rsid w:val="006D7FA4"/>
    <w:rsid w:val="006E22E0"/>
    <w:rsid w:val="006E2C7A"/>
    <w:rsid w:val="006E456F"/>
    <w:rsid w:val="006E5679"/>
    <w:rsid w:val="006E7909"/>
    <w:rsid w:val="00700E75"/>
    <w:rsid w:val="00707AC0"/>
    <w:rsid w:val="007206D4"/>
    <w:rsid w:val="007273F0"/>
    <w:rsid w:val="00730CFE"/>
    <w:rsid w:val="007320F2"/>
    <w:rsid w:val="00737D26"/>
    <w:rsid w:val="00737E9A"/>
    <w:rsid w:val="007418E0"/>
    <w:rsid w:val="00762728"/>
    <w:rsid w:val="00763262"/>
    <w:rsid w:val="0076370A"/>
    <w:rsid w:val="00765F4E"/>
    <w:rsid w:val="00772673"/>
    <w:rsid w:val="00773F09"/>
    <w:rsid w:val="00774608"/>
    <w:rsid w:val="007760AE"/>
    <w:rsid w:val="00776F26"/>
    <w:rsid w:val="00782073"/>
    <w:rsid w:val="00785179"/>
    <w:rsid w:val="00790B01"/>
    <w:rsid w:val="00791486"/>
    <w:rsid w:val="00794363"/>
    <w:rsid w:val="00796547"/>
    <w:rsid w:val="00797E37"/>
    <w:rsid w:val="007A3834"/>
    <w:rsid w:val="007A4BAD"/>
    <w:rsid w:val="007A6298"/>
    <w:rsid w:val="007B0E89"/>
    <w:rsid w:val="007B68AF"/>
    <w:rsid w:val="007B7FEE"/>
    <w:rsid w:val="007C2982"/>
    <w:rsid w:val="007C2F91"/>
    <w:rsid w:val="007C31A0"/>
    <w:rsid w:val="007C4B9D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F475F"/>
    <w:rsid w:val="007F478E"/>
    <w:rsid w:val="007F4A8D"/>
    <w:rsid w:val="00803256"/>
    <w:rsid w:val="00803806"/>
    <w:rsid w:val="00803C11"/>
    <w:rsid w:val="0080593A"/>
    <w:rsid w:val="00807DC4"/>
    <w:rsid w:val="00811CEF"/>
    <w:rsid w:val="008148E1"/>
    <w:rsid w:val="00817D3A"/>
    <w:rsid w:val="008317B4"/>
    <w:rsid w:val="0083601D"/>
    <w:rsid w:val="008360E3"/>
    <w:rsid w:val="008373A3"/>
    <w:rsid w:val="0084269C"/>
    <w:rsid w:val="00852402"/>
    <w:rsid w:val="0086177A"/>
    <w:rsid w:val="00866410"/>
    <w:rsid w:val="00867FAB"/>
    <w:rsid w:val="0087042E"/>
    <w:rsid w:val="008712A1"/>
    <w:rsid w:val="0087409F"/>
    <w:rsid w:val="00877C3F"/>
    <w:rsid w:val="00877E3C"/>
    <w:rsid w:val="0088015C"/>
    <w:rsid w:val="00884C20"/>
    <w:rsid w:val="008864AD"/>
    <w:rsid w:val="008938AA"/>
    <w:rsid w:val="008946E5"/>
    <w:rsid w:val="00894A15"/>
    <w:rsid w:val="00894C3A"/>
    <w:rsid w:val="008951BF"/>
    <w:rsid w:val="008A2CAA"/>
    <w:rsid w:val="008A4CF7"/>
    <w:rsid w:val="008A6A9C"/>
    <w:rsid w:val="008B1E6D"/>
    <w:rsid w:val="008B32BE"/>
    <w:rsid w:val="008C2C3C"/>
    <w:rsid w:val="008C79BB"/>
    <w:rsid w:val="008D1587"/>
    <w:rsid w:val="008D38D9"/>
    <w:rsid w:val="008D767F"/>
    <w:rsid w:val="008E57C2"/>
    <w:rsid w:val="008E5D62"/>
    <w:rsid w:val="008F3AB6"/>
    <w:rsid w:val="008F416D"/>
    <w:rsid w:val="008F6D54"/>
    <w:rsid w:val="008F72F2"/>
    <w:rsid w:val="008F7B26"/>
    <w:rsid w:val="008F7F80"/>
    <w:rsid w:val="00900744"/>
    <w:rsid w:val="00900B2E"/>
    <w:rsid w:val="00930BC1"/>
    <w:rsid w:val="00931126"/>
    <w:rsid w:val="00944B4F"/>
    <w:rsid w:val="0095153B"/>
    <w:rsid w:val="00953DB4"/>
    <w:rsid w:val="00961216"/>
    <w:rsid w:val="0096299E"/>
    <w:rsid w:val="00965163"/>
    <w:rsid w:val="009674B4"/>
    <w:rsid w:val="00970294"/>
    <w:rsid w:val="009750B7"/>
    <w:rsid w:val="009801E4"/>
    <w:rsid w:val="00984C53"/>
    <w:rsid w:val="00990C6F"/>
    <w:rsid w:val="00996F92"/>
    <w:rsid w:val="009A205F"/>
    <w:rsid w:val="009A2769"/>
    <w:rsid w:val="009A3A8A"/>
    <w:rsid w:val="009B2B2B"/>
    <w:rsid w:val="009C0E61"/>
    <w:rsid w:val="009C1063"/>
    <w:rsid w:val="009D0EEB"/>
    <w:rsid w:val="009D1867"/>
    <w:rsid w:val="009D3F74"/>
    <w:rsid w:val="009D664A"/>
    <w:rsid w:val="009E1925"/>
    <w:rsid w:val="009E3005"/>
    <w:rsid w:val="009E4032"/>
    <w:rsid w:val="009E4BD5"/>
    <w:rsid w:val="009F2C03"/>
    <w:rsid w:val="009F3563"/>
    <w:rsid w:val="009F5937"/>
    <w:rsid w:val="00A028B9"/>
    <w:rsid w:val="00A03537"/>
    <w:rsid w:val="00A03BBB"/>
    <w:rsid w:val="00A06843"/>
    <w:rsid w:val="00A07E32"/>
    <w:rsid w:val="00A11972"/>
    <w:rsid w:val="00A1268C"/>
    <w:rsid w:val="00A16299"/>
    <w:rsid w:val="00A17CEA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496C"/>
    <w:rsid w:val="00A610E0"/>
    <w:rsid w:val="00A6210F"/>
    <w:rsid w:val="00A66289"/>
    <w:rsid w:val="00A66B5D"/>
    <w:rsid w:val="00A7067D"/>
    <w:rsid w:val="00A70CD1"/>
    <w:rsid w:val="00A70FEB"/>
    <w:rsid w:val="00A74F2D"/>
    <w:rsid w:val="00A76F8C"/>
    <w:rsid w:val="00A821C4"/>
    <w:rsid w:val="00A8308B"/>
    <w:rsid w:val="00A834E9"/>
    <w:rsid w:val="00A859EE"/>
    <w:rsid w:val="00A87B84"/>
    <w:rsid w:val="00A97D29"/>
    <w:rsid w:val="00AA3E6A"/>
    <w:rsid w:val="00AA48F7"/>
    <w:rsid w:val="00AA6739"/>
    <w:rsid w:val="00AA723E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55E9"/>
    <w:rsid w:val="00AE61E0"/>
    <w:rsid w:val="00AF3928"/>
    <w:rsid w:val="00AF442C"/>
    <w:rsid w:val="00AF74CA"/>
    <w:rsid w:val="00AF778B"/>
    <w:rsid w:val="00B03879"/>
    <w:rsid w:val="00B065DA"/>
    <w:rsid w:val="00B10250"/>
    <w:rsid w:val="00B12082"/>
    <w:rsid w:val="00B247B4"/>
    <w:rsid w:val="00B25334"/>
    <w:rsid w:val="00B317EB"/>
    <w:rsid w:val="00B31D24"/>
    <w:rsid w:val="00B35A48"/>
    <w:rsid w:val="00B37707"/>
    <w:rsid w:val="00B407DC"/>
    <w:rsid w:val="00B417BE"/>
    <w:rsid w:val="00B42470"/>
    <w:rsid w:val="00B43C5F"/>
    <w:rsid w:val="00B476C7"/>
    <w:rsid w:val="00B5039A"/>
    <w:rsid w:val="00B607B2"/>
    <w:rsid w:val="00B61271"/>
    <w:rsid w:val="00B62ED5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30"/>
    <w:rsid w:val="00B855EA"/>
    <w:rsid w:val="00BA5F9D"/>
    <w:rsid w:val="00BB27CA"/>
    <w:rsid w:val="00BB3BD2"/>
    <w:rsid w:val="00BB55C0"/>
    <w:rsid w:val="00BC2E39"/>
    <w:rsid w:val="00BC2EE7"/>
    <w:rsid w:val="00BC49B4"/>
    <w:rsid w:val="00BD05AA"/>
    <w:rsid w:val="00BD3618"/>
    <w:rsid w:val="00BD611F"/>
    <w:rsid w:val="00BD7B29"/>
    <w:rsid w:val="00BE12C8"/>
    <w:rsid w:val="00BE2640"/>
    <w:rsid w:val="00C005F2"/>
    <w:rsid w:val="00C01A58"/>
    <w:rsid w:val="00C02BDF"/>
    <w:rsid w:val="00C03E14"/>
    <w:rsid w:val="00C10731"/>
    <w:rsid w:val="00C10BDD"/>
    <w:rsid w:val="00C14DCE"/>
    <w:rsid w:val="00C26145"/>
    <w:rsid w:val="00C2678A"/>
    <w:rsid w:val="00C31EF5"/>
    <w:rsid w:val="00C36CAE"/>
    <w:rsid w:val="00C40D47"/>
    <w:rsid w:val="00C455CF"/>
    <w:rsid w:val="00C45E08"/>
    <w:rsid w:val="00C509B9"/>
    <w:rsid w:val="00C5584A"/>
    <w:rsid w:val="00C55A3C"/>
    <w:rsid w:val="00C569B9"/>
    <w:rsid w:val="00C57DE2"/>
    <w:rsid w:val="00C77AA4"/>
    <w:rsid w:val="00C92504"/>
    <w:rsid w:val="00C92585"/>
    <w:rsid w:val="00C92E38"/>
    <w:rsid w:val="00C94FAA"/>
    <w:rsid w:val="00CA2232"/>
    <w:rsid w:val="00CA5039"/>
    <w:rsid w:val="00CB055F"/>
    <w:rsid w:val="00CB05C8"/>
    <w:rsid w:val="00CB21EC"/>
    <w:rsid w:val="00CB3A44"/>
    <w:rsid w:val="00CC289A"/>
    <w:rsid w:val="00CC5A17"/>
    <w:rsid w:val="00CC5F3B"/>
    <w:rsid w:val="00CD6E99"/>
    <w:rsid w:val="00CD7C5C"/>
    <w:rsid w:val="00CE08CE"/>
    <w:rsid w:val="00CE718A"/>
    <w:rsid w:val="00CE7BB5"/>
    <w:rsid w:val="00CF3217"/>
    <w:rsid w:val="00D01031"/>
    <w:rsid w:val="00D07E75"/>
    <w:rsid w:val="00D12FA1"/>
    <w:rsid w:val="00D14BAE"/>
    <w:rsid w:val="00D15EC7"/>
    <w:rsid w:val="00D224CC"/>
    <w:rsid w:val="00D25594"/>
    <w:rsid w:val="00D30672"/>
    <w:rsid w:val="00D30B74"/>
    <w:rsid w:val="00D338F4"/>
    <w:rsid w:val="00D40AE4"/>
    <w:rsid w:val="00D46A93"/>
    <w:rsid w:val="00D46BF6"/>
    <w:rsid w:val="00D4763E"/>
    <w:rsid w:val="00D562BD"/>
    <w:rsid w:val="00D60382"/>
    <w:rsid w:val="00D71FF6"/>
    <w:rsid w:val="00D7382E"/>
    <w:rsid w:val="00D820EB"/>
    <w:rsid w:val="00D82174"/>
    <w:rsid w:val="00DB27A9"/>
    <w:rsid w:val="00DB293A"/>
    <w:rsid w:val="00DB41D2"/>
    <w:rsid w:val="00DB4566"/>
    <w:rsid w:val="00DB5B3F"/>
    <w:rsid w:val="00DC0C38"/>
    <w:rsid w:val="00DD1685"/>
    <w:rsid w:val="00DD4344"/>
    <w:rsid w:val="00DD4AEF"/>
    <w:rsid w:val="00DD5A2F"/>
    <w:rsid w:val="00DE1986"/>
    <w:rsid w:val="00DE635A"/>
    <w:rsid w:val="00E022E3"/>
    <w:rsid w:val="00E03B7C"/>
    <w:rsid w:val="00E052C6"/>
    <w:rsid w:val="00E10773"/>
    <w:rsid w:val="00E1478F"/>
    <w:rsid w:val="00E15AA3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4560A"/>
    <w:rsid w:val="00E52A17"/>
    <w:rsid w:val="00E52E24"/>
    <w:rsid w:val="00E54E88"/>
    <w:rsid w:val="00E62E93"/>
    <w:rsid w:val="00E643D8"/>
    <w:rsid w:val="00E6596F"/>
    <w:rsid w:val="00E81203"/>
    <w:rsid w:val="00E81537"/>
    <w:rsid w:val="00E82E2E"/>
    <w:rsid w:val="00E84D02"/>
    <w:rsid w:val="00E85B18"/>
    <w:rsid w:val="00E86900"/>
    <w:rsid w:val="00E947A6"/>
    <w:rsid w:val="00E9733C"/>
    <w:rsid w:val="00EA5644"/>
    <w:rsid w:val="00EB537F"/>
    <w:rsid w:val="00EB5AC5"/>
    <w:rsid w:val="00EB7741"/>
    <w:rsid w:val="00EC23C9"/>
    <w:rsid w:val="00EC6140"/>
    <w:rsid w:val="00EE0046"/>
    <w:rsid w:val="00EE549F"/>
    <w:rsid w:val="00EE5D39"/>
    <w:rsid w:val="00EF13CA"/>
    <w:rsid w:val="00F00919"/>
    <w:rsid w:val="00F1016F"/>
    <w:rsid w:val="00F11331"/>
    <w:rsid w:val="00F13493"/>
    <w:rsid w:val="00F15891"/>
    <w:rsid w:val="00F16832"/>
    <w:rsid w:val="00F24784"/>
    <w:rsid w:val="00F2657B"/>
    <w:rsid w:val="00F30486"/>
    <w:rsid w:val="00F30675"/>
    <w:rsid w:val="00F35B0B"/>
    <w:rsid w:val="00F35C32"/>
    <w:rsid w:val="00F4704E"/>
    <w:rsid w:val="00F51740"/>
    <w:rsid w:val="00F52F2E"/>
    <w:rsid w:val="00F549CF"/>
    <w:rsid w:val="00F566E9"/>
    <w:rsid w:val="00F60675"/>
    <w:rsid w:val="00F61F8F"/>
    <w:rsid w:val="00F631AD"/>
    <w:rsid w:val="00F63B2E"/>
    <w:rsid w:val="00F66232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A1FD9"/>
    <w:rsid w:val="00FA2B84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4</cp:revision>
  <cp:lastPrinted>2012-11-26T10:50:00Z</cp:lastPrinted>
  <dcterms:created xsi:type="dcterms:W3CDTF">2017-05-29T04:46:00Z</dcterms:created>
  <dcterms:modified xsi:type="dcterms:W3CDTF">2017-05-29T04:53:00Z</dcterms:modified>
</cp:coreProperties>
</file>