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455540" w:rsidRDefault="00455540"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532BA" w:rsidRPr="00B532BA" w:rsidRDefault="00B532BA" w:rsidP="005C5638">
      <w:pPr>
        <w:jc w:val="center"/>
        <w:rPr>
          <w:rFonts w:ascii="Palatino" w:hAnsi="Palatino" w:cs="Times"/>
          <w:b/>
          <w:bCs/>
          <w:shadow/>
          <w:color w:val="FF9900"/>
          <w:sz w:val="26"/>
          <w:szCs w:val="26"/>
        </w:rPr>
      </w:pPr>
      <w:r w:rsidRPr="00B532BA">
        <w:rPr>
          <w:rFonts w:ascii="Palatino" w:hAnsi="Palatino" w:cs="Times"/>
          <w:b/>
          <w:bCs/>
          <w:shadow/>
          <w:color w:val="FF9900"/>
          <w:sz w:val="26"/>
          <w:szCs w:val="26"/>
        </w:rPr>
        <w:t>Communiqué d</w:t>
      </w:r>
      <w:r w:rsidR="005C5638">
        <w:rPr>
          <w:rFonts w:ascii="Palatino" w:hAnsi="Palatino" w:cs="Times"/>
          <w:b/>
          <w:bCs/>
          <w:shadow/>
          <w:color w:val="FF9900"/>
          <w:sz w:val="26"/>
          <w:szCs w:val="26"/>
        </w:rPr>
        <w:t>e presse</w:t>
      </w:r>
    </w:p>
    <w:p w:rsidR="009B13B6" w:rsidRDefault="009B13B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A53193" w:rsidRPr="00A53193" w:rsidRDefault="009B13B6" w:rsidP="009B13B6">
      <w:pPr>
        <w:spacing w:line="276" w:lineRule="auto"/>
        <w:jc w:val="center"/>
        <w:rPr>
          <w:rFonts w:ascii="Palatino" w:hAnsi="Palatino" w:cs="Times"/>
          <w:b/>
          <w:bCs/>
          <w:shadow/>
          <w:color w:val="FF9900"/>
          <w:sz w:val="26"/>
          <w:szCs w:val="26"/>
        </w:rPr>
      </w:pPr>
      <w:r w:rsidRPr="00A53193">
        <w:rPr>
          <w:rFonts w:ascii="Palatino" w:hAnsi="Palatino" w:cs="Times"/>
          <w:b/>
          <w:bCs/>
          <w:shadow/>
          <w:color w:val="FF9900"/>
          <w:sz w:val="26"/>
          <w:szCs w:val="26"/>
        </w:rPr>
        <w:t xml:space="preserve">D’éminentes personnalités nationales et internationales </w:t>
      </w:r>
    </w:p>
    <w:p w:rsidR="00A53193" w:rsidRPr="00A53193" w:rsidRDefault="009B13B6" w:rsidP="009B13B6">
      <w:pPr>
        <w:spacing w:line="276" w:lineRule="auto"/>
        <w:jc w:val="center"/>
        <w:rPr>
          <w:rFonts w:ascii="Palatino" w:hAnsi="Palatino" w:cs="Times"/>
          <w:b/>
          <w:bCs/>
          <w:shadow/>
          <w:color w:val="FF9900"/>
          <w:sz w:val="26"/>
          <w:szCs w:val="26"/>
        </w:rPr>
      </w:pPr>
      <w:proofErr w:type="gramStart"/>
      <w:r w:rsidRPr="00A53193">
        <w:rPr>
          <w:rFonts w:ascii="Palatino" w:hAnsi="Palatino" w:cs="Times"/>
          <w:b/>
          <w:bCs/>
          <w:shadow/>
          <w:color w:val="FF9900"/>
          <w:sz w:val="26"/>
          <w:szCs w:val="26"/>
        </w:rPr>
        <w:t>interviendront</w:t>
      </w:r>
      <w:proofErr w:type="gramEnd"/>
      <w:r w:rsidRPr="00A53193">
        <w:rPr>
          <w:rFonts w:ascii="Palatino" w:hAnsi="Palatino" w:cs="Times"/>
          <w:b/>
          <w:bCs/>
          <w:shadow/>
          <w:color w:val="FF9900"/>
          <w:sz w:val="26"/>
          <w:szCs w:val="26"/>
        </w:rPr>
        <w:t xml:space="preserve"> à la conférence scientifique, </w:t>
      </w:r>
    </w:p>
    <w:p w:rsidR="00A53193" w:rsidRPr="00A53193" w:rsidRDefault="009B13B6" w:rsidP="00A53193">
      <w:pPr>
        <w:spacing w:line="276" w:lineRule="auto"/>
        <w:jc w:val="center"/>
        <w:rPr>
          <w:rFonts w:ascii="Palatino" w:hAnsi="Palatino" w:cs="Times"/>
          <w:b/>
          <w:bCs/>
          <w:shadow/>
          <w:color w:val="FF9900"/>
          <w:sz w:val="26"/>
          <w:szCs w:val="26"/>
        </w:rPr>
      </w:pPr>
      <w:proofErr w:type="gramStart"/>
      <w:r w:rsidRPr="00A53193">
        <w:rPr>
          <w:rFonts w:ascii="Palatino" w:hAnsi="Palatino" w:cs="Times"/>
          <w:b/>
          <w:bCs/>
          <w:shadow/>
          <w:color w:val="FF9900"/>
          <w:sz w:val="26"/>
          <w:szCs w:val="26"/>
        </w:rPr>
        <w:t>organisée</w:t>
      </w:r>
      <w:proofErr w:type="gramEnd"/>
      <w:r w:rsidRPr="00A53193">
        <w:rPr>
          <w:rFonts w:ascii="Palatino" w:hAnsi="Palatino" w:cs="Times"/>
          <w:b/>
          <w:bCs/>
          <w:shadow/>
          <w:color w:val="FF9900"/>
          <w:sz w:val="26"/>
          <w:szCs w:val="26"/>
        </w:rPr>
        <w:t xml:space="preserve"> sous le Haut Patronage de Sa Majesté le Roi, </w:t>
      </w:r>
    </w:p>
    <w:p w:rsidR="009B13B6" w:rsidRDefault="009B13B6" w:rsidP="009B13B6">
      <w:pPr>
        <w:spacing w:line="276" w:lineRule="auto"/>
        <w:jc w:val="center"/>
        <w:rPr>
          <w:rFonts w:ascii="Book Antiqua" w:hAnsi="Book Antiqua"/>
          <w:b/>
          <w:bCs/>
          <w:sz w:val="26"/>
          <w:szCs w:val="26"/>
          <w:rtl/>
        </w:rPr>
      </w:pPr>
      <w:proofErr w:type="gramStart"/>
      <w:r w:rsidRPr="00A53193">
        <w:rPr>
          <w:rFonts w:ascii="Palatino" w:hAnsi="Palatino" w:cs="Times"/>
          <w:b/>
          <w:bCs/>
          <w:shadow/>
          <w:color w:val="FF9900"/>
          <w:sz w:val="26"/>
          <w:szCs w:val="26"/>
        </w:rPr>
        <w:t>à</w:t>
      </w:r>
      <w:proofErr w:type="gramEnd"/>
      <w:r w:rsidRPr="00A53193">
        <w:rPr>
          <w:rFonts w:ascii="Palatino" w:hAnsi="Palatino" w:cs="Times"/>
          <w:b/>
          <w:bCs/>
          <w:shadow/>
          <w:color w:val="FF9900"/>
          <w:sz w:val="26"/>
          <w:szCs w:val="26"/>
        </w:rPr>
        <w:t xml:space="preserve"> l’occasion de la Journée Mondiale de la Statistique</w:t>
      </w:r>
    </w:p>
    <w:p w:rsidR="009B13B6" w:rsidRDefault="009B13B6" w:rsidP="009B13B6">
      <w:pPr>
        <w:spacing w:line="276" w:lineRule="auto"/>
        <w:jc w:val="center"/>
        <w:rPr>
          <w:rFonts w:ascii="Book Antiqua" w:hAnsi="Book Antiqua"/>
          <w:b/>
          <w:bCs/>
          <w:sz w:val="26"/>
          <w:szCs w:val="26"/>
        </w:rPr>
      </w:pPr>
    </w:p>
    <w:p w:rsidR="009B13B6" w:rsidRPr="009B13B6" w:rsidRDefault="009B13B6" w:rsidP="009B13B6">
      <w:pPr>
        <w:spacing w:before="120" w:after="120"/>
        <w:ind w:firstLine="709"/>
        <w:jc w:val="both"/>
        <w:rPr>
          <w:rFonts w:ascii="Book Antiqua" w:hAnsi="Book Antiqua"/>
          <w:b/>
          <w:bCs/>
          <w:color w:val="7F7F7F" w:themeColor="text1" w:themeTint="80"/>
        </w:rPr>
      </w:pPr>
      <w:r w:rsidRPr="009B13B6">
        <w:rPr>
          <w:rFonts w:ascii="Book Antiqua" w:hAnsi="Book Antiqua"/>
          <w:b/>
          <w:bCs/>
          <w:color w:val="7F7F7F" w:themeColor="text1" w:themeTint="80"/>
        </w:rPr>
        <w:t>Sous le Haut patronage de Sa Majesté le Roi Mohammed VI, le Haut Commissariat au Plan organise, à l’occasion de la Journée Mondiale de la Statistique, une conférence scientifique internationale sous le thème : « De meilleures statistiques pour une meilleure vie», le 20 octobre 2015 au Centre de Formation de Bank Al-</w:t>
      </w:r>
      <w:proofErr w:type="spellStart"/>
      <w:r w:rsidRPr="009B13B6">
        <w:rPr>
          <w:rFonts w:ascii="Book Antiqua" w:hAnsi="Book Antiqua"/>
          <w:b/>
          <w:bCs/>
          <w:color w:val="7F7F7F" w:themeColor="text1" w:themeTint="80"/>
        </w:rPr>
        <w:t>Maghrib</w:t>
      </w:r>
      <w:proofErr w:type="spellEnd"/>
      <w:r w:rsidRPr="009B13B6">
        <w:rPr>
          <w:rFonts w:ascii="Book Antiqua" w:hAnsi="Book Antiqua"/>
          <w:b/>
          <w:bCs/>
          <w:color w:val="7F7F7F" w:themeColor="text1" w:themeTint="80"/>
        </w:rPr>
        <w:t xml:space="preserve"> à Rabat. </w:t>
      </w:r>
    </w:p>
    <w:p w:rsidR="009B13B6" w:rsidRPr="009B13B6" w:rsidRDefault="009B13B6" w:rsidP="000F73B0">
      <w:pPr>
        <w:spacing w:before="120" w:after="120"/>
        <w:ind w:firstLine="709"/>
        <w:jc w:val="both"/>
        <w:rPr>
          <w:rFonts w:ascii="Book Antiqua" w:hAnsi="Book Antiqua"/>
          <w:b/>
          <w:bCs/>
          <w:color w:val="7F7F7F" w:themeColor="text1" w:themeTint="80"/>
        </w:rPr>
      </w:pPr>
      <w:r w:rsidRPr="009B13B6">
        <w:rPr>
          <w:rFonts w:ascii="Book Antiqua" w:hAnsi="Book Antiqua"/>
          <w:b/>
          <w:bCs/>
          <w:color w:val="7F7F7F" w:themeColor="text1" w:themeTint="80"/>
        </w:rPr>
        <w:t xml:space="preserve">Le même centre abritera des stands du HCP et de plusieurs  </w:t>
      </w:r>
      <w:r w:rsidR="009B59E7">
        <w:rPr>
          <w:rFonts w:ascii="Book Antiqua" w:hAnsi="Book Antiqua"/>
          <w:b/>
          <w:bCs/>
          <w:color w:val="7F7F7F" w:themeColor="text1" w:themeTint="80"/>
        </w:rPr>
        <w:t xml:space="preserve">Ministères et </w:t>
      </w:r>
      <w:r w:rsidRPr="009B13B6">
        <w:rPr>
          <w:rFonts w:ascii="Book Antiqua" w:hAnsi="Book Antiqua"/>
          <w:b/>
          <w:bCs/>
          <w:color w:val="7F7F7F" w:themeColor="text1" w:themeTint="80"/>
        </w:rPr>
        <w:t>inst</w:t>
      </w:r>
      <w:r w:rsidR="00890ADF">
        <w:rPr>
          <w:rFonts w:ascii="Book Antiqua" w:hAnsi="Book Antiqua"/>
          <w:b/>
          <w:bCs/>
          <w:color w:val="7F7F7F" w:themeColor="text1" w:themeTint="80"/>
        </w:rPr>
        <w:t>itutions nationales producteurs ou utilisateurs</w:t>
      </w:r>
      <w:r w:rsidRPr="009B13B6">
        <w:rPr>
          <w:rFonts w:ascii="Book Antiqua" w:hAnsi="Book Antiqua"/>
          <w:b/>
          <w:bCs/>
          <w:color w:val="7F7F7F" w:themeColor="text1" w:themeTint="80"/>
        </w:rPr>
        <w:t xml:space="preserve"> de statistiques pour exposer aux visiteurs les publications statistiques, les travaux de production, d’exploitation et de diffusion de</w:t>
      </w:r>
      <w:r w:rsidR="000F73B0">
        <w:rPr>
          <w:rFonts w:ascii="Book Antiqua" w:hAnsi="Book Antiqua"/>
          <w:b/>
          <w:bCs/>
          <w:color w:val="7F7F7F" w:themeColor="text1" w:themeTint="80"/>
        </w:rPr>
        <w:t>s</w:t>
      </w:r>
      <w:r w:rsidRPr="009B13B6">
        <w:rPr>
          <w:rFonts w:ascii="Book Antiqua" w:hAnsi="Book Antiqua"/>
          <w:b/>
          <w:bCs/>
          <w:color w:val="7F7F7F" w:themeColor="text1" w:themeTint="80"/>
        </w:rPr>
        <w:t xml:space="preserve"> </w:t>
      </w:r>
      <w:r w:rsidR="000F73B0">
        <w:rPr>
          <w:rFonts w:ascii="Book Antiqua" w:hAnsi="Book Antiqua"/>
          <w:b/>
          <w:bCs/>
          <w:color w:val="7F7F7F" w:themeColor="text1" w:themeTint="80"/>
        </w:rPr>
        <w:t>données relatives à leurs activités</w:t>
      </w:r>
      <w:r w:rsidRPr="009B13B6">
        <w:rPr>
          <w:rFonts w:ascii="Book Antiqua" w:hAnsi="Book Antiqua"/>
          <w:b/>
          <w:bCs/>
          <w:color w:val="7F7F7F" w:themeColor="text1" w:themeTint="80"/>
        </w:rPr>
        <w:t xml:space="preserve"> et des technologies utilisées à cet effet. </w:t>
      </w:r>
    </w:p>
    <w:p w:rsidR="009B13B6" w:rsidRPr="009B13B6" w:rsidRDefault="009B13B6" w:rsidP="00700B0F">
      <w:pPr>
        <w:spacing w:before="120" w:after="120"/>
        <w:ind w:firstLine="709"/>
        <w:jc w:val="both"/>
        <w:rPr>
          <w:rFonts w:ascii="Book Antiqua" w:hAnsi="Book Antiqua"/>
          <w:b/>
          <w:bCs/>
          <w:color w:val="7F7F7F" w:themeColor="text1" w:themeTint="80"/>
        </w:rPr>
      </w:pPr>
      <w:r w:rsidRPr="009B13B6">
        <w:rPr>
          <w:rFonts w:ascii="Book Antiqua" w:hAnsi="Book Antiqua"/>
          <w:b/>
          <w:bCs/>
          <w:color w:val="7F7F7F" w:themeColor="text1" w:themeTint="80"/>
        </w:rPr>
        <w:t xml:space="preserve">Par ailleurs, interviendront à ladite conférence les Présidents des deux Chambres du Parlement, plusieurs  Ministres, le Premier Président de la Cour de Cassation, </w:t>
      </w:r>
      <w:r w:rsidR="00E8135A" w:rsidRPr="009B13B6">
        <w:rPr>
          <w:rFonts w:ascii="Book Antiqua" w:hAnsi="Book Antiqua"/>
          <w:b/>
          <w:bCs/>
          <w:color w:val="7F7F7F" w:themeColor="text1" w:themeTint="80"/>
        </w:rPr>
        <w:t>le Gouverneur de Bank Al-</w:t>
      </w:r>
      <w:proofErr w:type="spellStart"/>
      <w:r w:rsidR="00E8135A" w:rsidRPr="009B13B6">
        <w:rPr>
          <w:rFonts w:ascii="Book Antiqua" w:hAnsi="Book Antiqua"/>
          <w:b/>
          <w:bCs/>
          <w:color w:val="7F7F7F" w:themeColor="text1" w:themeTint="80"/>
        </w:rPr>
        <w:t>Maghrib</w:t>
      </w:r>
      <w:proofErr w:type="spellEnd"/>
      <w:r w:rsidR="00E8135A" w:rsidRPr="009B13B6">
        <w:rPr>
          <w:rFonts w:ascii="Book Antiqua" w:hAnsi="Book Antiqua"/>
          <w:b/>
          <w:bCs/>
          <w:color w:val="7F7F7F" w:themeColor="text1" w:themeTint="80"/>
        </w:rPr>
        <w:t xml:space="preserve"> </w:t>
      </w:r>
      <w:r w:rsidR="00E8135A">
        <w:rPr>
          <w:rFonts w:ascii="Book Antiqua" w:hAnsi="Book Antiqua"/>
          <w:b/>
          <w:bCs/>
          <w:color w:val="7F7F7F" w:themeColor="text1" w:themeTint="80"/>
        </w:rPr>
        <w:t xml:space="preserve">et </w:t>
      </w:r>
      <w:r w:rsidRPr="009B13B6">
        <w:rPr>
          <w:rFonts w:ascii="Book Antiqua" w:hAnsi="Book Antiqua"/>
          <w:b/>
          <w:bCs/>
          <w:color w:val="7F7F7F" w:themeColor="text1" w:themeTint="80"/>
        </w:rPr>
        <w:t>le Président du Conseil Economique, Social et Environnemental.</w:t>
      </w:r>
    </w:p>
    <w:p w:rsidR="009B13B6" w:rsidRPr="009B13B6" w:rsidRDefault="009B13B6" w:rsidP="009B13B6">
      <w:pPr>
        <w:spacing w:before="120" w:after="120"/>
        <w:ind w:firstLine="709"/>
        <w:jc w:val="both"/>
        <w:rPr>
          <w:rFonts w:ascii="Book Antiqua" w:hAnsi="Book Antiqua"/>
          <w:b/>
          <w:bCs/>
          <w:color w:val="7F7F7F" w:themeColor="text1" w:themeTint="80"/>
        </w:rPr>
      </w:pPr>
      <w:r w:rsidRPr="009B13B6">
        <w:rPr>
          <w:rFonts w:ascii="Book Antiqua" w:hAnsi="Book Antiqua"/>
          <w:b/>
          <w:bCs/>
          <w:color w:val="7F7F7F" w:themeColor="text1" w:themeTint="80"/>
        </w:rPr>
        <w:t xml:space="preserve">La Conférence sera également l’occasion de bénéficier d’interventions de personnalités du monde de la statistique en particulier, le Directeur du Centre de Développement de l’Organisation de Coopération et de Développement Economiques (OCDE), M. Mario </w:t>
      </w:r>
      <w:proofErr w:type="spellStart"/>
      <w:r w:rsidRPr="009B13B6">
        <w:rPr>
          <w:rFonts w:ascii="Book Antiqua" w:hAnsi="Book Antiqua"/>
          <w:b/>
          <w:bCs/>
          <w:color w:val="7F7F7F" w:themeColor="text1" w:themeTint="80"/>
        </w:rPr>
        <w:t>Pezzini</w:t>
      </w:r>
      <w:proofErr w:type="spellEnd"/>
      <w:r w:rsidRPr="009B13B6">
        <w:rPr>
          <w:rFonts w:ascii="Book Antiqua" w:hAnsi="Book Antiqua"/>
          <w:b/>
          <w:bCs/>
          <w:color w:val="7F7F7F" w:themeColor="text1" w:themeTint="80"/>
        </w:rPr>
        <w:t xml:space="preserve">, le Directeur Général de l’Office Statistique Européen, M. Walter </w:t>
      </w:r>
      <w:proofErr w:type="spellStart"/>
      <w:r w:rsidRPr="009B13B6">
        <w:rPr>
          <w:rFonts w:ascii="Book Antiqua" w:hAnsi="Book Antiqua"/>
          <w:b/>
          <w:bCs/>
          <w:color w:val="7F7F7F" w:themeColor="text1" w:themeTint="80"/>
        </w:rPr>
        <w:t>Radermacher</w:t>
      </w:r>
      <w:proofErr w:type="spellEnd"/>
      <w:r w:rsidRPr="009B13B6">
        <w:rPr>
          <w:rFonts w:ascii="Book Antiqua" w:hAnsi="Book Antiqua"/>
          <w:b/>
          <w:bCs/>
          <w:color w:val="7F7F7F" w:themeColor="text1" w:themeTint="80"/>
        </w:rPr>
        <w:t xml:space="preserve">, le Directeur Général de l’Institut National de la Statistique et des Etudes Economiques (INSEE), M. Jean Luc Tavernier, le Président de l’Institut International de la Statistique, M. Pedro Luis Do </w:t>
      </w:r>
      <w:proofErr w:type="spellStart"/>
      <w:r w:rsidRPr="009B13B6">
        <w:rPr>
          <w:rFonts w:ascii="Book Antiqua" w:hAnsi="Book Antiqua"/>
          <w:b/>
          <w:bCs/>
          <w:color w:val="7F7F7F" w:themeColor="text1" w:themeTint="80"/>
        </w:rPr>
        <w:t>Nascimento</w:t>
      </w:r>
      <w:proofErr w:type="spellEnd"/>
      <w:r w:rsidRPr="009B13B6">
        <w:rPr>
          <w:rFonts w:ascii="Book Antiqua" w:hAnsi="Book Antiqua"/>
          <w:b/>
          <w:bCs/>
          <w:color w:val="7F7F7F" w:themeColor="text1" w:themeTint="80"/>
        </w:rPr>
        <w:t xml:space="preserve"> Silva, l’ex Ministre de l’Emploi et des Affaires Sociales en </w:t>
      </w:r>
      <w:r w:rsidR="008D66EE">
        <w:rPr>
          <w:rFonts w:ascii="Book Antiqua" w:hAnsi="Book Antiqua"/>
          <w:b/>
          <w:bCs/>
          <w:color w:val="7F7F7F" w:themeColor="text1" w:themeTint="80"/>
        </w:rPr>
        <w:t>Italie,</w:t>
      </w:r>
      <w:r w:rsidRPr="009B13B6">
        <w:rPr>
          <w:rFonts w:ascii="Book Antiqua" w:hAnsi="Book Antiqua"/>
          <w:b/>
          <w:bCs/>
          <w:color w:val="7F7F7F" w:themeColor="text1" w:themeTint="80"/>
        </w:rPr>
        <w:t xml:space="preserve"> M. Enrico </w:t>
      </w:r>
      <w:proofErr w:type="spellStart"/>
      <w:r w:rsidRPr="009B13B6">
        <w:rPr>
          <w:rFonts w:ascii="Book Antiqua" w:hAnsi="Book Antiqua"/>
          <w:b/>
          <w:bCs/>
          <w:color w:val="7F7F7F" w:themeColor="text1" w:themeTint="80"/>
        </w:rPr>
        <w:t>Giovannini</w:t>
      </w:r>
      <w:proofErr w:type="spellEnd"/>
      <w:r w:rsidRPr="009B13B6">
        <w:rPr>
          <w:rFonts w:ascii="Book Antiqua" w:hAnsi="Book Antiqua"/>
          <w:b/>
          <w:bCs/>
          <w:color w:val="7F7F7F" w:themeColor="text1" w:themeTint="80"/>
        </w:rPr>
        <w:t xml:space="preserve"> et le Manager du Partenariat statistique au service du développement au XXIème siècle (PARIS 21), M. Johannes </w:t>
      </w:r>
      <w:proofErr w:type="spellStart"/>
      <w:r w:rsidRPr="009B13B6">
        <w:rPr>
          <w:rFonts w:ascii="Book Antiqua" w:hAnsi="Book Antiqua"/>
          <w:b/>
          <w:bCs/>
          <w:color w:val="7F7F7F" w:themeColor="text1" w:themeTint="80"/>
        </w:rPr>
        <w:t>Jutting</w:t>
      </w:r>
      <w:proofErr w:type="spellEnd"/>
      <w:r w:rsidRPr="009B13B6">
        <w:rPr>
          <w:rFonts w:ascii="Book Antiqua" w:hAnsi="Book Antiqua"/>
          <w:b/>
          <w:bCs/>
          <w:color w:val="7F7F7F" w:themeColor="text1" w:themeTint="80"/>
        </w:rPr>
        <w:t xml:space="preserve">. </w:t>
      </w:r>
    </w:p>
    <w:p w:rsidR="009B13B6" w:rsidRPr="009B13B6" w:rsidRDefault="009B13B6" w:rsidP="009B13B6">
      <w:pPr>
        <w:spacing w:before="120" w:after="120"/>
        <w:ind w:firstLine="709"/>
        <w:jc w:val="both"/>
        <w:rPr>
          <w:rFonts w:ascii="Book Antiqua" w:hAnsi="Book Antiqua"/>
          <w:b/>
          <w:bCs/>
          <w:color w:val="7F7F7F" w:themeColor="text1" w:themeTint="80"/>
        </w:rPr>
      </w:pPr>
      <w:r w:rsidRPr="009B13B6">
        <w:rPr>
          <w:rFonts w:ascii="Book Antiqua" w:hAnsi="Book Antiqua"/>
          <w:b/>
          <w:bCs/>
          <w:color w:val="7F7F7F" w:themeColor="text1" w:themeTint="80"/>
        </w:rPr>
        <w:t>A cette occasion, le Haut Commissaire au Plan signera deux conventions de partenariat, la première avec le Directeur Général de l’INSEE et la deuxième avec le Premier Président de la Cour de Cassation.</w:t>
      </w:r>
    </w:p>
    <w:p w:rsidR="009B13B6" w:rsidRDefault="00A53193" w:rsidP="00A53193">
      <w:pPr>
        <w:pStyle w:val="NormalWeb"/>
        <w:spacing w:before="0" w:beforeAutospacing="0" w:after="120" w:afterAutospacing="0" w:line="240" w:lineRule="exact"/>
        <w:jc w:val="right"/>
        <w:rPr>
          <w:rFonts w:ascii="Book Antiqua" w:hAnsi="Book Antiqua"/>
          <w:b/>
          <w:bCs/>
          <w:color w:val="7F7F7F" w:themeColor="text1" w:themeTint="80"/>
        </w:rPr>
      </w:pPr>
      <w:r w:rsidRPr="00A53193">
        <w:rPr>
          <w:rFonts w:ascii="Book Antiqua" w:hAnsi="Book Antiqua"/>
          <w:b/>
          <w:bCs/>
          <w:color w:val="7F7F7F" w:themeColor="text1" w:themeTint="80"/>
        </w:rPr>
        <w:t>Pour le Haut Commissaire au Plan</w:t>
      </w:r>
    </w:p>
    <w:p w:rsidR="00A53193" w:rsidRDefault="00A53193" w:rsidP="00A53193">
      <w:pPr>
        <w:pStyle w:val="NormalWeb"/>
        <w:spacing w:before="0" w:beforeAutospacing="0" w:after="120" w:afterAutospacing="0" w:line="240" w:lineRule="exact"/>
        <w:jc w:val="both"/>
        <w:rPr>
          <w:rFonts w:ascii="Book Antiqua" w:hAnsi="Book Antiqua"/>
          <w:b/>
          <w:bCs/>
          <w:color w:val="7F7F7F" w:themeColor="text1" w:themeTint="80"/>
        </w:rPr>
      </w:pPr>
      <w:r>
        <w:rPr>
          <w:rFonts w:ascii="Book Antiqua" w:hAnsi="Book Antiqua"/>
          <w:b/>
          <w:bCs/>
          <w:color w:val="7F7F7F" w:themeColor="text1" w:themeTint="80"/>
        </w:rPr>
        <w:t xml:space="preserve">                                                                                                             Jamal </w:t>
      </w:r>
      <w:proofErr w:type="spellStart"/>
      <w:r>
        <w:rPr>
          <w:rFonts w:ascii="Book Antiqua" w:hAnsi="Book Antiqua"/>
          <w:b/>
          <w:bCs/>
          <w:color w:val="7F7F7F" w:themeColor="text1" w:themeTint="80"/>
        </w:rPr>
        <w:t>Bourchachen</w:t>
      </w:r>
      <w:proofErr w:type="spellEnd"/>
    </w:p>
    <w:p w:rsidR="00A53193" w:rsidRPr="00A53193" w:rsidRDefault="00A53193" w:rsidP="00A53193">
      <w:pPr>
        <w:pStyle w:val="NormalWeb"/>
        <w:spacing w:before="0" w:beforeAutospacing="0" w:after="120" w:afterAutospacing="0" w:line="240" w:lineRule="exact"/>
        <w:jc w:val="both"/>
        <w:rPr>
          <w:rFonts w:ascii="Book Antiqua" w:hAnsi="Book Antiqua"/>
          <w:b/>
          <w:bCs/>
          <w:color w:val="7F7F7F" w:themeColor="text1" w:themeTint="80"/>
        </w:rPr>
      </w:pPr>
      <w:r>
        <w:rPr>
          <w:rFonts w:ascii="Book Antiqua" w:hAnsi="Book Antiqua"/>
          <w:b/>
          <w:bCs/>
          <w:color w:val="7F7F7F" w:themeColor="text1" w:themeTint="80"/>
        </w:rPr>
        <w:t xml:space="preserve">                                                                                                             Secrétaire Général</w:t>
      </w:r>
    </w:p>
    <w:sectPr w:rsidR="00A53193" w:rsidRPr="00A53193"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63" w:rsidRDefault="005D0A63">
      <w:r>
        <w:separator/>
      </w:r>
    </w:p>
  </w:endnote>
  <w:endnote w:type="continuationSeparator" w:id="0">
    <w:p w:rsidR="005D0A63" w:rsidRDefault="005D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77724"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977724"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A53193">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596F2F">
      <w:rPr>
        <w:rStyle w:val="Numrodepage"/>
        <w:noProof/>
        <w:sz w:val="20"/>
        <w:szCs w:val="20"/>
      </w:rPr>
      <w:t>1</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977724">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 xml:space="preserve">الهاتف </w:t>
                </w:r>
                <w:proofErr w:type="spellStart"/>
                <w:r w:rsidRPr="00C10BDD">
                  <w:rPr>
                    <w:rFonts w:ascii="Arial" w:hAnsi="Arial" w:cs="Arial"/>
                    <w:color w:val="993366"/>
                    <w:sz w:val="20"/>
                    <w:szCs w:val="20"/>
                    <w:rtl/>
                    <w:lang w:bidi="ar-MA"/>
                  </w:rPr>
                  <w:t>:</w:t>
                </w:r>
                <w:proofErr w:type="spellEnd"/>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63" w:rsidRDefault="005D0A63">
      <w:r>
        <w:separator/>
      </w:r>
    </w:p>
  </w:footnote>
  <w:footnote w:type="continuationSeparator" w:id="0">
    <w:p w:rsidR="005D0A63" w:rsidRDefault="005D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30FE9"/>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0F73B0"/>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907EE"/>
    <w:rsid w:val="001A1A9C"/>
    <w:rsid w:val="001A2FF3"/>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353F2"/>
    <w:rsid w:val="00242C76"/>
    <w:rsid w:val="00242CBE"/>
    <w:rsid w:val="002443AA"/>
    <w:rsid w:val="0024532B"/>
    <w:rsid w:val="0024586A"/>
    <w:rsid w:val="002523DB"/>
    <w:rsid w:val="00256291"/>
    <w:rsid w:val="002603C8"/>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5013"/>
    <w:rsid w:val="003870EC"/>
    <w:rsid w:val="0039063A"/>
    <w:rsid w:val="00393B90"/>
    <w:rsid w:val="00393EF8"/>
    <w:rsid w:val="003A14B5"/>
    <w:rsid w:val="003A17E2"/>
    <w:rsid w:val="003A5CB2"/>
    <w:rsid w:val="003B7C9A"/>
    <w:rsid w:val="003C357A"/>
    <w:rsid w:val="003E5DDB"/>
    <w:rsid w:val="003F28EA"/>
    <w:rsid w:val="003F445E"/>
    <w:rsid w:val="00401D3E"/>
    <w:rsid w:val="00403A20"/>
    <w:rsid w:val="004275D6"/>
    <w:rsid w:val="00446DB7"/>
    <w:rsid w:val="00447FBC"/>
    <w:rsid w:val="00454894"/>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96F2F"/>
    <w:rsid w:val="005B0675"/>
    <w:rsid w:val="005B3582"/>
    <w:rsid w:val="005B48EA"/>
    <w:rsid w:val="005C28E5"/>
    <w:rsid w:val="005C5638"/>
    <w:rsid w:val="005C707A"/>
    <w:rsid w:val="005C7D21"/>
    <w:rsid w:val="005D0550"/>
    <w:rsid w:val="005D0A63"/>
    <w:rsid w:val="005D14CD"/>
    <w:rsid w:val="005D71A1"/>
    <w:rsid w:val="005D72D0"/>
    <w:rsid w:val="005E3BDC"/>
    <w:rsid w:val="005E4938"/>
    <w:rsid w:val="00604836"/>
    <w:rsid w:val="00610ADF"/>
    <w:rsid w:val="00611B94"/>
    <w:rsid w:val="0061442D"/>
    <w:rsid w:val="00621F5D"/>
    <w:rsid w:val="00626078"/>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254"/>
    <w:rsid w:val="00695BAE"/>
    <w:rsid w:val="006A3883"/>
    <w:rsid w:val="006A40FF"/>
    <w:rsid w:val="006B5F68"/>
    <w:rsid w:val="006C77C9"/>
    <w:rsid w:val="006D22BC"/>
    <w:rsid w:val="006D4F49"/>
    <w:rsid w:val="006D7AEF"/>
    <w:rsid w:val="006D7FA4"/>
    <w:rsid w:val="006E2C7A"/>
    <w:rsid w:val="006E456F"/>
    <w:rsid w:val="006E5679"/>
    <w:rsid w:val="006E7909"/>
    <w:rsid w:val="00700B0F"/>
    <w:rsid w:val="00700E75"/>
    <w:rsid w:val="00700FCD"/>
    <w:rsid w:val="007206D4"/>
    <w:rsid w:val="007273F0"/>
    <w:rsid w:val="00730CFE"/>
    <w:rsid w:val="007320F2"/>
    <w:rsid w:val="00737D26"/>
    <w:rsid w:val="00737E9A"/>
    <w:rsid w:val="007418E0"/>
    <w:rsid w:val="00745F4E"/>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0ADF"/>
    <w:rsid w:val="008938AA"/>
    <w:rsid w:val="008946E5"/>
    <w:rsid w:val="00894A15"/>
    <w:rsid w:val="00894C3A"/>
    <w:rsid w:val="008951BF"/>
    <w:rsid w:val="008A2CAA"/>
    <w:rsid w:val="008A4CF7"/>
    <w:rsid w:val="008A6A9C"/>
    <w:rsid w:val="008B32BE"/>
    <w:rsid w:val="008C2C3C"/>
    <w:rsid w:val="008C79BB"/>
    <w:rsid w:val="008D1587"/>
    <w:rsid w:val="008D38D9"/>
    <w:rsid w:val="008D66EE"/>
    <w:rsid w:val="008D767F"/>
    <w:rsid w:val="008E57C2"/>
    <w:rsid w:val="008F416D"/>
    <w:rsid w:val="008F6D54"/>
    <w:rsid w:val="00900744"/>
    <w:rsid w:val="00900B2E"/>
    <w:rsid w:val="00930BC1"/>
    <w:rsid w:val="00931126"/>
    <w:rsid w:val="00944B4F"/>
    <w:rsid w:val="0095153B"/>
    <w:rsid w:val="00953DB4"/>
    <w:rsid w:val="00961216"/>
    <w:rsid w:val="00965163"/>
    <w:rsid w:val="00965E2B"/>
    <w:rsid w:val="00970294"/>
    <w:rsid w:val="009750B7"/>
    <w:rsid w:val="00977724"/>
    <w:rsid w:val="009801E4"/>
    <w:rsid w:val="00984C53"/>
    <w:rsid w:val="00990C6F"/>
    <w:rsid w:val="00996F92"/>
    <w:rsid w:val="009A205F"/>
    <w:rsid w:val="009A3A8A"/>
    <w:rsid w:val="009B13B6"/>
    <w:rsid w:val="009B2B2B"/>
    <w:rsid w:val="009B59E7"/>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3193"/>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C66AF"/>
    <w:rsid w:val="00AD3FE4"/>
    <w:rsid w:val="00AD7D28"/>
    <w:rsid w:val="00AE05A7"/>
    <w:rsid w:val="00AE3BF1"/>
    <w:rsid w:val="00AE4320"/>
    <w:rsid w:val="00AE61E0"/>
    <w:rsid w:val="00AF442C"/>
    <w:rsid w:val="00AF5ED0"/>
    <w:rsid w:val="00AF74CA"/>
    <w:rsid w:val="00B03879"/>
    <w:rsid w:val="00B05367"/>
    <w:rsid w:val="00B065DA"/>
    <w:rsid w:val="00B10250"/>
    <w:rsid w:val="00B12082"/>
    <w:rsid w:val="00B247B4"/>
    <w:rsid w:val="00B317EB"/>
    <w:rsid w:val="00B31D24"/>
    <w:rsid w:val="00B35A48"/>
    <w:rsid w:val="00B37707"/>
    <w:rsid w:val="00B417BE"/>
    <w:rsid w:val="00B42470"/>
    <w:rsid w:val="00B43C5F"/>
    <w:rsid w:val="00B476C7"/>
    <w:rsid w:val="00B50620"/>
    <w:rsid w:val="00B532BA"/>
    <w:rsid w:val="00B607B2"/>
    <w:rsid w:val="00B6291E"/>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0669A"/>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33F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71FF6"/>
    <w:rsid w:val="00D820EB"/>
    <w:rsid w:val="00D82174"/>
    <w:rsid w:val="00D827F9"/>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35A"/>
    <w:rsid w:val="00E81537"/>
    <w:rsid w:val="00E82E2E"/>
    <w:rsid w:val="00E84D02"/>
    <w:rsid w:val="00E85B18"/>
    <w:rsid w:val="00E86900"/>
    <w:rsid w:val="00E947A6"/>
    <w:rsid w:val="00E9733C"/>
    <w:rsid w:val="00EA5644"/>
    <w:rsid w:val="00EB537F"/>
    <w:rsid w:val="00EB5AC5"/>
    <w:rsid w:val="00EB7741"/>
    <w:rsid w:val="00EC291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2CE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B05367"/>
    <w:rPr>
      <w:rFonts w:ascii="Cambria" w:eastAsia="Times New Roman" w:hAnsi="Cambria" w:cs="Times New Roman"/>
      <w:b/>
      <w:bCs/>
      <w:i/>
      <w:iCs/>
      <w:sz w:val="28"/>
      <w:szCs w:val="28"/>
    </w:rPr>
  </w:style>
  <w:style w:type="character" w:customStyle="1" w:styleId="Titre3Car">
    <w:name w:val="Titre 3 Car"/>
    <w:link w:val="Titre3"/>
    <w:uiPriority w:val="9"/>
    <w:semiHidden/>
    <w:rsid w:val="00B05367"/>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B05367"/>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B05367"/>
    <w:rPr>
      <w:sz w:val="24"/>
      <w:szCs w:val="24"/>
    </w:rPr>
  </w:style>
  <w:style w:type="paragraph" w:styleId="Titre">
    <w:name w:val="Title"/>
    <w:basedOn w:val="Normal"/>
    <w:link w:val="TitreCar"/>
    <w:uiPriority w:val="99"/>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B05367"/>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B05367"/>
    <w:rPr>
      <w:rFonts w:ascii="Tahoma" w:hAnsi="Tahoma" w:cs="Tahoma"/>
      <w:sz w:val="16"/>
      <w:szCs w:val="16"/>
    </w:rPr>
  </w:style>
  <w:style w:type="character" w:customStyle="1" w:styleId="TitreCar">
    <w:name w:val="Titre Car"/>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2015-10-16T21:54:00Z</cp:lastPrinted>
  <dcterms:created xsi:type="dcterms:W3CDTF">2015-10-16T22:27:00Z</dcterms:created>
  <dcterms:modified xsi:type="dcterms:W3CDTF">2015-10-16T22:32:00Z</dcterms:modified>
</cp:coreProperties>
</file>