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 w:hint="cs"/>
          <w:b/>
          <w:bCs/>
          <w:sz w:val="26"/>
          <w:szCs w:val="26"/>
          <w:rtl/>
        </w:rPr>
      </w:pPr>
    </w:p>
    <w:p w:rsidR="000D15A7" w:rsidRDefault="000D15A7" w:rsidP="007C2F91">
      <w:pPr>
        <w:ind w:left="993" w:hanging="993"/>
        <w:jc w:val="both"/>
        <w:rPr>
          <w:rFonts w:ascii="Book Antiqua" w:hAnsi="Book Antiqua" w:hint="cs"/>
          <w:b/>
          <w:bCs/>
          <w:sz w:val="26"/>
          <w:szCs w:val="26"/>
          <w:rtl/>
        </w:rPr>
      </w:pPr>
    </w:p>
    <w:p w:rsidR="000D15A7" w:rsidRDefault="000D15A7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</w:rPr>
      </w:pPr>
    </w:p>
    <w:p w:rsidR="00C46A4C" w:rsidRDefault="00C46A4C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0D15A7" w:rsidRDefault="000D15A7" w:rsidP="000D15A7">
      <w:pPr>
        <w:bidi/>
        <w:jc w:val="center"/>
        <w:rPr>
          <w:rFonts w:ascii="Palatino" w:hAnsi="Palatino" w:hint="cs"/>
          <w:b/>
          <w:bCs/>
          <w:shadow/>
          <w:color w:val="FF9900"/>
          <w:sz w:val="36"/>
          <w:szCs w:val="36"/>
          <w:rtl/>
        </w:rPr>
      </w:pPr>
      <w:r w:rsidRPr="000D15A7">
        <w:rPr>
          <w:rFonts w:ascii="Palatino" w:hAnsi="Palatino"/>
          <w:b/>
          <w:bCs/>
          <w:shadow/>
          <w:color w:val="FF9900"/>
          <w:sz w:val="36"/>
          <w:szCs w:val="36"/>
          <w:rtl/>
        </w:rPr>
        <w:t>ب</w:t>
      </w:r>
      <w:r w:rsidRPr="000D15A7">
        <w:rPr>
          <w:rFonts w:ascii="Palatino" w:hAnsi="Palatino" w:hint="cs"/>
          <w:b/>
          <w:bCs/>
          <w:shadow/>
          <w:color w:val="FF9900"/>
          <w:sz w:val="36"/>
          <w:szCs w:val="36"/>
          <w:rtl/>
        </w:rPr>
        <w:t>ـــــ</w:t>
      </w:r>
      <w:r w:rsidRPr="000D15A7">
        <w:rPr>
          <w:rFonts w:ascii="Palatino" w:hAnsi="Palatino"/>
          <w:b/>
          <w:bCs/>
          <w:shadow/>
          <w:color w:val="FF9900"/>
          <w:sz w:val="36"/>
          <w:szCs w:val="36"/>
          <w:rtl/>
        </w:rPr>
        <w:t>لاغ صح</w:t>
      </w:r>
      <w:r w:rsidRPr="000D15A7">
        <w:rPr>
          <w:rFonts w:ascii="Palatino" w:hAnsi="Palatino" w:hint="cs"/>
          <w:b/>
          <w:bCs/>
          <w:shadow/>
          <w:color w:val="FF9900"/>
          <w:sz w:val="36"/>
          <w:szCs w:val="36"/>
          <w:rtl/>
        </w:rPr>
        <w:t>ـــــ</w:t>
      </w:r>
      <w:r w:rsidRPr="000D15A7">
        <w:rPr>
          <w:rFonts w:ascii="Palatino" w:hAnsi="Palatino"/>
          <w:b/>
          <w:bCs/>
          <w:shadow/>
          <w:color w:val="FF9900"/>
          <w:sz w:val="36"/>
          <w:szCs w:val="36"/>
          <w:rtl/>
        </w:rPr>
        <w:t>في</w:t>
      </w:r>
      <w:r w:rsidRPr="000D15A7">
        <w:rPr>
          <w:rFonts w:ascii="Palatino" w:hAnsi="Palatino" w:hint="cs"/>
          <w:b/>
          <w:bCs/>
          <w:shadow/>
          <w:color w:val="FF9900"/>
          <w:sz w:val="36"/>
          <w:szCs w:val="36"/>
          <w:rtl/>
        </w:rPr>
        <w:t xml:space="preserve"> </w:t>
      </w:r>
    </w:p>
    <w:p w:rsidR="000D15A7" w:rsidRPr="000D15A7" w:rsidRDefault="000D15A7" w:rsidP="000D15A7">
      <w:pPr>
        <w:bidi/>
        <w:jc w:val="center"/>
        <w:rPr>
          <w:rFonts w:ascii="Palatino" w:hAnsi="Palatino"/>
          <w:shadow/>
          <w:color w:val="FF9900"/>
          <w:sz w:val="16"/>
          <w:szCs w:val="16"/>
          <w:rtl/>
        </w:rPr>
      </w:pPr>
    </w:p>
    <w:p w:rsidR="000D15A7" w:rsidRPr="000D15A7" w:rsidRDefault="000D15A7" w:rsidP="000D15A7">
      <w:pPr>
        <w:bidi/>
        <w:jc w:val="center"/>
        <w:rPr>
          <w:rFonts w:ascii="Palatino" w:hAnsi="Palatino"/>
          <w:b/>
          <w:bCs/>
          <w:shadow/>
          <w:color w:val="FF9900"/>
          <w:sz w:val="36"/>
          <w:szCs w:val="36"/>
          <w:rtl/>
        </w:rPr>
      </w:pPr>
      <w:r w:rsidRPr="000D15A7">
        <w:rPr>
          <w:rFonts w:ascii="Palatino" w:hAnsi="Palatino" w:hint="cs"/>
          <w:b/>
          <w:bCs/>
          <w:shadow/>
          <w:color w:val="FF9900"/>
          <w:sz w:val="36"/>
          <w:szCs w:val="36"/>
          <w:rtl/>
        </w:rPr>
        <w:t xml:space="preserve">التحضير للمؤتمر الواحد </w:t>
      </w:r>
      <w:proofErr w:type="gramStart"/>
      <w:r w:rsidRPr="000D15A7">
        <w:rPr>
          <w:rFonts w:ascii="Palatino" w:hAnsi="Palatino" w:hint="cs"/>
          <w:b/>
          <w:bCs/>
          <w:shadow/>
          <w:color w:val="FF9900"/>
          <w:sz w:val="36"/>
          <w:szCs w:val="36"/>
          <w:rtl/>
        </w:rPr>
        <w:t>والستين</w:t>
      </w:r>
      <w:proofErr w:type="gramEnd"/>
      <w:r w:rsidRPr="000D15A7">
        <w:rPr>
          <w:rFonts w:ascii="Palatino" w:hAnsi="Palatino" w:hint="cs"/>
          <w:b/>
          <w:bCs/>
          <w:shadow/>
          <w:color w:val="FF9900"/>
          <w:sz w:val="36"/>
          <w:szCs w:val="36"/>
          <w:rtl/>
        </w:rPr>
        <w:t xml:space="preserve"> الدولي للإحصاء</w:t>
      </w:r>
      <w:proofErr w:type="spellStart"/>
      <w:r w:rsidRPr="000D15A7">
        <w:rPr>
          <w:rFonts w:ascii="Palatino" w:hAnsi="Palatino" w:hint="cs"/>
          <w:b/>
          <w:bCs/>
          <w:shadow/>
          <w:color w:val="FF9900"/>
          <w:sz w:val="36"/>
          <w:szCs w:val="36"/>
          <w:rtl/>
        </w:rPr>
        <w:t>،</w:t>
      </w:r>
      <w:proofErr w:type="spellEnd"/>
    </w:p>
    <w:p w:rsidR="000D15A7" w:rsidRPr="002108F6" w:rsidRDefault="000D15A7" w:rsidP="000D15A7">
      <w:pPr>
        <w:bidi/>
        <w:jc w:val="center"/>
        <w:rPr>
          <w:rFonts w:ascii="Simplified Arabic" w:hAnsi="Simplified Arabic" w:cs="Arabic Transparent"/>
          <w:b/>
          <w:bCs/>
          <w:sz w:val="34"/>
          <w:szCs w:val="34"/>
          <w:rtl/>
          <w:lang w:bidi="ar-MA"/>
        </w:rPr>
      </w:pPr>
      <w:r w:rsidRPr="000D15A7">
        <w:rPr>
          <w:rFonts w:ascii="Palatino" w:hAnsi="Palatino" w:hint="cs"/>
          <w:b/>
          <w:bCs/>
          <w:shadow/>
          <w:color w:val="FF9900"/>
          <w:sz w:val="36"/>
          <w:szCs w:val="36"/>
          <w:rtl/>
        </w:rPr>
        <w:t>مراكش 2017</w:t>
      </w:r>
    </w:p>
    <w:p w:rsidR="000D15A7" w:rsidRPr="003F4A61" w:rsidRDefault="000D15A7" w:rsidP="000D15A7">
      <w:pPr>
        <w:bidi/>
        <w:jc w:val="both"/>
        <w:rPr>
          <w:rFonts w:ascii="Simplified Arabic" w:hAnsi="Simplified Arabic" w:cs="Arabic Transparent"/>
          <w:sz w:val="32"/>
          <w:szCs w:val="32"/>
          <w:rtl/>
        </w:rPr>
      </w:pPr>
    </w:p>
    <w:p w:rsidR="000D15A7" w:rsidRPr="000D15A7" w:rsidRDefault="000D15A7" w:rsidP="000D15A7">
      <w:pPr>
        <w:bidi/>
        <w:spacing w:before="240" w:line="288" w:lineRule="auto"/>
        <w:ind w:firstLine="709"/>
        <w:jc w:val="both"/>
        <w:rPr>
          <w:rFonts w:cs="Arabic Transparent"/>
          <w:color w:val="7F7F7F" w:themeColor="text1" w:themeTint="80"/>
          <w:sz w:val="30"/>
          <w:szCs w:val="30"/>
          <w:rtl/>
          <w:lang w:bidi="ar-MA"/>
        </w:rPr>
      </w:pPr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في إطار التحضيرات لل</w:t>
      </w:r>
      <w:r w:rsidRPr="000D15A7">
        <w:rPr>
          <w:rFonts w:cs="Arabic Transparent"/>
          <w:color w:val="7F7F7F" w:themeColor="text1" w:themeTint="80"/>
          <w:sz w:val="30"/>
          <w:szCs w:val="30"/>
          <w:rtl/>
          <w:lang w:bidi="ar-MA"/>
        </w:rPr>
        <w:t>دورة الواحد</w:t>
      </w:r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ة</w:t>
      </w:r>
      <w:r w:rsidRPr="000D15A7">
        <w:rPr>
          <w:rFonts w:cs="Arabic Transparent"/>
          <w:color w:val="7F7F7F" w:themeColor="text1" w:themeTint="80"/>
          <w:sz w:val="30"/>
          <w:szCs w:val="30"/>
          <w:rtl/>
          <w:lang w:bidi="ar-MA"/>
        </w:rPr>
        <w:t xml:space="preserve"> والستين للمؤتمر الدولي </w:t>
      </w:r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للإحصاء</w:t>
      </w:r>
      <w:proofErr w:type="spellStart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،</w:t>
      </w:r>
      <w:proofErr w:type="spellEnd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 xml:space="preserve"> الذي ستنظمه المندوبية السامية للتخطيط بشراكة مع المعهد الدولي للإحصاء بمراكش سنة </w:t>
      </w:r>
      <w:proofErr w:type="spellStart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2017،</w:t>
      </w:r>
      <w:proofErr w:type="spellEnd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 xml:space="preserve"> ستحل بالرباط يومي 5 </w:t>
      </w:r>
      <w:proofErr w:type="spellStart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و6</w:t>
      </w:r>
      <w:proofErr w:type="spellEnd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 xml:space="preserve"> </w:t>
      </w:r>
      <w:proofErr w:type="spellStart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ماي</w:t>
      </w:r>
      <w:proofErr w:type="spellEnd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 xml:space="preserve"> 2014 بعثة رفيعة المستوى مكونة من الرئيس المنتخب ومديرة المعهد</w:t>
      </w:r>
      <w:r w:rsidRPr="000D15A7">
        <w:rPr>
          <w:rFonts w:cs="Arabic Transparent"/>
          <w:color w:val="7F7F7F" w:themeColor="text1" w:themeTint="80"/>
          <w:sz w:val="30"/>
          <w:szCs w:val="30"/>
          <w:lang w:bidi="ar-MA"/>
        </w:rPr>
        <w:t xml:space="preserve"> </w:t>
      </w:r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الدولى للإحصاء</w:t>
      </w:r>
      <w:proofErr w:type="spellStart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.</w:t>
      </w:r>
      <w:proofErr w:type="spellEnd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 xml:space="preserve"> و تهدف هذه الزيارة إلى مناقشة الجوانب التنظيمية لهذا المؤتمر الذي سيشارك فيه </w:t>
      </w:r>
      <w:proofErr w:type="gramStart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حوالي</w:t>
      </w:r>
      <w:proofErr w:type="gramEnd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 xml:space="preserve"> 2500 إحصائي من مختلف القارات.</w:t>
      </w:r>
    </w:p>
    <w:p w:rsidR="000D15A7" w:rsidRPr="000D15A7" w:rsidRDefault="000D15A7" w:rsidP="000D15A7">
      <w:pPr>
        <w:bidi/>
        <w:spacing w:before="240" w:line="288" w:lineRule="auto"/>
        <w:jc w:val="both"/>
        <w:rPr>
          <w:rFonts w:cs="Arabic Transparent"/>
          <w:color w:val="7F7F7F" w:themeColor="text1" w:themeTint="80"/>
          <w:sz w:val="30"/>
          <w:szCs w:val="30"/>
          <w:rtl/>
          <w:lang w:bidi="ar-MA"/>
        </w:rPr>
      </w:pPr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 xml:space="preserve"> </w:t>
      </w:r>
      <w:r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ab/>
      </w:r>
      <w:proofErr w:type="spellStart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وللتذكير،</w:t>
      </w:r>
      <w:proofErr w:type="spellEnd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 xml:space="preserve"> فإن هذا المؤتمر الذي انعقدت دورته التاسعة والخمسون </w:t>
      </w:r>
      <w:r w:rsidRPr="000D15A7">
        <w:rPr>
          <w:rFonts w:cs="Arabic Transparent"/>
          <w:color w:val="7F7F7F" w:themeColor="text1" w:themeTint="80"/>
          <w:sz w:val="30"/>
          <w:szCs w:val="30"/>
          <w:rtl/>
          <w:lang w:bidi="ar-MA"/>
        </w:rPr>
        <w:t xml:space="preserve">في هونغ </w:t>
      </w:r>
      <w:proofErr w:type="spellStart"/>
      <w:r w:rsidRPr="000D15A7">
        <w:rPr>
          <w:rFonts w:cs="Arabic Transparent"/>
          <w:color w:val="7F7F7F" w:themeColor="text1" w:themeTint="80"/>
          <w:sz w:val="30"/>
          <w:szCs w:val="30"/>
          <w:rtl/>
          <w:lang w:bidi="ar-MA"/>
        </w:rPr>
        <w:t>كونغ</w:t>
      </w:r>
      <w:proofErr w:type="spellEnd"/>
      <w:r w:rsidRPr="000D15A7">
        <w:rPr>
          <w:rFonts w:cs="Arabic Transparent"/>
          <w:color w:val="7F7F7F" w:themeColor="text1" w:themeTint="80"/>
          <w:sz w:val="30"/>
          <w:szCs w:val="30"/>
          <w:rtl/>
          <w:lang w:bidi="ar-MA"/>
        </w:rPr>
        <w:t xml:space="preserve"> سنة </w:t>
      </w:r>
      <w:proofErr w:type="spellStart"/>
      <w:r w:rsidRPr="000D15A7">
        <w:rPr>
          <w:rFonts w:cs="Arabic Transparent"/>
          <w:color w:val="7F7F7F" w:themeColor="text1" w:themeTint="80"/>
          <w:sz w:val="30"/>
          <w:szCs w:val="30"/>
          <w:rtl/>
          <w:lang w:bidi="ar-MA"/>
        </w:rPr>
        <w:t>2013</w:t>
      </w:r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،</w:t>
      </w:r>
      <w:proofErr w:type="spellEnd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 xml:space="preserve"> يشكل فرصة يلتقي فيها لمدة أسبوع ممثلون عن الأنظمة الإحصائية الوطنية والجامعات ومراكز البحث المتخصصة وكذا المنظمات الدولية للنقاش لتدارس أحدث التطورات التي يعرفها مجال الإحصاء. </w:t>
      </w:r>
      <w:proofErr w:type="spellStart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هذا،</w:t>
      </w:r>
      <w:proofErr w:type="spellEnd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 xml:space="preserve"> وسيعقد المؤتمر القادم </w:t>
      </w:r>
      <w:r w:rsidRPr="000D15A7">
        <w:rPr>
          <w:rFonts w:cs="Arabic Transparent"/>
          <w:color w:val="7F7F7F" w:themeColor="text1" w:themeTint="80"/>
          <w:sz w:val="30"/>
          <w:szCs w:val="30"/>
          <w:rtl/>
          <w:lang w:bidi="ar-MA"/>
        </w:rPr>
        <w:t xml:space="preserve">في </w:t>
      </w:r>
      <w:proofErr w:type="spellStart"/>
      <w:r w:rsidRPr="000D15A7">
        <w:rPr>
          <w:rFonts w:cs="Arabic Transparent"/>
          <w:color w:val="7F7F7F" w:themeColor="text1" w:themeTint="80"/>
          <w:sz w:val="30"/>
          <w:szCs w:val="30"/>
          <w:rtl/>
          <w:lang w:bidi="ar-MA"/>
        </w:rPr>
        <w:t>ريودي</w:t>
      </w:r>
      <w:proofErr w:type="spellEnd"/>
      <w:r w:rsidRPr="000D15A7">
        <w:rPr>
          <w:rFonts w:cs="Arabic Transparent"/>
          <w:color w:val="7F7F7F" w:themeColor="text1" w:themeTint="80"/>
          <w:sz w:val="30"/>
          <w:szCs w:val="30"/>
          <w:rtl/>
          <w:lang w:bidi="ar-MA"/>
        </w:rPr>
        <w:t xml:space="preserve"> </w:t>
      </w:r>
      <w:proofErr w:type="spellStart"/>
      <w:r w:rsidRPr="000D15A7">
        <w:rPr>
          <w:rFonts w:cs="Arabic Transparent"/>
          <w:color w:val="7F7F7F" w:themeColor="text1" w:themeTint="80"/>
          <w:sz w:val="30"/>
          <w:szCs w:val="30"/>
          <w:rtl/>
          <w:lang w:bidi="ar-MA"/>
        </w:rPr>
        <w:t>جانيرو</w:t>
      </w:r>
      <w:proofErr w:type="spellEnd"/>
      <w:r w:rsidRPr="000D15A7">
        <w:rPr>
          <w:rFonts w:cs="Arabic Transparent"/>
          <w:color w:val="7F7F7F" w:themeColor="text1" w:themeTint="80"/>
          <w:sz w:val="30"/>
          <w:szCs w:val="30"/>
          <w:rtl/>
          <w:lang w:bidi="ar-MA"/>
        </w:rPr>
        <w:t xml:space="preserve"> سنة 2015. </w:t>
      </w:r>
    </w:p>
    <w:p w:rsidR="000D15A7" w:rsidRPr="000D15A7" w:rsidRDefault="000D15A7" w:rsidP="000D15A7">
      <w:pPr>
        <w:bidi/>
        <w:spacing w:before="240" w:line="288" w:lineRule="auto"/>
        <w:ind w:firstLine="709"/>
        <w:jc w:val="both"/>
        <w:rPr>
          <w:rFonts w:cs="Arabic Transparent"/>
          <w:color w:val="7F7F7F" w:themeColor="text1" w:themeTint="80"/>
          <w:sz w:val="30"/>
          <w:szCs w:val="30"/>
          <w:lang w:bidi="ar-MA"/>
        </w:rPr>
      </w:pPr>
      <w:proofErr w:type="gramStart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ويعتبر</w:t>
      </w:r>
      <w:proofErr w:type="gramEnd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 xml:space="preserve"> المعهد الدولي للإحصاء شبكة عالمية تضم من بين أعضائها أبرز الإحصائيين في العالم والعديد من المؤسسات الإحصائية الوطنية والدولية. </w:t>
      </w:r>
      <w:proofErr w:type="gramStart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>ومن</w:t>
      </w:r>
      <w:proofErr w:type="gramEnd"/>
      <w:r w:rsidRPr="000D15A7">
        <w:rPr>
          <w:rFonts w:cs="Arabic Transparent" w:hint="cs"/>
          <w:color w:val="7F7F7F" w:themeColor="text1" w:themeTint="80"/>
          <w:sz w:val="30"/>
          <w:szCs w:val="30"/>
          <w:rtl/>
          <w:lang w:bidi="ar-MA"/>
        </w:rPr>
        <w:t xml:space="preserve"> بين مهامه تشجيع التميز في مجال التدريب و البحث والممارسة الإحصائية وكذا دعم المبادرات الجديدة التي من شأنها تعزيز الدور الهام للإحصاء لمواكبة التحولات الاقتصادية والاجتماعية التي يعرفها العالم.</w:t>
      </w:r>
    </w:p>
    <w:p w:rsidR="000D15A7" w:rsidRDefault="000D15A7" w:rsidP="000D15A7">
      <w:pPr>
        <w:bidi/>
        <w:jc w:val="both"/>
        <w:rPr>
          <w:rFonts w:cs="Arabic Transparent" w:hint="cs"/>
          <w:color w:val="7F7F7F" w:themeColor="text1" w:themeTint="80"/>
          <w:sz w:val="36"/>
          <w:szCs w:val="36"/>
          <w:rtl/>
          <w:lang w:bidi="ar-MA"/>
        </w:rPr>
      </w:pPr>
    </w:p>
    <w:p w:rsidR="00867FAB" w:rsidRPr="004134CF" w:rsidRDefault="004134CF" w:rsidP="000D15A7">
      <w:pPr>
        <w:bidi/>
        <w:spacing w:before="120" w:after="120"/>
        <w:jc w:val="both"/>
        <w:rPr>
          <w:rFonts w:cs="Arabic Transparent"/>
          <w:b/>
          <w:bCs/>
          <w:color w:val="7F7F7F" w:themeColor="text1" w:themeTint="80"/>
          <w:sz w:val="32"/>
          <w:szCs w:val="32"/>
          <w:lang w:bidi="ar-MA"/>
        </w:rPr>
      </w:pPr>
      <w:r w:rsidRPr="000D15A7">
        <w:rPr>
          <w:rFonts w:cs="Arabic Transparent" w:hint="cs"/>
          <w:color w:val="7F7F7F" w:themeColor="text1" w:themeTint="80"/>
          <w:sz w:val="16"/>
          <w:szCs w:val="16"/>
          <w:rtl/>
          <w:lang w:bidi="ar-MA"/>
        </w:rPr>
        <w:tab/>
      </w:r>
      <w:r w:rsidRPr="004134CF">
        <w:rPr>
          <w:rFonts w:cs="Arabic Transparent" w:hint="cs"/>
          <w:color w:val="7F7F7F" w:themeColor="text1" w:themeTint="80"/>
          <w:sz w:val="36"/>
          <w:szCs w:val="36"/>
          <w:rtl/>
          <w:lang w:bidi="ar-MA"/>
        </w:rPr>
        <w:tab/>
      </w:r>
      <w:r w:rsidRPr="004134CF">
        <w:rPr>
          <w:rFonts w:cs="Arabic Transparent" w:hint="cs"/>
          <w:color w:val="7F7F7F" w:themeColor="text1" w:themeTint="80"/>
          <w:sz w:val="36"/>
          <w:szCs w:val="36"/>
          <w:rtl/>
          <w:lang w:bidi="ar-MA"/>
        </w:rPr>
        <w:tab/>
      </w:r>
      <w:r w:rsidR="000D15A7">
        <w:rPr>
          <w:rFonts w:cs="Arabic Transparent" w:hint="cs"/>
          <w:color w:val="7F7F7F" w:themeColor="text1" w:themeTint="80"/>
          <w:sz w:val="36"/>
          <w:szCs w:val="36"/>
          <w:rtl/>
          <w:lang w:bidi="ar-MA"/>
        </w:rPr>
        <w:t xml:space="preserve"> </w:t>
      </w:r>
      <w:r w:rsidRPr="004134CF">
        <w:rPr>
          <w:rFonts w:cs="Arabic Transparent" w:hint="cs"/>
          <w:color w:val="7F7F7F" w:themeColor="text1" w:themeTint="80"/>
          <w:sz w:val="36"/>
          <w:szCs w:val="36"/>
          <w:rtl/>
          <w:lang w:bidi="ar-MA"/>
        </w:rPr>
        <w:tab/>
      </w:r>
      <w:r w:rsidRPr="004134CF">
        <w:rPr>
          <w:rFonts w:cs="Arabic Transparent" w:hint="cs"/>
          <w:color w:val="7F7F7F" w:themeColor="text1" w:themeTint="80"/>
          <w:sz w:val="36"/>
          <w:szCs w:val="36"/>
          <w:rtl/>
          <w:lang w:bidi="ar-MA"/>
        </w:rPr>
        <w:tab/>
      </w:r>
      <w:r w:rsidRPr="004134CF">
        <w:rPr>
          <w:rFonts w:cs="Arabic Transparent" w:hint="cs"/>
          <w:color w:val="7F7F7F" w:themeColor="text1" w:themeTint="80"/>
          <w:sz w:val="36"/>
          <w:szCs w:val="36"/>
          <w:rtl/>
          <w:lang w:bidi="ar-MA"/>
        </w:rPr>
        <w:tab/>
      </w:r>
      <w:r w:rsidRPr="004134CF">
        <w:rPr>
          <w:rFonts w:cs="Arabic Transparent" w:hint="cs"/>
          <w:color w:val="7F7F7F" w:themeColor="text1" w:themeTint="80"/>
          <w:sz w:val="36"/>
          <w:szCs w:val="36"/>
          <w:rtl/>
          <w:lang w:bidi="ar-MA"/>
        </w:rPr>
        <w:tab/>
      </w:r>
      <w:r w:rsidRPr="004134CF">
        <w:rPr>
          <w:rFonts w:cs="Arabic Transparent" w:hint="cs"/>
          <w:color w:val="7F7F7F" w:themeColor="text1" w:themeTint="80"/>
          <w:sz w:val="36"/>
          <w:szCs w:val="36"/>
          <w:rtl/>
          <w:lang w:bidi="ar-MA"/>
        </w:rPr>
        <w:tab/>
      </w:r>
      <w:r w:rsidRPr="004134CF">
        <w:rPr>
          <w:rFonts w:cs="Arabic Transparent" w:hint="cs"/>
          <w:color w:val="7F7F7F" w:themeColor="text1" w:themeTint="80"/>
          <w:sz w:val="32"/>
          <w:szCs w:val="32"/>
          <w:rtl/>
          <w:lang w:bidi="ar-MA"/>
        </w:rPr>
        <w:t xml:space="preserve">     </w:t>
      </w:r>
      <w:r w:rsidR="00DF5196">
        <w:rPr>
          <w:rFonts w:cs="Arabic Transparent"/>
          <w:color w:val="7F7F7F" w:themeColor="text1" w:themeTint="80"/>
          <w:sz w:val="32"/>
          <w:szCs w:val="32"/>
          <w:lang w:bidi="ar-MA"/>
        </w:rPr>
        <w:t xml:space="preserve">  </w:t>
      </w:r>
      <w:r>
        <w:rPr>
          <w:rFonts w:cs="Arabic Transparent" w:hint="cs"/>
          <w:color w:val="7F7F7F" w:themeColor="text1" w:themeTint="80"/>
          <w:sz w:val="32"/>
          <w:szCs w:val="32"/>
          <w:rtl/>
          <w:lang w:bidi="ar-MA"/>
        </w:rPr>
        <w:t xml:space="preserve">   </w:t>
      </w:r>
      <w:r w:rsidRPr="004134CF">
        <w:rPr>
          <w:rFonts w:cs="Arabic Transparent" w:hint="cs"/>
          <w:color w:val="7F7F7F" w:themeColor="text1" w:themeTint="80"/>
          <w:sz w:val="32"/>
          <w:szCs w:val="32"/>
          <w:rtl/>
          <w:lang w:bidi="ar-MA"/>
        </w:rPr>
        <w:t xml:space="preserve">  </w:t>
      </w:r>
      <w:r w:rsidRPr="004134CF">
        <w:rPr>
          <w:rFonts w:cs="Arabic Transparent" w:hint="cs"/>
          <w:b/>
          <w:bCs/>
          <w:color w:val="7F7F7F" w:themeColor="text1" w:themeTint="80"/>
          <w:sz w:val="32"/>
          <w:szCs w:val="32"/>
          <w:rtl/>
          <w:lang w:bidi="ar-MA"/>
        </w:rPr>
        <w:t xml:space="preserve">أحمد </w:t>
      </w:r>
      <w:proofErr w:type="gramStart"/>
      <w:r w:rsidRPr="004134CF">
        <w:rPr>
          <w:rFonts w:cs="Arabic Transparent" w:hint="cs"/>
          <w:b/>
          <w:bCs/>
          <w:color w:val="7F7F7F" w:themeColor="text1" w:themeTint="80"/>
          <w:sz w:val="32"/>
          <w:szCs w:val="32"/>
          <w:rtl/>
          <w:lang w:bidi="ar-MA"/>
        </w:rPr>
        <w:t>الحليمي</w:t>
      </w:r>
      <w:proofErr w:type="gramEnd"/>
      <w:r w:rsidRPr="004134CF">
        <w:rPr>
          <w:rFonts w:cs="Arabic Transparent" w:hint="cs"/>
          <w:b/>
          <w:bCs/>
          <w:color w:val="7F7F7F" w:themeColor="text1" w:themeTint="80"/>
          <w:sz w:val="32"/>
          <w:szCs w:val="32"/>
          <w:rtl/>
          <w:lang w:bidi="ar-MA"/>
        </w:rPr>
        <w:t xml:space="preserve"> علمي</w:t>
      </w:r>
      <w:r w:rsidRPr="004134CF">
        <w:rPr>
          <w:rFonts w:cs="Arabic Transparent" w:hint="cs"/>
          <w:b/>
          <w:bCs/>
          <w:color w:val="7F7F7F" w:themeColor="text1" w:themeTint="80"/>
          <w:sz w:val="32"/>
          <w:szCs w:val="32"/>
          <w:rtl/>
          <w:lang w:bidi="ar-MA"/>
        </w:rPr>
        <w:tab/>
      </w:r>
      <w:r w:rsidRPr="004134CF">
        <w:rPr>
          <w:rFonts w:cs="Arabic Transparent" w:hint="cs"/>
          <w:b/>
          <w:bCs/>
          <w:color w:val="7F7F7F" w:themeColor="text1" w:themeTint="80"/>
          <w:sz w:val="32"/>
          <w:szCs w:val="32"/>
          <w:rtl/>
          <w:lang w:bidi="ar-MA"/>
        </w:rPr>
        <w:tab/>
        <w:t xml:space="preserve">                                    </w:t>
      </w:r>
      <w:r>
        <w:rPr>
          <w:rFonts w:cs="Arabic Transparent" w:hint="cs"/>
          <w:b/>
          <w:bCs/>
          <w:color w:val="7F7F7F" w:themeColor="text1" w:themeTint="80"/>
          <w:sz w:val="32"/>
          <w:szCs w:val="32"/>
          <w:rtl/>
          <w:lang w:bidi="ar-MA"/>
        </w:rPr>
        <w:t xml:space="preserve">               </w:t>
      </w:r>
      <w:r w:rsidRPr="004134CF">
        <w:rPr>
          <w:rFonts w:cs="Arabic Transparent" w:hint="cs"/>
          <w:b/>
          <w:bCs/>
          <w:color w:val="7F7F7F" w:themeColor="text1" w:themeTint="80"/>
          <w:sz w:val="32"/>
          <w:szCs w:val="32"/>
          <w:rtl/>
          <w:lang w:bidi="ar-MA"/>
        </w:rPr>
        <w:t xml:space="preserve">   </w:t>
      </w:r>
      <w:r w:rsidR="00DF5196">
        <w:rPr>
          <w:rFonts w:cs="Arabic Transparent"/>
          <w:b/>
          <w:bCs/>
          <w:color w:val="7F7F7F" w:themeColor="text1" w:themeTint="80"/>
          <w:sz w:val="32"/>
          <w:szCs w:val="32"/>
          <w:lang w:bidi="ar-MA"/>
        </w:rPr>
        <w:t xml:space="preserve">          </w:t>
      </w:r>
      <w:r w:rsidRPr="004134CF">
        <w:rPr>
          <w:rFonts w:cs="Arabic Transparent" w:hint="cs"/>
          <w:b/>
          <w:bCs/>
          <w:color w:val="7F7F7F" w:themeColor="text1" w:themeTint="80"/>
          <w:sz w:val="32"/>
          <w:szCs w:val="32"/>
          <w:rtl/>
          <w:lang w:bidi="ar-MA"/>
        </w:rPr>
        <w:t xml:space="preserve">    المندوب السامي للتخطيط     </w:t>
      </w:r>
    </w:p>
    <w:sectPr w:rsidR="00867FAB" w:rsidRPr="004134CF" w:rsidSect="00BC6F8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72" w:rsidRDefault="00775272">
      <w:r>
        <w:separator/>
      </w:r>
    </w:p>
  </w:endnote>
  <w:endnote w:type="continuationSeparator" w:id="0">
    <w:p w:rsidR="00775272" w:rsidRDefault="00775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4C354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4C354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0D15A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0D15A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4C354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72" w:rsidRDefault="00775272">
      <w:r>
        <w:separator/>
      </w:r>
    </w:p>
  </w:footnote>
  <w:footnote w:type="continuationSeparator" w:id="0">
    <w:p w:rsidR="00775272" w:rsidRDefault="00775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593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23"/>
    <w:rsid w:val="0001390E"/>
    <w:rsid w:val="00013A7F"/>
    <w:rsid w:val="00013C22"/>
    <w:rsid w:val="000152BC"/>
    <w:rsid w:val="000205FA"/>
    <w:rsid w:val="00024095"/>
    <w:rsid w:val="00027850"/>
    <w:rsid w:val="00042C40"/>
    <w:rsid w:val="00050A6E"/>
    <w:rsid w:val="000523D0"/>
    <w:rsid w:val="000554EE"/>
    <w:rsid w:val="00060321"/>
    <w:rsid w:val="00064386"/>
    <w:rsid w:val="0006553F"/>
    <w:rsid w:val="00070037"/>
    <w:rsid w:val="000767E7"/>
    <w:rsid w:val="00081BE5"/>
    <w:rsid w:val="00085E86"/>
    <w:rsid w:val="000A3BE9"/>
    <w:rsid w:val="000A4F68"/>
    <w:rsid w:val="000B2A3E"/>
    <w:rsid w:val="000B6EA6"/>
    <w:rsid w:val="000C123E"/>
    <w:rsid w:val="000C5E54"/>
    <w:rsid w:val="000C7682"/>
    <w:rsid w:val="000D15A7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56A"/>
    <w:rsid w:val="002316A6"/>
    <w:rsid w:val="00242C76"/>
    <w:rsid w:val="00242CBE"/>
    <w:rsid w:val="002443AA"/>
    <w:rsid w:val="0024586A"/>
    <w:rsid w:val="00254B4D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C02CC"/>
    <w:rsid w:val="002C09B2"/>
    <w:rsid w:val="002C6433"/>
    <w:rsid w:val="002C6E45"/>
    <w:rsid w:val="002D022C"/>
    <w:rsid w:val="002D3BD2"/>
    <w:rsid w:val="002D4302"/>
    <w:rsid w:val="002D49EF"/>
    <w:rsid w:val="002E61D6"/>
    <w:rsid w:val="002E67EA"/>
    <w:rsid w:val="002F237C"/>
    <w:rsid w:val="002F3B72"/>
    <w:rsid w:val="00301FE4"/>
    <w:rsid w:val="0030560D"/>
    <w:rsid w:val="0030605C"/>
    <w:rsid w:val="003121A0"/>
    <w:rsid w:val="00314191"/>
    <w:rsid w:val="003151E9"/>
    <w:rsid w:val="00316A57"/>
    <w:rsid w:val="0031735D"/>
    <w:rsid w:val="00317FC8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357A"/>
    <w:rsid w:val="003E5DDB"/>
    <w:rsid w:val="003F28EA"/>
    <w:rsid w:val="003F445E"/>
    <w:rsid w:val="00401D3E"/>
    <w:rsid w:val="00403A20"/>
    <w:rsid w:val="004134CF"/>
    <w:rsid w:val="0041796D"/>
    <w:rsid w:val="004202F2"/>
    <w:rsid w:val="004275D6"/>
    <w:rsid w:val="004332FE"/>
    <w:rsid w:val="00446DB7"/>
    <w:rsid w:val="00447FBC"/>
    <w:rsid w:val="00455540"/>
    <w:rsid w:val="004744FF"/>
    <w:rsid w:val="00481E24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354F"/>
    <w:rsid w:val="004C43FD"/>
    <w:rsid w:val="004E3420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814DE"/>
    <w:rsid w:val="00582403"/>
    <w:rsid w:val="00590E1B"/>
    <w:rsid w:val="005938FB"/>
    <w:rsid w:val="00594250"/>
    <w:rsid w:val="00594D60"/>
    <w:rsid w:val="00595235"/>
    <w:rsid w:val="005A1E0F"/>
    <w:rsid w:val="005A2748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700E75"/>
    <w:rsid w:val="007206D4"/>
    <w:rsid w:val="0072353D"/>
    <w:rsid w:val="007273F0"/>
    <w:rsid w:val="00730CFE"/>
    <w:rsid w:val="007320F2"/>
    <w:rsid w:val="00737D26"/>
    <w:rsid w:val="00737E9A"/>
    <w:rsid w:val="007418E0"/>
    <w:rsid w:val="00762728"/>
    <w:rsid w:val="00763262"/>
    <w:rsid w:val="0076370A"/>
    <w:rsid w:val="00765F4E"/>
    <w:rsid w:val="00772673"/>
    <w:rsid w:val="00773F09"/>
    <w:rsid w:val="00774608"/>
    <w:rsid w:val="00775272"/>
    <w:rsid w:val="0077593D"/>
    <w:rsid w:val="007760AE"/>
    <w:rsid w:val="00776F26"/>
    <w:rsid w:val="00782073"/>
    <w:rsid w:val="00785179"/>
    <w:rsid w:val="007902F2"/>
    <w:rsid w:val="00790B01"/>
    <w:rsid w:val="00791486"/>
    <w:rsid w:val="007917AA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C7776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1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2803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A2CAA"/>
    <w:rsid w:val="008A4C2D"/>
    <w:rsid w:val="008A4CF7"/>
    <w:rsid w:val="008A6A9C"/>
    <w:rsid w:val="008B32BE"/>
    <w:rsid w:val="008B5FF2"/>
    <w:rsid w:val="008C2C3C"/>
    <w:rsid w:val="008C79BB"/>
    <w:rsid w:val="008D1587"/>
    <w:rsid w:val="008D38D9"/>
    <w:rsid w:val="008D6C86"/>
    <w:rsid w:val="008D767F"/>
    <w:rsid w:val="008E0E0D"/>
    <w:rsid w:val="008E57C2"/>
    <w:rsid w:val="008E7574"/>
    <w:rsid w:val="008F3AB6"/>
    <w:rsid w:val="008F416D"/>
    <w:rsid w:val="008F6D54"/>
    <w:rsid w:val="008F72F2"/>
    <w:rsid w:val="008F7B26"/>
    <w:rsid w:val="008F7F80"/>
    <w:rsid w:val="00900744"/>
    <w:rsid w:val="00900B2E"/>
    <w:rsid w:val="00930A71"/>
    <w:rsid w:val="00930BC1"/>
    <w:rsid w:val="00931126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4C53"/>
    <w:rsid w:val="00990C6F"/>
    <w:rsid w:val="00996F92"/>
    <w:rsid w:val="009A13A0"/>
    <w:rsid w:val="009A205F"/>
    <w:rsid w:val="009A2769"/>
    <w:rsid w:val="009A3A8A"/>
    <w:rsid w:val="009A5BA1"/>
    <w:rsid w:val="009B253D"/>
    <w:rsid w:val="009B2B2B"/>
    <w:rsid w:val="009C0E61"/>
    <w:rsid w:val="009C406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02DD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15A"/>
    <w:rsid w:val="00A76F8C"/>
    <w:rsid w:val="00A81A4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442C"/>
    <w:rsid w:val="00AF74CA"/>
    <w:rsid w:val="00AF778B"/>
    <w:rsid w:val="00B03879"/>
    <w:rsid w:val="00B065DA"/>
    <w:rsid w:val="00B10250"/>
    <w:rsid w:val="00B12082"/>
    <w:rsid w:val="00B22022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3BD2"/>
    <w:rsid w:val="00BB55C0"/>
    <w:rsid w:val="00BC2E39"/>
    <w:rsid w:val="00BC2EE7"/>
    <w:rsid w:val="00BC49B4"/>
    <w:rsid w:val="00BC6F8A"/>
    <w:rsid w:val="00BD05AA"/>
    <w:rsid w:val="00BD3618"/>
    <w:rsid w:val="00BD611F"/>
    <w:rsid w:val="00BD7B29"/>
    <w:rsid w:val="00BE12C8"/>
    <w:rsid w:val="00BF4F64"/>
    <w:rsid w:val="00BF6F79"/>
    <w:rsid w:val="00BF7CAC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46A4C"/>
    <w:rsid w:val="00C509B9"/>
    <w:rsid w:val="00C5584A"/>
    <w:rsid w:val="00C55A3C"/>
    <w:rsid w:val="00C569B9"/>
    <w:rsid w:val="00C56CF3"/>
    <w:rsid w:val="00C57DE2"/>
    <w:rsid w:val="00C77AA4"/>
    <w:rsid w:val="00C82C55"/>
    <w:rsid w:val="00C92504"/>
    <w:rsid w:val="00C92E38"/>
    <w:rsid w:val="00C94FAA"/>
    <w:rsid w:val="00C9568D"/>
    <w:rsid w:val="00CA2232"/>
    <w:rsid w:val="00CB055F"/>
    <w:rsid w:val="00CB05C8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3800"/>
    <w:rsid w:val="00D07E75"/>
    <w:rsid w:val="00D12FA1"/>
    <w:rsid w:val="00D14BAE"/>
    <w:rsid w:val="00D15EC7"/>
    <w:rsid w:val="00D224CC"/>
    <w:rsid w:val="00D25594"/>
    <w:rsid w:val="00D27A5F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DF5196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2796A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7650A"/>
    <w:rsid w:val="00E81203"/>
    <w:rsid w:val="00E81537"/>
    <w:rsid w:val="00E82E2E"/>
    <w:rsid w:val="00E84D02"/>
    <w:rsid w:val="00E85B18"/>
    <w:rsid w:val="00E86900"/>
    <w:rsid w:val="00E947A6"/>
    <w:rsid w:val="00E9733C"/>
    <w:rsid w:val="00EA1C8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867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5839"/>
    <w:rsid w:val="00FA58C8"/>
    <w:rsid w:val="00FA6DBC"/>
    <w:rsid w:val="00FB00B3"/>
    <w:rsid w:val="00FB15D1"/>
    <w:rsid w:val="00FB4688"/>
    <w:rsid w:val="00FB561E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2012-11-26T10:50:00Z</cp:lastPrinted>
  <dcterms:created xsi:type="dcterms:W3CDTF">2014-05-03T19:27:00Z</dcterms:created>
  <dcterms:modified xsi:type="dcterms:W3CDTF">2014-05-03T19:27:00Z</dcterms:modified>
</cp:coreProperties>
</file>