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207" w:rsidRPr="00E60DC3" w:rsidRDefault="00F64EF0" w:rsidP="00311207">
      <w:pPr>
        <w:spacing w:after="0" w:line="240" w:lineRule="auto"/>
        <w:jc w:val="center"/>
        <w:rPr>
          <w:rFonts w:asciiTheme="majorBidi" w:eastAsia="+mn-ea" w:hAnsiTheme="majorBidi" w:cstheme="majorBidi"/>
          <w:b/>
          <w:bCs/>
          <w:sz w:val="28"/>
          <w:szCs w:val="28"/>
        </w:rPr>
      </w:pPr>
      <w:bookmarkStart w:id="0" w:name="_GoBack"/>
      <w:bookmarkEnd w:id="0"/>
      <w:r w:rsidRPr="00E60DC3">
        <w:rPr>
          <w:rFonts w:asciiTheme="majorBidi" w:eastAsia="+mn-ea" w:hAnsiTheme="majorBidi" w:cstheme="majorBidi"/>
          <w:b/>
          <w:bCs/>
          <w:sz w:val="28"/>
          <w:szCs w:val="28"/>
        </w:rPr>
        <w:t>S</w:t>
      </w:r>
      <w:r w:rsidR="00311207" w:rsidRPr="00E60DC3">
        <w:rPr>
          <w:rFonts w:asciiTheme="majorBidi" w:eastAsia="+mn-ea" w:hAnsiTheme="majorBidi" w:cstheme="majorBidi"/>
          <w:b/>
          <w:bCs/>
          <w:sz w:val="28"/>
          <w:szCs w:val="28"/>
        </w:rPr>
        <w:t>ource</w:t>
      </w:r>
      <w:r w:rsidR="001E1D12">
        <w:rPr>
          <w:rFonts w:asciiTheme="majorBidi" w:eastAsia="+mn-ea" w:hAnsiTheme="majorBidi" w:cstheme="majorBidi"/>
          <w:b/>
          <w:bCs/>
          <w:sz w:val="28"/>
          <w:szCs w:val="28"/>
        </w:rPr>
        <w:t>s</w:t>
      </w:r>
      <w:r w:rsidRPr="00E60DC3">
        <w:rPr>
          <w:rFonts w:asciiTheme="majorBidi" w:eastAsia="+mn-ea" w:hAnsiTheme="majorBidi" w:cstheme="majorBidi"/>
          <w:b/>
          <w:bCs/>
          <w:sz w:val="28"/>
          <w:szCs w:val="28"/>
        </w:rPr>
        <w:t xml:space="preserve"> </w:t>
      </w:r>
      <w:r w:rsidR="00311207" w:rsidRPr="00E60DC3">
        <w:rPr>
          <w:rFonts w:asciiTheme="majorBidi" w:eastAsia="+mn-ea" w:hAnsiTheme="majorBidi" w:cstheme="majorBidi"/>
          <w:b/>
          <w:bCs/>
          <w:sz w:val="28"/>
          <w:szCs w:val="28"/>
        </w:rPr>
        <w:t>de</w:t>
      </w:r>
      <w:r w:rsidR="0048197A" w:rsidRPr="00E60DC3">
        <w:rPr>
          <w:rFonts w:asciiTheme="majorBidi" w:eastAsia="+mn-ea" w:hAnsiTheme="majorBidi" w:cstheme="majorBidi"/>
          <w:b/>
          <w:bCs/>
          <w:sz w:val="28"/>
          <w:szCs w:val="28"/>
        </w:rPr>
        <w:t xml:space="preserve"> revenu des ménages</w:t>
      </w:r>
    </w:p>
    <w:p w:rsidR="0048197A" w:rsidRPr="00E60DC3" w:rsidRDefault="00311207" w:rsidP="00311207">
      <w:pPr>
        <w:spacing w:after="0" w:line="240" w:lineRule="auto"/>
        <w:jc w:val="center"/>
        <w:rPr>
          <w:rFonts w:asciiTheme="majorBidi" w:eastAsia="+mn-ea" w:hAnsiTheme="majorBidi" w:cstheme="majorBidi"/>
          <w:b/>
          <w:bCs/>
          <w:sz w:val="28"/>
          <w:szCs w:val="28"/>
        </w:rPr>
      </w:pPr>
      <w:r w:rsidRPr="00E60DC3">
        <w:rPr>
          <w:rFonts w:asciiTheme="majorBidi" w:eastAsia="+mn-ea" w:hAnsiTheme="majorBidi" w:cstheme="majorBidi"/>
          <w:b/>
          <w:bCs/>
          <w:sz w:val="28"/>
          <w:szCs w:val="28"/>
        </w:rPr>
        <w:t>Structure et inégalité</w:t>
      </w:r>
      <w:r w:rsidR="00F64EF0" w:rsidRPr="00E60DC3">
        <w:rPr>
          <w:rFonts w:asciiTheme="majorBidi" w:eastAsia="+mn-ea" w:hAnsiTheme="majorBidi" w:cstheme="majorBidi"/>
          <w:b/>
          <w:bCs/>
          <w:sz w:val="28"/>
          <w:szCs w:val="28"/>
        </w:rPr>
        <w:t xml:space="preserve"> </w:t>
      </w:r>
    </w:p>
    <w:p w:rsidR="003C6E5C" w:rsidRPr="00E60DC3" w:rsidRDefault="003E0C15" w:rsidP="003C6E5C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</w:t>
      </w:r>
    </w:p>
    <w:p w:rsidR="003C6E5C" w:rsidRPr="00E60DC3" w:rsidRDefault="00D7392B" w:rsidP="00AC3C3F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La structure par source de</w:t>
      </w:r>
      <w:r w:rsidR="003C6E5C" w:rsidRPr="00E60DC3">
        <w:rPr>
          <w:rFonts w:asciiTheme="majorBidi" w:hAnsiTheme="majorBidi" w:cstheme="majorBidi"/>
          <w:sz w:val="28"/>
          <w:szCs w:val="28"/>
        </w:rPr>
        <w:t xml:space="preserve"> revenu des ménages renseigne sur </w:t>
      </w:r>
      <w:r>
        <w:rPr>
          <w:rFonts w:asciiTheme="majorBidi" w:hAnsiTheme="majorBidi" w:cstheme="majorBidi"/>
          <w:sz w:val="28"/>
          <w:szCs w:val="28"/>
        </w:rPr>
        <w:t xml:space="preserve">la part relative </w:t>
      </w:r>
      <w:r w:rsidR="003C6E5C" w:rsidRPr="00E60DC3">
        <w:rPr>
          <w:rFonts w:asciiTheme="majorBidi" w:hAnsiTheme="majorBidi" w:cstheme="majorBidi"/>
          <w:sz w:val="28"/>
          <w:szCs w:val="28"/>
        </w:rPr>
        <w:t>d</w:t>
      </w:r>
      <w:r w:rsidR="007E3C7F" w:rsidRPr="00E60DC3">
        <w:rPr>
          <w:rFonts w:asciiTheme="majorBidi" w:hAnsiTheme="majorBidi" w:cstheme="majorBidi"/>
          <w:sz w:val="28"/>
          <w:szCs w:val="28"/>
        </w:rPr>
        <w:t xml:space="preserve">es facteurs de production </w:t>
      </w:r>
      <w:r w:rsidR="003C6E5C" w:rsidRPr="00E60DC3">
        <w:rPr>
          <w:rFonts w:asciiTheme="majorBidi" w:hAnsiTheme="majorBidi" w:cstheme="majorBidi"/>
          <w:sz w:val="28"/>
          <w:szCs w:val="28"/>
        </w:rPr>
        <w:t>et des politiques de redistribution dans la répartition des revenus générés par l’économie nationale</w:t>
      </w:r>
      <w:r>
        <w:rPr>
          <w:rFonts w:asciiTheme="majorBidi" w:hAnsiTheme="majorBidi" w:cstheme="majorBidi"/>
          <w:sz w:val="28"/>
          <w:szCs w:val="28"/>
        </w:rPr>
        <w:t>. Elle permet d’appréhender</w:t>
      </w:r>
      <w:r w:rsidR="00AC3C3F" w:rsidRPr="00AC3C3F">
        <w:rPr>
          <w:rFonts w:asciiTheme="majorBidi" w:hAnsiTheme="majorBidi" w:cstheme="majorBidi"/>
          <w:sz w:val="28"/>
          <w:szCs w:val="28"/>
        </w:rPr>
        <w:t xml:space="preserve"> </w:t>
      </w:r>
      <w:r w:rsidR="00AC3C3F">
        <w:rPr>
          <w:rFonts w:asciiTheme="majorBidi" w:hAnsiTheme="majorBidi" w:cstheme="majorBidi"/>
          <w:sz w:val="28"/>
          <w:szCs w:val="28"/>
        </w:rPr>
        <w:t>la contribution</w:t>
      </w:r>
      <w:r>
        <w:rPr>
          <w:rFonts w:asciiTheme="majorBidi" w:hAnsiTheme="majorBidi" w:cstheme="majorBidi"/>
          <w:sz w:val="28"/>
          <w:szCs w:val="28"/>
        </w:rPr>
        <w:t xml:space="preserve"> des salaires, </w:t>
      </w:r>
      <w:r w:rsidR="00751F98">
        <w:rPr>
          <w:rFonts w:asciiTheme="majorBidi" w:hAnsiTheme="majorBidi" w:cstheme="majorBidi"/>
          <w:sz w:val="28"/>
          <w:szCs w:val="28"/>
        </w:rPr>
        <w:t xml:space="preserve">du revenu </w:t>
      </w:r>
      <w:r w:rsidR="00F4743E">
        <w:rPr>
          <w:rFonts w:asciiTheme="majorBidi" w:hAnsiTheme="majorBidi" w:cstheme="majorBidi"/>
          <w:sz w:val="28"/>
          <w:szCs w:val="28"/>
        </w:rPr>
        <w:t xml:space="preserve">mixte </w:t>
      </w:r>
      <w:r w:rsidR="003C6E5C" w:rsidRPr="00E60DC3">
        <w:rPr>
          <w:rFonts w:asciiTheme="majorBidi" w:hAnsiTheme="majorBidi" w:cstheme="majorBidi"/>
          <w:sz w:val="28"/>
          <w:szCs w:val="28"/>
        </w:rPr>
        <w:t>de l’emploi indépendant non agricole</w:t>
      </w:r>
      <w:r w:rsidR="00F4743E">
        <w:rPr>
          <w:rFonts w:asciiTheme="majorBidi" w:hAnsiTheme="majorBidi" w:cstheme="majorBidi"/>
          <w:sz w:val="28"/>
          <w:szCs w:val="28"/>
        </w:rPr>
        <w:t xml:space="preserve"> et</w:t>
      </w:r>
      <w:r w:rsidR="00751F98">
        <w:rPr>
          <w:rFonts w:asciiTheme="majorBidi" w:hAnsiTheme="majorBidi" w:cstheme="majorBidi"/>
          <w:sz w:val="28"/>
          <w:szCs w:val="28"/>
        </w:rPr>
        <w:t xml:space="preserve"> </w:t>
      </w:r>
      <w:r w:rsidR="003C6E5C" w:rsidRPr="00E60DC3">
        <w:rPr>
          <w:rFonts w:asciiTheme="majorBidi" w:hAnsiTheme="majorBidi" w:cstheme="majorBidi"/>
          <w:sz w:val="28"/>
          <w:szCs w:val="28"/>
        </w:rPr>
        <w:t>des activités agricoles, des transferts et d’autres sources</w:t>
      </w:r>
      <w:r w:rsidR="00AC3C3F" w:rsidRPr="00AC3C3F">
        <w:rPr>
          <w:rFonts w:asciiTheme="majorBidi" w:hAnsiTheme="majorBidi" w:cstheme="majorBidi"/>
          <w:sz w:val="28"/>
          <w:szCs w:val="28"/>
        </w:rPr>
        <w:t xml:space="preserve"> </w:t>
      </w:r>
      <w:r w:rsidR="00AC3C3F">
        <w:rPr>
          <w:rFonts w:asciiTheme="majorBidi" w:hAnsiTheme="majorBidi" w:cstheme="majorBidi"/>
          <w:sz w:val="28"/>
          <w:szCs w:val="28"/>
        </w:rPr>
        <w:t>au revenu global des ménages</w:t>
      </w:r>
      <w:r w:rsidR="003C6E5C" w:rsidRPr="00E60DC3">
        <w:rPr>
          <w:rFonts w:asciiTheme="majorBidi" w:hAnsiTheme="majorBidi" w:cstheme="majorBidi"/>
          <w:sz w:val="28"/>
          <w:szCs w:val="28"/>
        </w:rPr>
        <w:t xml:space="preserve">. </w:t>
      </w:r>
      <w:r>
        <w:rPr>
          <w:rFonts w:asciiTheme="majorBidi" w:hAnsiTheme="majorBidi" w:cstheme="majorBidi"/>
          <w:sz w:val="28"/>
          <w:szCs w:val="28"/>
        </w:rPr>
        <w:t>Elle permet</w:t>
      </w:r>
      <w:r w:rsidR="003B56EE"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3B56EE">
        <w:rPr>
          <w:rFonts w:asciiTheme="majorBidi" w:hAnsiTheme="majorBidi" w:cstheme="majorBidi"/>
          <w:sz w:val="28"/>
          <w:szCs w:val="28"/>
        </w:rPr>
        <w:t>également,</w:t>
      </w:r>
      <w:r>
        <w:rPr>
          <w:rFonts w:asciiTheme="majorBidi" w:hAnsiTheme="majorBidi" w:cstheme="majorBidi"/>
          <w:sz w:val="28"/>
          <w:szCs w:val="28"/>
        </w:rPr>
        <w:t xml:space="preserve"> d’apprécier </w:t>
      </w:r>
      <w:r w:rsidR="003C6E5C" w:rsidRPr="00E60DC3">
        <w:rPr>
          <w:rFonts w:asciiTheme="majorBidi" w:hAnsiTheme="majorBidi" w:cstheme="majorBidi"/>
          <w:sz w:val="28"/>
          <w:szCs w:val="28"/>
        </w:rPr>
        <w:t xml:space="preserve">les inégalités inhérentes </w:t>
      </w:r>
      <w:r w:rsidR="003B56EE">
        <w:rPr>
          <w:rFonts w:asciiTheme="majorBidi" w:hAnsiTheme="majorBidi" w:cstheme="majorBidi"/>
          <w:sz w:val="28"/>
          <w:szCs w:val="28"/>
        </w:rPr>
        <w:t xml:space="preserve">à cette répartition. Cette analyse est établie à partir des </w:t>
      </w:r>
      <w:r w:rsidR="003C6E5C" w:rsidRPr="00E60DC3">
        <w:rPr>
          <w:rFonts w:asciiTheme="majorBidi" w:hAnsiTheme="majorBidi" w:cstheme="majorBidi"/>
          <w:sz w:val="28"/>
          <w:szCs w:val="28"/>
        </w:rPr>
        <w:t>données issues de l’enquête nationale sur les sources de revenu réalisée par le HCP en 2019.</w:t>
      </w:r>
    </w:p>
    <w:p w:rsidR="0048197A" w:rsidRPr="00E60DC3" w:rsidRDefault="003410FB" w:rsidP="00FD0BAB">
      <w:pPr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2F4C0D">
        <w:rPr>
          <w:rFonts w:asciiTheme="majorBidi" w:hAnsiTheme="majorBidi" w:cstheme="majorBidi"/>
          <w:b/>
          <w:bCs/>
          <w:i/>
          <w:iCs/>
          <w:sz w:val="28"/>
          <w:szCs w:val="28"/>
        </w:rPr>
        <w:t>Les salaires</w:t>
      </w:r>
      <w:r w:rsidR="00FD0BAB" w:rsidRPr="002F4C0D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, en milieu urbain, et les revenus agricoles, en milieu rural, constituent les </w:t>
      </w:r>
      <w:r w:rsidRPr="002F4C0D">
        <w:rPr>
          <w:rFonts w:asciiTheme="majorBidi" w:hAnsiTheme="majorBidi" w:cstheme="majorBidi"/>
          <w:b/>
          <w:bCs/>
          <w:i/>
          <w:iCs/>
          <w:sz w:val="28"/>
          <w:szCs w:val="28"/>
        </w:rPr>
        <w:t>pr</w:t>
      </w:r>
      <w:r w:rsidR="00FD0BAB" w:rsidRPr="002F4C0D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incipales </w:t>
      </w:r>
      <w:r w:rsidRPr="002F4C0D">
        <w:rPr>
          <w:rFonts w:asciiTheme="majorBidi" w:hAnsiTheme="majorBidi" w:cstheme="majorBidi"/>
          <w:b/>
          <w:bCs/>
          <w:i/>
          <w:iCs/>
          <w:sz w:val="28"/>
          <w:szCs w:val="28"/>
        </w:rPr>
        <w:t>source</w:t>
      </w:r>
      <w:r w:rsidR="00FD0BAB" w:rsidRPr="002F4C0D">
        <w:rPr>
          <w:rFonts w:asciiTheme="majorBidi" w:hAnsiTheme="majorBidi" w:cstheme="majorBidi"/>
          <w:b/>
          <w:bCs/>
          <w:i/>
          <w:iCs/>
          <w:sz w:val="28"/>
          <w:szCs w:val="28"/>
        </w:rPr>
        <w:t>s</w:t>
      </w:r>
      <w:r w:rsidRPr="002F4C0D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r w:rsidR="00A55AED" w:rsidRPr="002F4C0D">
        <w:rPr>
          <w:rFonts w:asciiTheme="majorBidi" w:hAnsiTheme="majorBidi" w:cstheme="majorBidi"/>
          <w:b/>
          <w:bCs/>
          <w:i/>
          <w:iCs/>
          <w:sz w:val="28"/>
          <w:szCs w:val="28"/>
        </w:rPr>
        <w:t>d</w:t>
      </w:r>
      <w:r w:rsidRPr="002F4C0D">
        <w:rPr>
          <w:rFonts w:asciiTheme="majorBidi" w:hAnsiTheme="majorBidi" w:cstheme="majorBidi"/>
          <w:b/>
          <w:bCs/>
          <w:i/>
          <w:iCs/>
          <w:sz w:val="28"/>
          <w:szCs w:val="28"/>
        </w:rPr>
        <w:t>e</w:t>
      </w:r>
      <w:r w:rsidR="00A55AED" w:rsidRPr="002F4C0D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revenu des ménages</w:t>
      </w:r>
      <w:r w:rsidR="00722E99" w:rsidRPr="00E60DC3">
        <w:rPr>
          <w:rStyle w:val="Appelnotedebasdep"/>
          <w:rFonts w:asciiTheme="majorBidi" w:hAnsiTheme="majorBidi" w:cstheme="majorBidi"/>
          <w:sz w:val="28"/>
          <w:szCs w:val="28"/>
        </w:rPr>
        <w:footnoteReference w:id="1"/>
      </w:r>
      <w:r w:rsidR="00A55AED" w:rsidRPr="00E60DC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5B1EDF" w:rsidRPr="00E60DC3"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</w:p>
    <w:p w:rsidR="00C74F32" w:rsidRPr="00F4743E" w:rsidRDefault="0048197A" w:rsidP="00F4743E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60DC3">
        <w:rPr>
          <w:rFonts w:asciiTheme="majorBidi" w:hAnsiTheme="majorBidi" w:cstheme="majorBidi"/>
          <w:sz w:val="28"/>
          <w:szCs w:val="28"/>
        </w:rPr>
        <w:t>A l’échelle nationale</w:t>
      </w:r>
      <w:r w:rsidR="00C6172F" w:rsidRPr="00E60DC3">
        <w:rPr>
          <w:rFonts w:asciiTheme="majorBidi" w:hAnsiTheme="majorBidi" w:cstheme="majorBidi"/>
          <w:sz w:val="28"/>
          <w:szCs w:val="28"/>
        </w:rPr>
        <w:t>,</w:t>
      </w:r>
      <w:r w:rsidR="00C6172F" w:rsidRPr="00E60DC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E60DC3">
        <w:rPr>
          <w:rFonts w:asciiTheme="majorBidi" w:hAnsiTheme="majorBidi" w:cstheme="majorBidi"/>
          <w:sz w:val="28"/>
          <w:szCs w:val="28"/>
        </w:rPr>
        <w:t>38% des revenus des ménages proviennent des salaires</w:t>
      </w:r>
      <w:r w:rsidR="00C6172F" w:rsidRPr="00E60DC3">
        <w:rPr>
          <w:rFonts w:asciiTheme="majorBidi" w:hAnsiTheme="majorBidi" w:cstheme="majorBidi"/>
          <w:sz w:val="28"/>
          <w:szCs w:val="28"/>
        </w:rPr>
        <w:t xml:space="preserve">, 44% en milieu urbain et 23% en milieu rural.  </w:t>
      </w:r>
      <w:r w:rsidR="00F4743E">
        <w:rPr>
          <w:rFonts w:asciiTheme="majorBidi" w:hAnsiTheme="majorBidi" w:cstheme="majorBidi"/>
          <w:sz w:val="28"/>
          <w:szCs w:val="28"/>
        </w:rPr>
        <w:t xml:space="preserve">Cette proportion est de </w:t>
      </w:r>
      <w:r w:rsidR="00F4743E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26,6% pour </w:t>
      </w:r>
      <w:r w:rsidR="00F4743E">
        <w:rPr>
          <w:rFonts w:asciiTheme="majorBidi" w:hAnsiTheme="majorBidi" w:cstheme="majorBidi"/>
          <w:sz w:val="28"/>
          <w:szCs w:val="28"/>
        </w:rPr>
        <w:t xml:space="preserve">les 20% </w:t>
      </w:r>
      <w:r w:rsidR="00F4743E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des ménages les </w:t>
      </w:r>
      <w:r w:rsidR="00F4743E" w:rsidRPr="00E60DC3">
        <w:rPr>
          <w:rFonts w:asciiTheme="majorBidi" w:eastAsia="Times New Roman" w:hAnsiTheme="majorBidi" w:cstheme="majorBidi"/>
          <w:sz w:val="28"/>
          <w:szCs w:val="28"/>
          <w:lang w:eastAsia="fr-FR"/>
        </w:rPr>
        <w:t>moins aisés</w:t>
      </w:r>
      <w:r w:rsidR="00C74F32" w:rsidRPr="00E60DC3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, 38% </w:t>
      </w:r>
      <w:r w:rsidR="00F4743E">
        <w:rPr>
          <w:rFonts w:asciiTheme="majorBidi" w:eastAsia="Times New Roman" w:hAnsiTheme="majorBidi" w:cstheme="majorBidi"/>
          <w:sz w:val="28"/>
          <w:szCs w:val="28"/>
          <w:lang w:eastAsia="fr-FR"/>
        </w:rPr>
        <w:t>pour les</w:t>
      </w:r>
      <w:r w:rsidR="00C74F32" w:rsidRPr="00E60DC3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60% d</w:t>
      </w:r>
      <w:r w:rsidR="00812223">
        <w:rPr>
          <w:rFonts w:asciiTheme="majorBidi" w:eastAsia="Times New Roman" w:hAnsiTheme="majorBidi" w:cstheme="majorBidi"/>
          <w:sz w:val="28"/>
          <w:szCs w:val="28"/>
          <w:lang w:eastAsia="fr-FR"/>
        </w:rPr>
        <w:t>es ménages</w:t>
      </w:r>
      <w:r w:rsidR="006B26C0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intermédiaires et 39,2%</w:t>
      </w:r>
      <w:r w:rsidR="00C74F32" w:rsidRPr="00E60DC3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r w:rsidR="00F4743E">
        <w:rPr>
          <w:rFonts w:asciiTheme="majorBidi" w:eastAsia="Times New Roman" w:hAnsiTheme="majorBidi" w:cstheme="majorBidi"/>
          <w:sz w:val="28"/>
          <w:szCs w:val="28"/>
          <w:lang w:eastAsia="fr-FR"/>
        </w:rPr>
        <w:t>pour l</w:t>
      </w:r>
      <w:r w:rsidR="00C74F32" w:rsidRPr="00E60DC3">
        <w:rPr>
          <w:rFonts w:asciiTheme="majorBidi" w:eastAsia="Times New Roman" w:hAnsiTheme="majorBidi" w:cstheme="majorBidi"/>
          <w:sz w:val="28"/>
          <w:szCs w:val="28"/>
          <w:lang w:eastAsia="fr-FR"/>
        </w:rPr>
        <w:t>es 20% les plus aisés.</w:t>
      </w:r>
    </w:p>
    <w:p w:rsidR="00C74F32" w:rsidRPr="00E60DC3" w:rsidRDefault="00C74F32" w:rsidP="00C6172F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EE2101" w:rsidRPr="00E60DC3" w:rsidRDefault="00723AC0" w:rsidP="002F4C0D">
      <w:pPr>
        <w:spacing w:after="0"/>
        <w:jc w:val="both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Avec une contribution de </w:t>
      </w:r>
      <w:r w:rsidRPr="00E60DC3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20% </w:t>
      </w:r>
      <w:r>
        <w:rPr>
          <w:rFonts w:asciiTheme="majorBidi" w:eastAsia="Times New Roman" w:hAnsiTheme="majorBidi" w:cstheme="majorBidi"/>
          <w:sz w:val="28"/>
          <w:szCs w:val="28"/>
          <w:lang w:eastAsia="fr-FR"/>
        </w:rPr>
        <w:t>au revenu</w:t>
      </w:r>
      <w:r w:rsidRPr="00E60DC3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r>
        <w:rPr>
          <w:rFonts w:asciiTheme="majorBidi" w:eastAsia="Times New Roman" w:hAnsiTheme="majorBidi" w:cstheme="majorBidi"/>
          <w:sz w:val="28"/>
          <w:szCs w:val="28"/>
          <w:lang w:eastAsia="fr-FR"/>
        </w:rPr>
        <w:t>global, l</w:t>
      </w:r>
      <w:r w:rsidR="00995CAB">
        <w:rPr>
          <w:rFonts w:asciiTheme="majorBidi" w:eastAsia="Times New Roman" w:hAnsiTheme="majorBidi" w:cstheme="majorBidi"/>
          <w:sz w:val="28"/>
          <w:szCs w:val="28"/>
          <w:lang w:eastAsia="fr-FR"/>
        </w:rPr>
        <w:t>es transferts constituent, en termes d’importance, la deuxième source de revenus des ménages</w:t>
      </w:r>
      <w:r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marocains. Ces transferts proviennent à hauteur de 49% </w:t>
      </w:r>
      <w:r w:rsidR="00934D94" w:rsidRPr="00E60DC3">
        <w:rPr>
          <w:rFonts w:asciiTheme="majorBidi" w:eastAsia="Times New Roman" w:hAnsiTheme="majorBidi" w:cstheme="majorBidi"/>
          <w:sz w:val="28"/>
          <w:szCs w:val="28"/>
          <w:lang w:eastAsia="fr-FR"/>
        </w:rPr>
        <w:t>d’</w:t>
      </w:r>
      <w:r w:rsidR="0048197A" w:rsidRPr="00E60DC3">
        <w:rPr>
          <w:rFonts w:asciiTheme="majorBidi" w:eastAsia="Times New Roman" w:hAnsiTheme="majorBidi" w:cstheme="majorBidi"/>
          <w:sz w:val="28"/>
          <w:szCs w:val="28"/>
          <w:lang w:eastAsia="fr-FR"/>
        </w:rPr>
        <w:t>institutions publiques, 40% des ménages et 11% d</w:t>
      </w:r>
      <w:r w:rsidR="00934D94" w:rsidRPr="00E60DC3">
        <w:rPr>
          <w:rFonts w:asciiTheme="majorBidi" w:eastAsia="Times New Roman" w:hAnsiTheme="majorBidi" w:cstheme="majorBidi"/>
          <w:sz w:val="28"/>
          <w:szCs w:val="28"/>
          <w:lang w:eastAsia="fr-FR"/>
        </w:rPr>
        <w:t>’</w:t>
      </w:r>
      <w:r w:rsidR="0048197A" w:rsidRPr="00E60DC3">
        <w:rPr>
          <w:rFonts w:asciiTheme="majorBidi" w:eastAsia="Times New Roman" w:hAnsiTheme="majorBidi" w:cstheme="majorBidi"/>
          <w:sz w:val="28"/>
          <w:szCs w:val="28"/>
          <w:lang w:eastAsia="fr-FR"/>
        </w:rPr>
        <w:t>institutions privées</w:t>
      </w:r>
      <w:r w:rsidR="00934D94" w:rsidRPr="00E60DC3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. </w:t>
      </w:r>
      <w:r w:rsidR="006B26C0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Ils </w:t>
      </w:r>
      <w:r w:rsidR="00934D94" w:rsidRPr="00E60DC3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représentent 22% des revenus des ménages citadins (53% provenant d’institutions publiques, 36% des ménages et 11% d’institutions privées) et </w:t>
      </w:r>
      <w:r w:rsidR="00EE2101" w:rsidRPr="00E60DC3">
        <w:rPr>
          <w:rFonts w:asciiTheme="majorBidi" w:eastAsia="Times New Roman" w:hAnsiTheme="majorBidi" w:cstheme="majorBidi"/>
          <w:sz w:val="28"/>
          <w:szCs w:val="28"/>
          <w:lang w:eastAsia="fr-FR"/>
        </w:rPr>
        <w:t>14% des revenus des ménages ruraux (</w:t>
      </w:r>
      <w:r w:rsidR="00BF24E4">
        <w:rPr>
          <w:rFonts w:asciiTheme="majorBidi" w:eastAsia="Times New Roman" w:hAnsiTheme="majorBidi" w:cstheme="majorBidi"/>
          <w:sz w:val="28"/>
          <w:szCs w:val="28"/>
          <w:lang w:eastAsia="fr-FR"/>
        </w:rPr>
        <w:t>32%</w:t>
      </w:r>
      <w:r w:rsidR="00BF24E4" w:rsidRPr="00E60DC3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r w:rsidR="00EE2101" w:rsidRPr="00E60DC3">
        <w:rPr>
          <w:rFonts w:asciiTheme="majorBidi" w:eastAsia="Times New Roman" w:hAnsiTheme="majorBidi" w:cstheme="majorBidi"/>
          <w:sz w:val="28"/>
          <w:szCs w:val="28"/>
          <w:lang w:eastAsia="fr-FR"/>
        </w:rPr>
        <w:t>d’institutions publiques</w:t>
      </w:r>
      <w:r w:rsidR="00BF24E4">
        <w:rPr>
          <w:rFonts w:asciiTheme="majorBidi" w:eastAsia="Times New Roman" w:hAnsiTheme="majorBidi" w:cstheme="majorBidi"/>
          <w:sz w:val="28"/>
          <w:szCs w:val="28"/>
          <w:lang w:eastAsia="fr-FR"/>
        </w:rPr>
        <w:t>,</w:t>
      </w:r>
      <w:r w:rsidR="00EE2101" w:rsidRPr="00E60DC3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r w:rsidR="00BF24E4" w:rsidRPr="00E60DC3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60% des ménages, </w:t>
      </w:r>
      <w:r w:rsidR="00EE2101" w:rsidRPr="00E60DC3">
        <w:rPr>
          <w:rFonts w:asciiTheme="majorBidi" w:eastAsia="Times New Roman" w:hAnsiTheme="majorBidi" w:cstheme="majorBidi"/>
          <w:sz w:val="28"/>
          <w:szCs w:val="28"/>
          <w:lang w:eastAsia="fr-FR"/>
        </w:rPr>
        <w:t>et 8% d’institutions privées).</w:t>
      </w:r>
    </w:p>
    <w:p w:rsidR="00934D94" w:rsidRPr="00E60DC3" w:rsidRDefault="00934D94" w:rsidP="00934D94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EE2101" w:rsidRPr="00E60DC3" w:rsidRDefault="00BF24E4" w:rsidP="00431B8C">
      <w:pPr>
        <w:spacing w:after="0"/>
        <w:jc w:val="both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>
        <w:rPr>
          <w:rFonts w:asciiTheme="majorBidi" w:eastAsia="Times New Roman" w:hAnsiTheme="majorBidi" w:cstheme="majorBidi"/>
          <w:sz w:val="28"/>
          <w:szCs w:val="28"/>
          <w:lang w:eastAsia="fr-FR"/>
        </w:rPr>
        <w:t>Par tranche de revenu, l</w:t>
      </w:r>
      <w:r w:rsidR="00431B8C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es transferts constituent </w:t>
      </w:r>
      <w:r w:rsidR="00EE2101" w:rsidRPr="00E60DC3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28% </w:t>
      </w:r>
      <w:r w:rsidR="00431B8C">
        <w:rPr>
          <w:rFonts w:asciiTheme="majorBidi" w:eastAsia="Times New Roman" w:hAnsiTheme="majorBidi" w:cstheme="majorBidi"/>
          <w:sz w:val="28"/>
          <w:szCs w:val="28"/>
          <w:lang w:eastAsia="fr-FR"/>
        </w:rPr>
        <w:t>du</w:t>
      </w:r>
      <w:r w:rsidR="00EE2101" w:rsidRPr="00E60DC3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revenu des 20% des ménages les moins aisés, 21,2% </w:t>
      </w:r>
      <w:r w:rsidR="00431B8C">
        <w:rPr>
          <w:rFonts w:asciiTheme="majorBidi" w:eastAsia="Times New Roman" w:hAnsiTheme="majorBidi" w:cstheme="majorBidi"/>
          <w:sz w:val="28"/>
          <w:szCs w:val="28"/>
          <w:lang w:eastAsia="fr-FR"/>
        </w:rPr>
        <w:t>de celui d</w:t>
      </w:r>
      <w:r w:rsidR="00EE2101" w:rsidRPr="00E60DC3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es ménages intermédiaires et 18,5% </w:t>
      </w:r>
      <w:r w:rsidR="00431B8C">
        <w:rPr>
          <w:rFonts w:asciiTheme="majorBidi" w:eastAsia="Times New Roman" w:hAnsiTheme="majorBidi" w:cstheme="majorBidi"/>
          <w:sz w:val="28"/>
          <w:szCs w:val="28"/>
          <w:lang w:eastAsia="fr-FR"/>
        </w:rPr>
        <w:t>d</w:t>
      </w:r>
      <w:r w:rsidR="00EE2101" w:rsidRPr="00E60DC3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es ménages aisés. </w:t>
      </w:r>
    </w:p>
    <w:p w:rsidR="00934D94" w:rsidRPr="00E60DC3" w:rsidRDefault="00934D94" w:rsidP="00934D94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EE2101" w:rsidRPr="00E60DC3" w:rsidRDefault="00EE2101" w:rsidP="00BB6812">
      <w:pPr>
        <w:spacing w:after="0"/>
        <w:jc w:val="both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E60DC3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Le revenu </w:t>
      </w:r>
      <w:r w:rsidR="00D04971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mixte provenant </w:t>
      </w:r>
      <w:r w:rsidR="00BB6812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de </w:t>
      </w:r>
      <w:r w:rsidRPr="00E60DC3">
        <w:rPr>
          <w:rFonts w:asciiTheme="majorBidi" w:eastAsia="Times New Roman" w:hAnsiTheme="majorBidi" w:cstheme="majorBidi"/>
          <w:sz w:val="28"/>
          <w:szCs w:val="28"/>
          <w:lang w:eastAsia="fr-FR"/>
        </w:rPr>
        <w:t>l’emploi indépendant non agricole</w:t>
      </w:r>
      <w:r w:rsidR="00BB6812">
        <w:rPr>
          <w:rFonts w:asciiTheme="majorBidi" w:eastAsia="Times New Roman" w:hAnsiTheme="majorBidi" w:cstheme="majorBidi"/>
          <w:sz w:val="28"/>
          <w:szCs w:val="28"/>
          <w:lang w:eastAsia="fr-FR"/>
        </w:rPr>
        <w:t>, où participent le travail et le capital,</w:t>
      </w:r>
      <w:r w:rsidRPr="00E60DC3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r w:rsidR="00BB6812">
        <w:rPr>
          <w:rFonts w:asciiTheme="majorBidi" w:eastAsia="Times New Roman" w:hAnsiTheme="majorBidi" w:cstheme="majorBidi"/>
          <w:sz w:val="28"/>
          <w:szCs w:val="28"/>
          <w:lang w:eastAsia="fr-FR"/>
        </w:rPr>
        <w:t>constitue</w:t>
      </w:r>
      <w:r w:rsidRPr="00E60DC3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r w:rsidR="00BB6812">
        <w:rPr>
          <w:rFonts w:asciiTheme="majorBidi" w:eastAsia="Times New Roman" w:hAnsiTheme="majorBidi" w:cstheme="majorBidi"/>
          <w:sz w:val="28"/>
          <w:szCs w:val="28"/>
          <w:lang w:eastAsia="fr-FR"/>
        </w:rPr>
        <w:t>18% des revenus des ménages (</w:t>
      </w:r>
      <w:r w:rsidRPr="00E60DC3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20% en milieu </w:t>
      </w:r>
      <w:r w:rsidRPr="00E60DC3">
        <w:rPr>
          <w:rFonts w:asciiTheme="majorBidi" w:eastAsia="Times New Roman" w:hAnsiTheme="majorBidi" w:cstheme="majorBidi"/>
          <w:sz w:val="28"/>
          <w:szCs w:val="28"/>
          <w:lang w:eastAsia="fr-FR"/>
        </w:rPr>
        <w:lastRenderedPageBreak/>
        <w:t>urbain et 12% en milieu rural</w:t>
      </w:r>
      <w:r w:rsidR="00BB6812">
        <w:rPr>
          <w:rFonts w:asciiTheme="majorBidi" w:eastAsia="Times New Roman" w:hAnsiTheme="majorBidi" w:cstheme="majorBidi"/>
          <w:sz w:val="28"/>
          <w:szCs w:val="28"/>
          <w:lang w:eastAsia="fr-FR"/>
        </w:rPr>
        <w:t>)</w:t>
      </w:r>
      <w:r w:rsidRPr="00E60DC3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. </w:t>
      </w:r>
      <w:r w:rsidR="00BB6812">
        <w:rPr>
          <w:rFonts w:asciiTheme="majorBidi" w:eastAsia="Times New Roman" w:hAnsiTheme="majorBidi" w:cstheme="majorBidi"/>
          <w:sz w:val="28"/>
          <w:szCs w:val="28"/>
          <w:lang w:eastAsia="fr-FR"/>
        </w:rPr>
        <w:t>Par tranche de revenu</w:t>
      </w:r>
      <w:r w:rsidRPr="00E60DC3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, </w:t>
      </w:r>
      <w:r w:rsidR="00BB6812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il </w:t>
      </w:r>
      <w:r w:rsidRPr="00E60DC3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représente 10,4% </w:t>
      </w:r>
      <w:r w:rsidR="00BB6812">
        <w:rPr>
          <w:rFonts w:asciiTheme="majorBidi" w:eastAsia="Times New Roman" w:hAnsiTheme="majorBidi" w:cstheme="majorBidi"/>
          <w:sz w:val="28"/>
          <w:szCs w:val="28"/>
          <w:lang w:eastAsia="fr-FR"/>
        </w:rPr>
        <w:t>du revenu</w:t>
      </w:r>
      <w:r w:rsidRPr="00E60DC3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des 20% des ménages les moins aisés, 17,9% des intermédiaires et 18% des ménages aisés.</w:t>
      </w:r>
    </w:p>
    <w:p w:rsidR="00EE2101" w:rsidRPr="00E60DC3" w:rsidRDefault="00EE2101" w:rsidP="00EE2101">
      <w:pPr>
        <w:spacing w:after="0"/>
        <w:jc w:val="both"/>
        <w:rPr>
          <w:rFonts w:asciiTheme="majorBidi" w:eastAsia="Times New Roman" w:hAnsiTheme="majorBidi" w:cstheme="majorBidi"/>
          <w:sz w:val="28"/>
          <w:szCs w:val="28"/>
          <w:lang w:eastAsia="fr-FR"/>
        </w:rPr>
      </w:pPr>
    </w:p>
    <w:p w:rsidR="00E60DC3" w:rsidRPr="00E60DC3" w:rsidRDefault="00315B60" w:rsidP="00315B60">
      <w:pPr>
        <w:spacing w:after="0"/>
        <w:jc w:val="both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Avec une mauvaise campagne agricole, l’année 2019, où l’enquête a été réalisée, s’est </w:t>
      </w:r>
      <w:r w:rsidR="00C51BF1">
        <w:rPr>
          <w:rFonts w:asciiTheme="majorBidi" w:eastAsia="Times New Roman" w:hAnsiTheme="majorBidi" w:cstheme="majorBidi"/>
          <w:sz w:val="28"/>
          <w:szCs w:val="28"/>
          <w:lang w:eastAsia="fr-FR"/>
        </w:rPr>
        <w:t>soldée par un revenu agricole global de 10% au profit des ménages (</w:t>
      </w:r>
      <w:r w:rsidR="00C51BF1" w:rsidRPr="00E60DC3">
        <w:rPr>
          <w:rFonts w:asciiTheme="majorBidi" w:eastAsia="Times New Roman" w:hAnsiTheme="majorBidi" w:cstheme="majorBidi"/>
          <w:sz w:val="28"/>
          <w:szCs w:val="28"/>
          <w:lang w:eastAsia="fr-FR"/>
        </w:rPr>
        <w:t>36,7% en milieu rural et 0,7% en milieu urbain</w:t>
      </w:r>
      <w:r w:rsidR="00C51BF1">
        <w:rPr>
          <w:rFonts w:asciiTheme="majorBidi" w:eastAsia="Times New Roman" w:hAnsiTheme="majorBidi" w:cstheme="majorBidi"/>
          <w:sz w:val="28"/>
          <w:szCs w:val="28"/>
          <w:lang w:eastAsia="fr-FR"/>
        </w:rPr>
        <w:t>). L</w:t>
      </w:r>
      <w:r w:rsidR="00615960">
        <w:rPr>
          <w:rFonts w:asciiTheme="majorBidi" w:eastAsia="Times New Roman" w:hAnsiTheme="majorBidi" w:cstheme="majorBidi"/>
          <w:sz w:val="28"/>
          <w:szCs w:val="28"/>
          <w:lang w:eastAsia="fr-FR"/>
        </w:rPr>
        <w:t>e revenu agricole</w:t>
      </w:r>
      <w:r w:rsidR="00C51BF1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constitue ainsi </w:t>
      </w:r>
      <w:r w:rsidR="006B26C0">
        <w:rPr>
          <w:rFonts w:asciiTheme="majorBidi" w:eastAsia="Times New Roman" w:hAnsiTheme="majorBidi" w:cstheme="majorBidi"/>
          <w:sz w:val="28"/>
          <w:szCs w:val="28"/>
          <w:lang w:eastAsia="fr-FR"/>
        </w:rPr>
        <w:t>8,1%</w:t>
      </w:r>
      <w:r w:rsidR="00E60DC3" w:rsidRPr="00E60DC3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du revenu des 20% des ménages les moins aisés et </w:t>
      </w:r>
      <w:r w:rsidR="00D95C50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7,3% de </w:t>
      </w:r>
      <w:r w:rsidR="00E60DC3" w:rsidRPr="00E60DC3">
        <w:rPr>
          <w:rFonts w:asciiTheme="majorBidi" w:eastAsia="Times New Roman" w:hAnsiTheme="majorBidi" w:cstheme="majorBidi"/>
          <w:sz w:val="28"/>
          <w:szCs w:val="28"/>
          <w:lang w:eastAsia="fr-FR"/>
        </w:rPr>
        <w:t>celui d</w:t>
      </w:r>
      <w:r w:rsidR="00D95C50">
        <w:rPr>
          <w:rFonts w:asciiTheme="majorBidi" w:eastAsia="Times New Roman" w:hAnsiTheme="majorBidi" w:cstheme="majorBidi"/>
          <w:sz w:val="28"/>
          <w:szCs w:val="28"/>
          <w:lang w:eastAsia="fr-FR"/>
        </w:rPr>
        <w:t>es ménages intermédiaires</w:t>
      </w:r>
      <w:r w:rsidR="00E60DC3" w:rsidRPr="00E60DC3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. En revanche, </w:t>
      </w:r>
      <w:r w:rsidR="00D95C50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les revenus agricoles </w:t>
      </w:r>
      <w:r w:rsidR="00E60DC3" w:rsidRPr="00E60DC3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contribuent à hauteur de 12,9% au revenu des 20% des ménages </w:t>
      </w:r>
      <w:r w:rsidR="00D95C50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les plus </w:t>
      </w:r>
      <w:r w:rsidR="00E60DC3" w:rsidRPr="00E60DC3">
        <w:rPr>
          <w:rFonts w:asciiTheme="majorBidi" w:eastAsia="Times New Roman" w:hAnsiTheme="majorBidi" w:cstheme="majorBidi"/>
          <w:sz w:val="28"/>
          <w:szCs w:val="28"/>
          <w:lang w:eastAsia="fr-FR"/>
        </w:rPr>
        <w:t>aisés.</w:t>
      </w:r>
    </w:p>
    <w:p w:rsidR="00D95C50" w:rsidRDefault="00D95C50" w:rsidP="00E60DC3">
      <w:pPr>
        <w:spacing w:after="0"/>
        <w:jc w:val="both"/>
        <w:rPr>
          <w:rFonts w:asciiTheme="majorBidi" w:eastAsia="Times New Roman" w:hAnsiTheme="majorBidi" w:cstheme="majorBidi"/>
          <w:sz w:val="28"/>
          <w:szCs w:val="28"/>
          <w:lang w:eastAsia="fr-FR"/>
        </w:rPr>
      </w:pPr>
    </w:p>
    <w:p w:rsidR="00E60DC3" w:rsidRDefault="007C1423" w:rsidP="007C1423">
      <w:pPr>
        <w:spacing w:after="0"/>
        <w:jc w:val="both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Au total, </w:t>
      </w:r>
      <w:r w:rsidR="00E60DC3" w:rsidRPr="00E60DC3">
        <w:rPr>
          <w:rFonts w:asciiTheme="majorBidi" w:eastAsia="Times New Roman" w:hAnsiTheme="majorBidi" w:cstheme="majorBidi"/>
          <w:sz w:val="28"/>
          <w:szCs w:val="28"/>
          <w:lang w:eastAsia="fr-FR"/>
        </w:rPr>
        <w:t>le revenu agricole représente</w:t>
      </w:r>
      <w:r>
        <w:rPr>
          <w:rFonts w:asciiTheme="majorBidi" w:eastAsia="Times New Roman" w:hAnsiTheme="majorBidi" w:cstheme="majorBidi"/>
          <w:sz w:val="28"/>
          <w:szCs w:val="28"/>
          <w:lang w:eastAsia="fr-FR"/>
        </w:rPr>
        <w:t>,</w:t>
      </w:r>
      <w:r w:rsidR="00E60DC3" w:rsidRPr="00E60DC3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r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en milieu rural, </w:t>
      </w:r>
      <w:r w:rsidR="00D95C50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plus de la moitié des revenus des 20% des ménages les plus aisés (54,4%), </w:t>
      </w:r>
      <w:r w:rsidR="00E60DC3" w:rsidRPr="00E60DC3">
        <w:rPr>
          <w:rFonts w:asciiTheme="majorBidi" w:eastAsia="Times New Roman" w:hAnsiTheme="majorBidi" w:cstheme="majorBidi"/>
          <w:sz w:val="28"/>
          <w:szCs w:val="28"/>
          <w:lang w:eastAsia="fr-FR"/>
        </w:rPr>
        <w:t>19% de</w:t>
      </w:r>
      <w:r w:rsidR="00D95C50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ceux </w:t>
      </w:r>
      <w:r w:rsidR="00E60DC3" w:rsidRPr="00E60DC3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des ménages intermédiaires et </w:t>
      </w:r>
      <w:r w:rsidR="00D95C50" w:rsidRPr="00E60DC3">
        <w:rPr>
          <w:rFonts w:asciiTheme="majorBidi" w:eastAsia="Times New Roman" w:hAnsiTheme="majorBidi" w:cstheme="majorBidi"/>
          <w:sz w:val="28"/>
          <w:szCs w:val="28"/>
          <w:lang w:eastAsia="fr-FR"/>
        </w:rPr>
        <w:t>9% de</w:t>
      </w:r>
      <w:r w:rsidR="00D95C50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ceux </w:t>
      </w:r>
      <w:r w:rsidR="00D95C50" w:rsidRPr="00E60DC3">
        <w:rPr>
          <w:rFonts w:asciiTheme="majorBidi" w:eastAsia="Times New Roman" w:hAnsiTheme="majorBidi" w:cstheme="majorBidi"/>
          <w:sz w:val="28"/>
          <w:szCs w:val="28"/>
          <w:lang w:eastAsia="fr-FR"/>
        </w:rPr>
        <w:t>des moins aisés</w:t>
      </w:r>
      <w:r w:rsidR="00D95C50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. </w:t>
      </w:r>
    </w:p>
    <w:p w:rsidR="00D95C50" w:rsidRPr="00E60DC3" w:rsidRDefault="00D95C50" w:rsidP="00D95C50">
      <w:pPr>
        <w:spacing w:after="0"/>
        <w:jc w:val="both"/>
        <w:rPr>
          <w:rFonts w:asciiTheme="majorBidi" w:eastAsia="Times New Roman" w:hAnsiTheme="majorBidi" w:cstheme="majorBidi"/>
          <w:sz w:val="28"/>
          <w:szCs w:val="28"/>
          <w:lang w:eastAsia="fr-FR"/>
        </w:rPr>
      </w:pPr>
    </w:p>
    <w:p w:rsidR="0048197A" w:rsidRDefault="0048197A" w:rsidP="004224C0">
      <w:pPr>
        <w:pStyle w:val="Paragraphedeliste"/>
        <w:jc w:val="both"/>
        <w:rPr>
          <w:rFonts w:asciiTheme="majorBidi" w:eastAsiaTheme="minorEastAsia" w:hAnsiTheme="majorBidi" w:cstheme="majorBidi"/>
          <w:sz w:val="28"/>
          <w:szCs w:val="28"/>
        </w:rPr>
      </w:pPr>
      <w:r w:rsidRPr="00E60DC3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Structure du revenu des ménages </w:t>
      </w:r>
      <w:r w:rsidR="004224C0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par </w:t>
      </w:r>
      <w:r w:rsidR="004224C0" w:rsidRPr="00E60DC3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source </w:t>
      </w:r>
      <w:r w:rsidRPr="00E60DC3">
        <w:rPr>
          <w:rFonts w:asciiTheme="majorBidi" w:eastAsiaTheme="minorEastAsia" w:hAnsiTheme="majorBidi" w:cstheme="majorBidi"/>
          <w:sz w:val="28"/>
          <w:szCs w:val="28"/>
        </w:rPr>
        <w:t>(en %)</w:t>
      </w:r>
    </w:p>
    <w:p w:rsidR="002124A5" w:rsidRDefault="002124A5" w:rsidP="004224C0">
      <w:pPr>
        <w:pStyle w:val="Paragraphedeliste"/>
        <w:jc w:val="both"/>
        <w:rPr>
          <w:rFonts w:asciiTheme="majorBidi" w:eastAsiaTheme="minorEastAsia" w:hAnsiTheme="majorBidi" w:cstheme="majorBidi"/>
          <w:sz w:val="28"/>
          <w:szCs w:val="28"/>
        </w:rPr>
      </w:pPr>
    </w:p>
    <w:p w:rsidR="002124A5" w:rsidRPr="002124A5" w:rsidRDefault="002124A5" w:rsidP="002124A5">
      <w:pPr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>
            <wp:extent cx="5643564" cy="2743200"/>
            <wp:effectExtent l="0" t="0" r="14605" b="19050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8197A" w:rsidRPr="004224C0" w:rsidRDefault="0048197A" w:rsidP="00722E99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4224C0">
        <w:rPr>
          <w:rFonts w:asciiTheme="majorBidi" w:hAnsiTheme="majorBidi" w:cstheme="majorBidi"/>
          <w:sz w:val="20"/>
          <w:szCs w:val="20"/>
        </w:rPr>
        <w:t xml:space="preserve">Source : HCP, </w:t>
      </w:r>
      <w:r w:rsidR="00A51F31" w:rsidRPr="004224C0">
        <w:rPr>
          <w:rFonts w:asciiTheme="majorBidi" w:hAnsiTheme="majorBidi" w:cstheme="majorBidi"/>
          <w:sz w:val="20"/>
          <w:szCs w:val="20"/>
        </w:rPr>
        <w:t>Enquête nationale sur les sources d</w:t>
      </w:r>
      <w:r w:rsidR="00722E99" w:rsidRPr="004224C0">
        <w:rPr>
          <w:rFonts w:asciiTheme="majorBidi" w:hAnsiTheme="majorBidi" w:cstheme="majorBidi"/>
          <w:sz w:val="20"/>
          <w:szCs w:val="20"/>
        </w:rPr>
        <w:t>e</w:t>
      </w:r>
      <w:r w:rsidR="00791065" w:rsidRPr="004224C0">
        <w:rPr>
          <w:rFonts w:asciiTheme="majorBidi" w:hAnsiTheme="majorBidi" w:cstheme="majorBidi"/>
          <w:sz w:val="20"/>
          <w:szCs w:val="20"/>
        </w:rPr>
        <w:t xml:space="preserve"> revenu (</w:t>
      </w:r>
      <w:r w:rsidRPr="004224C0">
        <w:rPr>
          <w:rFonts w:asciiTheme="majorBidi" w:hAnsiTheme="majorBidi" w:cstheme="majorBidi"/>
          <w:sz w:val="20"/>
          <w:szCs w:val="20"/>
        </w:rPr>
        <w:t>ENSR</w:t>
      </w:r>
      <w:r w:rsidR="00791065" w:rsidRPr="004224C0">
        <w:rPr>
          <w:rFonts w:asciiTheme="majorBidi" w:hAnsiTheme="majorBidi" w:cstheme="majorBidi"/>
          <w:sz w:val="20"/>
          <w:szCs w:val="20"/>
        </w:rPr>
        <w:t>)</w:t>
      </w:r>
      <w:r w:rsidRPr="004224C0">
        <w:rPr>
          <w:rFonts w:asciiTheme="majorBidi" w:hAnsiTheme="majorBidi" w:cstheme="majorBidi"/>
          <w:sz w:val="20"/>
          <w:szCs w:val="20"/>
        </w:rPr>
        <w:t xml:space="preserve"> 2019</w:t>
      </w:r>
    </w:p>
    <w:p w:rsidR="00281C0E" w:rsidRPr="00E60DC3" w:rsidRDefault="00281C0E" w:rsidP="0048197A">
      <w:pPr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4E3EFA" w:rsidRDefault="004E3EFA" w:rsidP="004E3EFA">
      <w:pPr>
        <w:pStyle w:val="Corpsdetexte"/>
        <w:spacing w:after="0" w:line="288" w:lineRule="auto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</w:p>
    <w:p w:rsidR="00A51F31" w:rsidRPr="004E3EFA" w:rsidRDefault="004E3EFA" w:rsidP="004E3EFA">
      <w:pPr>
        <w:pStyle w:val="Corpsdetexte"/>
        <w:spacing w:after="0" w:line="288" w:lineRule="auto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Près de la moitié des </w:t>
      </w:r>
      <w:r w:rsidR="002F70C1" w:rsidRPr="004E3EFA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ménages ruraux 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ont plus de 3 sources de revenu </w:t>
      </w:r>
    </w:p>
    <w:p w:rsidR="001B5A92" w:rsidRPr="00E60DC3" w:rsidRDefault="001B5A92" w:rsidP="0048197A">
      <w:pPr>
        <w:pStyle w:val="Corpsdetexte"/>
        <w:spacing w:after="0" w:line="288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A30218" w:rsidRPr="00E60DC3" w:rsidRDefault="001B5A92" w:rsidP="00AB1904">
      <w:pPr>
        <w:pStyle w:val="Corpsdetexte"/>
        <w:spacing w:after="0" w:line="288" w:lineRule="auto"/>
        <w:rPr>
          <w:rFonts w:asciiTheme="majorBidi" w:hAnsiTheme="majorBidi" w:cstheme="majorBidi"/>
          <w:sz w:val="28"/>
          <w:szCs w:val="28"/>
        </w:rPr>
      </w:pPr>
      <w:r w:rsidRPr="00E60DC3">
        <w:rPr>
          <w:rFonts w:asciiTheme="majorBidi" w:hAnsiTheme="majorBidi" w:cstheme="majorBidi"/>
          <w:sz w:val="28"/>
          <w:szCs w:val="28"/>
        </w:rPr>
        <w:t>Abstraction faite de leurs poids dans le revenu total des ménages, le nombre moyen de sources de revenu par ménage mesure le degré de diversification d</w:t>
      </w:r>
      <w:r w:rsidR="007C1423">
        <w:rPr>
          <w:rFonts w:asciiTheme="majorBidi" w:hAnsiTheme="majorBidi" w:cstheme="majorBidi"/>
          <w:sz w:val="28"/>
          <w:szCs w:val="28"/>
        </w:rPr>
        <w:t xml:space="preserve">es sources de </w:t>
      </w:r>
      <w:r w:rsidRPr="00E60DC3">
        <w:rPr>
          <w:rFonts w:asciiTheme="majorBidi" w:hAnsiTheme="majorBidi" w:cstheme="majorBidi"/>
          <w:sz w:val="28"/>
          <w:szCs w:val="28"/>
        </w:rPr>
        <w:t xml:space="preserve">revenu. </w:t>
      </w:r>
      <w:r w:rsidR="00723AC0">
        <w:rPr>
          <w:rFonts w:asciiTheme="majorBidi" w:hAnsiTheme="majorBidi" w:cstheme="majorBidi"/>
          <w:sz w:val="28"/>
          <w:szCs w:val="28"/>
        </w:rPr>
        <w:t>Les ménages marocains vivent</w:t>
      </w:r>
      <w:r w:rsidR="00315B60">
        <w:rPr>
          <w:rFonts w:asciiTheme="majorBidi" w:hAnsiTheme="majorBidi" w:cstheme="majorBidi"/>
          <w:sz w:val="28"/>
          <w:szCs w:val="28"/>
        </w:rPr>
        <w:t>, ainsi,</w:t>
      </w:r>
      <w:r w:rsidR="00723AC0">
        <w:rPr>
          <w:rFonts w:asciiTheme="majorBidi" w:hAnsiTheme="majorBidi" w:cstheme="majorBidi"/>
          <w:sz w:val="28"/>
          <w:szCs w:val="28"/>
        </w:rPr>
        <w:t xml:space="preserve"> avec près de 3 </w:t>
      </w:r>
      <w:r w:rsidR="00AB1904">
        <w:rPr>
          <w:rFonts w:asciiTheme="majorBidi" w:hAnsiTheme="majorBidi" w:cstheme="majorBidi"/>
          <w:sz w:val="28"/>
          <w:szCs w:val="28"/>
        </w:rPr>
        <w:t>sources</w:t>
      </w:r>
      <w:r w:rsidR="00AE7DEC">
        <w:rPr>
          <w:rFonts w:asciiTheme="majorBidi" w:hAnsiTheme="majorBidi" w:cstheme="majorBidi"/>
          <w:sz w:val="28"/>
          <w:szCs w:val="28"/>
        </w:rPr>
        <w:t xml:space="preserve"> </w:t>
      </w:r>
      <w:r w:rsidR="00AE7DEC">
        <w:rPr>
          <w:rFonts w:asciiTheme="majorBidi" w:hAnsiTheme="majorBidi" w:cstheme="majorBidi"/>
          <w:sz w:val="28"/>
          <w:szCs w:val="28"/>
        </w:rPr>
        <w:lastRenderedPageBreak/>
        <w:t>de revenu</w:t>
      </w:r>
      <w:r w:rsidR="00AA2440" w:rsidRPr="00E60DC3">
        <w:rPr>
          <w:rFonts w:asciiTheme="majorBidi" w:hAnsiTheme="majorBidi" w:cstheme="majorBidi"/>
          <w:sz w:val="28"/>
          <w:szCs w:val="28"/>
        </w:rPr>
        <w:t>, 2,7 en milieu urbain et 3,5 en milieu rural.</w:t>
      </w:r>
      <w:r w:rsidR="00AE7DA8" w:rsidRPr="00E60DC3">
        <w:rPr>
          <w:rFonts w:asciiTheme="majorBidi" w:hAnsiTheme="majorBidi" w:cstheme="majorBidi"/>
          <w:sz w:val="28"/>
          <w:szCs w:val="28"/>
        </w:rPr>
        <w:t xml:space="preserve"> </w:t>
      </w:r>
      <w:r w:rsidR="00AB1904">
        <w:rPr>
          <w:rFonts w:asciiTheme="majorBidi" w:hAnsiTheme="majorBidi" w:cstheme="majorBidi"/>
          <w:sz w:val="28"/>
          <w:szCs w:val="28"/>
        </w:rPr>
        <w:t>Ce nombre moyen</w:t>
      </w:r>
      <w:r w:rsidR="002D6E92">
        <w:rPr>
          <w:rFonts w:asciiTheme="majorBidi" w:hAnsiTheme="majorBidi" w:cstheme="majorBidi"/>
          <w:sz w:val="28"/>
          <w:szCs w:val="28"/>
        </w:rPr>
        <w:t xml:space="preserve"> </w:t>
      </w:r>
      <w:r w:rsidR="00A30218" w:rsidRPr="00E60DC3">
        <w:rPr>
          <w:rFonts w:asciiTheme="majorBidi" w:hAnsiTheme="majorBidi" w:cstheme="majorBidi"/>
          <w:sz w:val="28"/>
          <w:szCs w:val="28"/>
        </w:rPr>
        <w:t xml:space="preserve">est de 3,2 parmi les 20% des ménages les moins aisés, </w:t>
      </w:r>
      <w:r w:rsidR="00315B60">
        <w:rPr>
          <w:rFonts w:asciiTheme="majorBidi" w:hAnsiTheme="majorBidi" w:cstheme="majorBidi"/>
          <w:sz w:val="28"/>
          <w:szCs w:val="28"/>
        </w:rPr>
        <w:t xml:space="preserve">de </w:t>
      </w:r>
      <w:r w:rsidR="00A30218" w:rsidRPr="00E60DC3">
        <w:rPr>
          <w:rFonts w:asciiTheme="majorBidi" w:hAnsiTheme="majorBidi" w:cstheme="majorBidi"/>
          <w:sz w:val="28"/>
          <w:szCs w:val="28"/>
        </w:rPr>
        <w:t xml:space="preserve">2,9 parmi les 60% des ménages intermédiaires et </w:t>
      </w:r>
      <w:r w:rsidR="00315B60">
        <w:rPr>
          <w:rFonts w:asciiTheme="majorBidi" w:hAnsiTheme="majorBidi" w:cstheme="majorBidi"/>
          <w:sz w:val="28"/>
          <w:szCs w:val="28"/>
        </w:rPr>
        <w:t xml:space="preserve">de </w:t>
      </w:r>
      <w:r w:rsidR="00A30218" w:rsidRPr="00E60DC3">
        <w:rPr>
          <w:rFonts w:asciiTheme="majorBidi" w:hAnsiTheme="majorBidi" w:cstheme="majorBidi"/>
          <w:sz w:val="28"/>
          <w:szCs w:val="28"/>
        </w:rPr>
        <w:t>2,7 parmi les 20% des ménages aisés.</w:t>
      </w:r>
    </w:p>
    <w:p w:rsidR="002124A5" w:rsidRDefault="002124A5" w:rsidP="00584C26">
      <w:pPr>
        <w:pStyle w:val="Corpsdetexte"/>
        <w:spacing w:after="0" w:line="288" w:lineRule="auto"/>
        <w:rPr>
          <w:rFonts w:asciiTheme="majorBidi" w:hAnsiTheme="majorBidi" w:cstheme="majorBidi"/>
          <w:sz w:val="28"/>
          <w:szCs w:val="28"/>
        </w:rPr>
      </w:pPr>
    </w:p>
    <w:p w:rsidR="00B67688" w:rsidRDefault="00584C26" w:rsidP="00C509C9">
      <w:pPr>
        <w:pStyle w:val="Corpsdetexte"/>
        <w:spacing w:after="0" w:line="288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De façon globale, p</w:t>
      </w:r>
      <w:r w:rsidR="00AA2440" w:rsidRPr="00E60DC3">
        <w:rPr>
          <w:rFonts w:asciiTheme="majorBidi" w:hAnsiTheme="majorBidi" w:cstheme="majorBidi"/>
          <w:sz w:val="28"/>
          <w:szCs w:val="28"/>
        </w:rPr>
        <w:t xml:space="preserve">rès de 96% des ménages disposent </w:t>
      </w:r>
      <w:r w:rsidR="00071756" w:rsidRPr="00E60DC3">
        <w:rPr>
          <w:rFonts w:asciiTheme="majorBidi" w:hAnsiTheme="majorBidi" w:cstheme="majorBidi"/>
          <w:sz w:val="28"/>
          <w:szCs w:val="28"/>
        </w:rPr>
        <w:t xml:space="preserve">d’au moins </w:t>
      </w:r>
      <w:r w:rsidR="00AA2440" w:rsidRPr="00E60DC3">
        <w:rPr>
          <w:rFonts w:asciiTheme="majorBidi" w:hAnsiTheme="majorBidi" w:cstheme="majorBidi"/>
          <w:sz w:val="28"/>
          <w:szCs w:val="28"/>
        </w:rPr>
        <w:t>deux sources</w:t>
      </w:r>
      <w:r w:rsidR="002F1F88" w:rsidRPr="00E60DC3">
        <w:rPr>
          <w:rFonts w:asciiTheme="majorBidi" w:hAnsiTheme="majorBidi" w:cstheme="majorBidi"/>
          <w:sz w:val="28"/>
          <w:szCs w:val="28"/>
        </w:rPr>
        <w:t xml:space="preserve"> de revenu (</w:t>
      </w:r>
      <w:r w:rsidR="00071756" w:rsidRPr="00E60DC3">
        <w:rPr>
          <w:rFonts w:asciiTheme="majorBidi" w:hAnsiTheme="majorBidi" w:cstheme="majorBidi"/>
          <w:sz w:val="28"/>
          <w:szCs w:val="28"/>
        </w:rPr>
        <w:t>99,8% en milieu rural et 94% en milieu urbain</w:t>
      </w:r>
      <w:r w:rsidR="002F1F88" w:rsidRPr="00E60DC3">
        <w:rPr>
          <w:rFonts w:asciiTheme="majorBidi" w:hAnsiTheme="majorBidi" w:cstheme="majorBidi"/>
          <w:sz w:val="28"/>
          <w:szCs w:val="28"/>
        </w:rPr>
        <w:t>)</w:t>
      </w:r>
      <w:r w:rsidR="00615960">
        <w:rPr>
          <w:rFonts w:asciiTheme="majorBidi" w:hAnsiTheme="majorBidi" w:cstheme="majorBidi"/>
          <w:sz w:val="28"/>
          <w:szCs w:val="28"/>
        </w:rPr>
        <w:t>,</w:t>
      </w:r>
      <w:r w:rsidR="00071756" w:rsidRPr="00E60DC3">
        <w:rPr>
          <w:rFonts w:asciiTheme="majorBidi" w:hAnsiTheme="majorBidi" w:cstheme="majorBidi"/>
          <w:sz w:val="28"/>
          <w:szCs w:val="28"/>
        </w:rPr>
        <w:t xml:space="preserve"> 41,7% disposent de trois sources</w:t>
      </w:r>
      <w:r w:rsidR="0054368E" w:rsidRPr="00E60DC3">
        <w:rPr>
          <w:rFonts w:asciiTheme="majorBidi" w:hAnsiTheme="majorBidi" w:cstheme="majorBidi"/>
          <w:sz w:val="28"/>
          <w:szCs w:val="28"/>
        </w:rPr>
        <w:t>, 29,6% de deux source et 20,2% de quatre sources</w:t>
      </w:r>
      <w:r w:rsidR="00071756" w:rsidRPr="00E60DC3">
        <w:rPr>
          <w:rFonts w:asciiTheme="majorBidi" w:hAnsiTheme="majorBidi" w:cstheme="majorBidi"/>
          <w:sz w:val="28"/>
          <w:szCs w:val="28"/>
        </w:rPr>
        <w:t>.</w:t>
      </w:r>
      <w:r w:rsidR="00AA2440" w:rsidRPr="00E60DC3">
        <w:rPr>
          <w:rFonts w:asciiTheme="majorBidi" w:hAnsiTheme="majorBidi" w:cstheme="majorBidi"/>
          <w:sz w:val="28"/>
          <w:szCs w:val="28"/>
        </w:rPr>
        <w:t xml:space="preserve"> </w:t>
      </w:r>
      <w:r w:rsidR="00B67688">
        <w:rPr>
          <w:rFonts w:asciiTheme="majorBidi" w:hAnsiTheme="majorBidi" w:cstheme="majorBidi"/>
          <w:sz w:val="28"/>
          <w:szCs w:val="28"/>
        </w:rPr>
        <w:t>La part des ménages disposant d</w:t>
      </w:r>
      <w:r w:rsidR="00C509C9">
        <w:rPr>
          <w:rFonts w:asciiTheme="majorBidi" w:hAnsiTheme="majorBidi" w:cstheme="majorBidi"/>
          <w:sz w:val="28"/>
          <w:szCs w:val="28"/>
        </w:rPr>
        <w:t xml:space="preserve">’au moins </w:t>
      </w:r>
      <w:r w:rsidR="00B67688">
        <w:rPr>
          <w:rFonts w:asciiTheme="majorBidi" w:hAnsiTheme="majorBidi" w:cstheme="majorBidi"/>
          <w:sz w:val="28"/>
          <w:szCs w:val="28"/>
        </w:rPr>
        <w:t xml:space="preserve">quatre sources de revenu est </w:t>
      </w:r>
      <w:r w:rsidR="00C509C9">
        <w:rPr>
          <w:rFonts w:asciiTheme="majorBidi" w:hAnsiTheme="majorBidi" w:cstheme="majorBidi"/>
          <w:sz w:val="28"/>
          <w:szCs w:val="28"/>
        </w:rPr>
        <w:t>plus élevée en milieu rural (4</w:t>
      </w:r>
      <w:r w:rsidR="00B67688">
        <w:rPr>
          <w:rFonts w:asciiTheme="majorBidi" w:hAnsiTheme="majorBidi" w:cstheme="majorBidi"/>
          <w:sz w:val="28"/>
          <w:szCs w:val="28"/>
        </w:rPr>
        <w:t>7</w:t>
      </w:r>
      <w:r w:rsidR="00C509C9">
        <w:rPr>
          <w:rFonts w:asciiTheme="majorBidi" w:hAnsiTheme="majorBidi" w:cstheme="majorBidi"/>
          <w:sz w:val="28"/>
          <w:szCs w:val="28"/>
        </w:rPr>
        <w:t>,1%) qu’en milieu urbain (14,2</w:t>
      </w:r>
      <w:r w:rsidR="00B67688">
        <w:rPr>
          <w:rFonts w:asciiTheme="majorBidi" w:hAnsiTheme="majorBidi" w:cstheme="majorBidi"/>
          <w:sz w:val="28"/>
          <w:szCs w:val="28"/>
        </w:rPr>
        <w:t>%).</w:t>
      </w:r>
    </w:p>
    <w:p w:rsidR="00F64EF0" w:rsidRPr="00E60DC3" w:rsidRDefault="00F64EF0" w:rsidP="00B67688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AE488B" w:rsidRPr="00E60DC3" w:rsidRDefault="00AE488B" w:rsidP="000F0BF5">
      <w:pPr>
        <w:spacing w:after="0" w:line="360" w:lineRule="auto"/>
        <w:ind w:left="1559" w:hanging="1559"/>
        <w:jc w:val="center"/>
        <w:rPr>
          <w:rFonts w:asciiTheme="majorBidi" w:hAnsiTheme="majorBidi" w:cstheme="majorBidi"/>
          <w:sz w:val="28"/>
          <w:szCs w:val="28"/>
        </w:rPr>
      </w:pPr>
      <w:r w:rsidRPr="00E60DC3">
        <w:rPr>
          <w:rFonts w:asciiTheme="majorBidi" w:hAnsiTheme="majorBidi" w:cstheme="majorBidi"/>
          <w:b/>
          <w:bCs/>
          <w:sz w:val="28"/>
          <w:szCs w:val="28"/>
        </w:rPr>
        <w:t xml:space="preserve">Proportion des ménages selon le nombre de sources de revenu </w:t>
      </w:r>
      <w:r w:rsidR="00F64EF0" w:rsidRPr="00E60DC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tbl>
      <w:tblPr>
        <w:tblW w:w="6004" w:type="dxa"/>
        <w:tblInd w:w="1863" w:type="dxa"/>
        <w:tblCellMar>
          <w:left w:w="70" w:type="dxa"/>
          <w:right w:w="70" w:type="dxa"/>
        </w:tblCellMar>
        <w:tblLook w:val="04A0"/>
      </w:tblPr>
      <w:tblGrid>
        <w:gridCol w:w="2450"/>
        <w:gridCol w:w="1273"/>
        <w:gridCol w:w="864"/>
        <w:gridCol w:w="1417"/>
      </w:tblGrid>
      <w:tr w:rsidR="008F08D9" w:rsidRPr="00E60DC3" w:rsidTr="008F08D9">
        <w:trPr>
          <w:trHeight w:val="33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D9" w:rsidRPr="00E60DC3" w:rsidRDefault="008F08D9" w:rsidP="008F08D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E60DC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 </w:t>
            </w:r>
            <w:r w:rsidRPr="004224C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Nombre de sources de revenu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D9" w:rsidRPr="00E60DC3" w:rsidRDefault="008F08D9" w:rsidP="008F08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60DC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Urbain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D9" w:rsidRPr="00E60DC3" w:rsidRDefault="008F08D9" w:rsidP="008F08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60DC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Rural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D9" w:rsidRPr="00E60DC3" w:rsidRDefault="008F08D9" w:rsidP="008F08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60DC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Ensemble</w:t>
            </w:r>
          </w:p>
        </w:tc>
      </w:tr>
      <w:tr w:rsidR="008F08D9" w:rsidRPr="00E60DC3" w:rsidTr="008F08D9">
        <w:trPr>
          <w:trHeight w:val="3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D9" w:rsidRPr="00E60DC3" w:rsidRDefault="008F08D9" w:rsidP="00B67688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60DC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Une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D9" w:rsidRPr="00E60DC3" w:rsidRDefault="008F08D9" w:rsidP="008F08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60DC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6</w:t>
            </w:r>
            <w:r w:rsidR="00561494" w:rsidRPr="00E60DC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D9" w:rsidRPr="00E60DC3" w:rsidRDefault="008F08D9" w:rsidP="008F08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60DC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0,2</w:t>
            </w:r>
            <w:r w:rsidR="00561494" w:rsidRPr="00E60DC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D9" w:rsidRPr="00E60DC3" w:rsidRDefault="008F08D9" w:rsidP="008F08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60DC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4,2</w:t>
            </w:r>
            <w:r w:rsidR="00561494" w:rsidRPr="00E60DC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%</w:t>
            </w:r>
          </w:p>
        </w:tc>
      </w:tr>
      <w:tr w:rsidR="008F08D9" w:rsidRPr="00E60DC3" w:rsidTr="008F08D9">
        <w:trPr>
          <w:trHeight w:val="3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D9" w:rsidRPr="00E60DC3" w:rsidRDefault="008F08D9" w:rsidP="00B67688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60DC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Deux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D9" w:rsidRPr="00E60DC3" w:rsidRDefault="008F08D9" w:rsidP="008F08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60DC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38</w:t>
            </w:r>
            <w:r w:rsidR="00561494" w:rsidRPr="00E60DC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D9" w:rsidRPr="00E60DC3" w:rsidRDefault="008F08D9" w:rsidP="008F08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60DC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11,3</w:t>
            </w:r>
            <w:r w:rsidR="00561494" w:rsidRPr="00E60DC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D9" w:rsidRPr="00E60DC3" w:rsidRDefault="008F08D9" w:rsidP="008F08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60DC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29,6</w:t>
            </w:r>
            <w:r w:rsidR="00561494" w:rsidRPr="00E60DC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%</w:t>
            </w:r>
          </w:p>
        </w:tc>
      </w:tr>
      <w:tr w:rsidR="008F08D9" w:rsidRPr="00E60DC3" w:rsidTr="008F08D9">
        <w:trPr>
          <w:trHeight w:val="3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D9" w:rsidRPr="00E60DC3" w:rsidRDefault="008F08D9" w:rsidP="00B67688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60DC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Trois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D9" w:rsidRPr="00E60DC3" w:rsidRDefault="008F08D9" w:rsidP="008F08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60DC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41,8</w:t>
            </w:r>
            <w:r w:rsidR="00561494" w:rsidRPr="00E60DC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D9" w:rsidRPr="00E60DC3" w:rsidRDefault="008F08D9" w:rsidP="008F08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60DC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41,4</w:t>
            </w:r>
            <w:r w:rsidR="00561494" w:rsidRPr="00E60DC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D9" w:rsidRPr="00E60DC3" w:rsidRDefault="008F08D9" w:rsidP="008F08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60DC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41,7</w:t>
            </w:r>
            <w:r w:rsidR="00561494" w:rsidRPr="00E60DC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%</w:t>
            </w:r>
          </w:p>
        </w:tc>
      </w:tr>
      <w:tr w:rsidR="008F08D9" w:rsidRPr="00E60DC3" w:rsidTr="008F08D9">
        <w:trPr>
          <w:trHeight w:val="3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D9" w:rsidRPr="00E60DC3" w:rsidRDefault="008F08D9" w:rsidP="00B67688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60DC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Quatre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D9" w:rsidRPr="00E60DC3" w:rsidRDefault="003E5926" w:rsidP="008F08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60DC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12,6</w:t>
            </w:r>
            <w:r w:rsidR="00561494" w:rsidRPr="00E60DC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D9" w:rsidRPr="00E60DC3" w:rsidRDefault="008F08D9" w:rsidP="008F08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60DC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36,7</w:t>
            </w:r>
            <w:r w:rsidR="00561494" w:rsidRPr="00E60DC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D9" w:rsidRPr="00E60DC3" w:rsidRDefault="008F08D9" w:rsidP="008F08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60DC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20,2</w:t>
            </w:r>
            <w:r w:rsidR="00561494" w:rsidRPr="00E60DC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%</w:t>
            </w:r>
          </w:p>
        </w:tc>
      </w:tr>
      <w:tr w:rsidR="008F08D9" w:rsidRPr="00E60DC3" w:rsidTr="008F08D9">
        <w:trPr>
          <w:trHeight w:val="3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D9" w:rsidRPr="00E60DC3" w:rsidRDefault="008F08D9" w:rsidP="00B67688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60DC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Cinq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D9" w:rsidRPr="00E60DC3" w:rsidRDefault="003E5926" w:rsidP="008F08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60DC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1,5</w:t>
            </w:r>
            <w:r w:rsidR="00561494" w:rsidRPr="00E60DC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D9" w:rsidRPr="00E60DC3" w:rsidRDefault="008F08D9" w:rsidP="008F08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60DC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9,8</w:t>
            </w:r>
            <w:r w:rsidR="00561494" w:rsidRPr="00E60DC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D9" w:rsidRPr="00E60DC3" w:rsidRDefault="008F08D9" w:rsidP="008F08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60DC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4,1</w:t>
            </w:r>
            <w:r w:rsidR="00561494" w:rsidRPr="00E60DC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%</w:t>
            </w:r>
          </w:p>
        </w:tc>
      </w:tr>
      <w:tr w:rsidR="008F08D9" w:rsidRPr="00E60DC3" w:rsidTr="008F08D9">
        <w:trPr>
          <w:trHeight w:val="3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D9" w:rsidRPr="00E60DC3" w:rsidRDefault="008F08D9" w:rsidP="00B67688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60DC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Six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D9" w:rsidRPr="00E60DC3" w:rsidRDefault="008F08D9" w:rsidP="008F08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60DC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0,1</w:t>
            </w:r>
            <w:r w:rsidR="00561494" w:rsidRPr="00E60DC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D9" w:rsidRPr="00E60DC3" w:rsidRDefault="008F08D9" w:rsidP="008F08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60DC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0,6</w:t>
            </w:r>
            <w:r w:rsidR="00561494" w:rsidRPr="00E60DC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D9" w:rsidRPr="00E60DC3" w:rsidRDefault="008F08D9" w:rsidP="008F08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60DC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0,2</w:t>
            </w:r>
            <w:r w:rsidR="00561494" w:rsidRPr="00E60DC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%</w:t>
            </w:r>
          </w:p>
        </w:tc>
      </w:tr>
      <w:tr w:rsidR="003E5926" w:rsidRPr="00E60DC3" w:rsidTr="008F08D9">
        <w:trPr>
          <w:trHeight w:val="3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926" w:rsidRPr="00E60DC3" w:rsidRDefault="003E5926" w:rsidP="008F08D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60DC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Total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926" w:rsidRPr="00E60DC3" w:rsidRDefault="00561494" w:rsidP="008F08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60DC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926" w:rsidRPr="00E60DC3" w:rsidRDefault="00561494" w:rsidP="008F08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60DC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926" w:rsidRPr="00E60DC3" w:rsidRDefault="00561494" w:rsidP="008F08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60DC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100%</w:t>
            </w:r>
          </w:p>
        </w:tc>
      </w:tr>
      <w:tr w:rsidR="008F08D9" w:rsidRPr="00E60DC3" w:rsidTr="008F08D9">
        <w:trPr>
          <w:trHeight w:val="3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D9" w:rsidRPr="00E60DC3" w:rsidRDefault="008F08D9" w:rsidP="008F08D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224C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Nombre moyen de sources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D9" w:rsidRPr="00E60DC3" w:rsidRDefault="008F08D9" w:rsidP="008F08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60DC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D9" w:rsidRPr="00E60DC3" w:rsidRDefault="008F08D9" w:rsidP="008F08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60DC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D9" w:rsidRPr="00E60DC3" w:rsidRDefault="008F08D9" w:rsidP="008F08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60DC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2,9</w:t>
            </w:r>
          </w:p>
        </w:tc>
      </w:tr>
    </w:tbl>
    <w:p w:rsidR="00AE7DA8" w:rsidRPr="00757CAC" w:rsidRDefault="00AE7DA8" w:rsidP="00AE7DA8">
      <w:pPr>
        <w:spacing w:after="0" w:line="240" w:lineRule="auto"/>
        <w:rPr>
          <w:rFonts w:asciiTheme="majorBidi" w:hAnsiTheme="majorBidi" w:cstheme="majorBidi"/>
        </w:rPr>
      </w:pPr>
      <w:r w:rsidRPr="00757CAC">
        <w:rPr>
          <w:rFonts w:asciiTheme="majorBidi" w:hAnsiTheme="majorBidi" w:cstheme="majorBidi"/>
        </w:rPr>
        <w:tab/>
      </w:r>
      <w:r w:rsidRPr="00757CAC">
        <w:rPr>
          <w:rFonts w:asciiTheme="majorBidi" w:hAnsiTheme="majorBidi" w:cstheme="majorBidi"/>
        </w:rPr>
        <w:tab/>
      </w:r>
      <w:r w:rsidRPr="00757CAC">
        <w:rPr>
          <w:rFonts w:asciiTheme="majorBidi" w:hAnsiTheme="majorBidi" w:cstheme="majorBidi"/>
        </w:rPr>
        <w:tab/>
        <w:t>Source : HCP, ENSR 2019</w:t>
      </w:r>
    </w:p>
    <w:p w:rsidR="00791065" w:rsidRPr="00E60DC3" w:rsidRDefault="00791065" w:rsidP="0048197A">
      <w:pPr>
        <w:pStyle w:val="Corpsdetexte"/>
        <w:spacing w:after="0" w:line="288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30722F" w:rsidRDefault="0030722F" w:rsidP="00D11E26">
      <w:pPr>
        <w:pStyle w:val="Corpsdetexte"/>
        <w:spacing w:after="0" w:line="288" w:lineRule="auto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</w:p>
    <w:p w:rsidR="0048197A" w:rsidRPr="00D11E26" w:rsidRDefault="00AE7DEC" w:rsidP="00D11E26">
      <w:pPr>
        <w:pStyle w:val="Corpsdetexte"/>
        <w:spacing w:after="0" w:line="288" w:lineRule="auto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D11E26">
        <w:rPr>
          <w:rFonts w:asciiTheme="majorBidi" w:hAnsiTheme="majorBidi" w:cstheme="majorBidi"/>
          <w:b/>
          <w:bCs/>
          <w:i/>
          <w:iCs/>
          <w:sz w:val="28"/>
          <w:szCs w:val="28"/>
        </w:rPr>
        <w:t>Les salaires, grand contributeur aux inégalités sociales au Maroc</w:t>
      </w:r>
    </w:p>
    <w:p w:rsidR="00D11E26" w:rsidRDefault="00D11E26" w:rsidP="00D11E26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F37D31" w:rsidRDefault="00B67688" w:rsidP="00D11E26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</w:t>
      </w:r>
      <w:r w:rsidR="0048197A" w:rsidRPr="00460C6A">
        <w:rPr>
          <w:rFonts w:asciiTheme="majorBidi" w:hAnsiTheme="majorBidi" w:cstheme="majorBidi"/>
          <w:sz w:val="28"/>
          <w:szCs w:val="28"/>
        </w:rPr>
        <w:t>e revenu salarial des 20% des ménages les plus aisés est 14</w:t>
      </w:r>
      <w:r w:rsidR="00BE1413" w:rsidRPr="00460C6A">
        <w:rPr>
          <w:rFonts w:asciiTheme="majorBidi" w:hAnsiTheme="majorBidi" w:cstheme="majorBidi"/>
          <w:sz w:val="28"/>
          <w:szCs w:val="28"/>
        </w:rPr>
        <w:t>,1</w:t>
      </w:r>
      <w:r w:rsidR="0048197A" w:rsidRPr="00460C6A">
        <w:rPr>
          <w:rFonts w:asciiTheme="majorBidi" w:hAnsiTheme="majorBidi" w:cstheme="majorBidi"/>
          <w:sz w:val="28"/>
          <w:szCs w:val="28"/>
        </w:rPr>
        <w:t xml:space="preserve"> fois celui des 20% des ménages les moins aisés. </w:t>
      </w:r>
      <w:r w:rsidR="00F37D31">
        <w:rPr>
          <w:rFonts w:asciiTheme="majorBidi" w:hAnsiTheme="majorBidi" w:cstheme="majorBidi"/>
          <w:sz w:val="28"/>
          <w:szCs w:val="28"/>
        </w:rPr>
        <w:t xml:space="preserve">Cet écart est de </w:t>
      </w:r>
      <w:r w:rsidR="00F37D31" w:rsidRPr="00460C6A">
        <w:rPr>
          <w:rFonts w:asciiTheme="majorBidi" w:hAnsiTheme="majorBidi" w:cstheme="majorBidi"/>
          <w:sz w:val="28"/>
          <w:szCs w:val="28"/>
        </w:rPr>
        <w:t>25</w:t>
      </w:r>
      <w:r w:rsidR="00F37D31">
        <w:rPr>
          <w:rFonts w:asciiTheme="majorBidi" w:hAnsiTheme="majorBidi" w:cstheme="majorBidi"/>
          <w:sz w:val="28"/>
          <w:szCs w:val="28"/>
        </w:rPr>
        <w:t>,9 fois entre l</w:t>
      </w:r>
      <w:r w:rsidR="00F37D31" w:rsidRPr="00460C6A">
        <w:rPr>
          <w:rFonts w:asciiTheme="majorBidi" w:hAnsiTheme="majorBidi" w:cstheme="majorBidi"/>
          <w:sz w:val="28"/>
          <w:szCs w:val="28"/>
        </w:rPr>
        <w:t>es</w:t>
      </w:r>
      <w:r w:rsidR="00F37D31">
        <w:rPr>
          <w:rFonts w:asciiTheme="majorBidi" w:hAnsiTheme="majorBidi" w:cstheme="majorBidi"/>
          <w:sz w:val="28"/>
          <w:szCs w:val="28"/>
        </w:rPr>
        <w:t xml:space="preserve"> 10% </w:t>
      </w:r>
      <w:r w:rsidR="00615960">
        <w:rPr>
          <w:rFonts w:asciiTheme="majorBidi" w:hAnsiTheme="majorBidi" w:cstheme="majorBidi"/>
          <w:sz w:val="28"/>
          <w:szCs w:val="28"/>
        </w:rPr>
        <w:t xml:space="preserve">des ménages </w:t>
      </w:r>
      <w:r w:rsidR="00F37D31">
        <w:rPr>
          <w:rFonts w:asciiTheme="majorBidi" w:hAnsiTheme="majorBidi" w:cstheme="majorBidi"/>
          <w:sz w:val="28"/>
          <w:szCs w:val="28"/>
        </w:rPr>
        <w:t xml:space="preserve">les plus aisés et les 10% les moins aisés. Dans ces conditions, les </w:t>
      </w:r>
      <w:r w:rsidR="00D11E26">
        <w:rPr>
          <w:rFonts w:asciiTheme="majorBidi" w:hAnsiTheme="majorBidi" w:cstheme="majorBidi"/>
          <w:sz w:val="28"/>
          <w:szCs w:val="28"/>
        </w:rPr>
        <w:t xml:space="preserve">inégalités </w:t>
      </w:r>
      <w:r w:rsidR="00F37D31">
        <w:rPr>
          <w:rFonts w:asciiTheme="majorBidi" w:hAnsiTheme="majorBidi" w:cstheme="majorBidi"/>
          <w:sz w:val="28"/>
          <w:szCs w:val="28"/>
        </w:rPr>
        <w:t>sala</w:t>
      </w:r>
      <w:r w:rsidR="00D11E26">
        <w:rPr>
          <w:rFonts w:asciiTheme="majorBidi" w:hAnsiTheme="majorBidi" w:cstheme="majorBidi"/>
          <w:sz w:val="28"/>
          <w:szCs w:val="28"/>
        </w:rPr>
        <w:t xml:space="preserve">riales </w:t>
      </w:r>
      <w:r w:rsidR="00F37D31">
        <w:rPr>
          <w:rFonts w:asciiTheme="majorBidi" w:hAnsiTheme="majorBidi" w:cstheme="majorBidi"/>
          <w:sz w:val="28"/>
          <w:szCs w:val="28"/>
        </w:rPr>
        <w:t>contribuent pour 40% aux inégalités du revenu global</w:t>
      </w:r>
      <w:r w:rsidR="00223496">
        <w:rPr>
          <w:rFonts w:asciiTheme="majorBidi" w:hAnsiTheme="majorBidi" w:cstheme="majorBidi"/>
          <w:sz w:val="28"/>
          <w:szCs w:val="28"/>
        </w:rPr>
        <w:t xml:space="preserve"> mesurées par l’indice de Gini</w:t>
      </w:r>
      <w:r w:rsidR="00F37D31">
        <w:rPr>
          <w:rFonts w:asciiTheme="majorBidi" w:hAnsiTheme="majorBidi" w:cstheme="majorBidi"/>
          <w:sz w:val="28"/>
          <w:szCs w:val="28"/>
        </w:rPr>
        <w:t xml:space="preserve">. </w:t>
      </w:r>
    </w:p>
    <w:p w:rsidR="00D11E26" w:rsidRDefault="00D11E26" w:rsidP="00D11E26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AB0C7A" w:rsidRDefault="00AB0C7A" w:rsidP="00315B60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</w:t>
      </w:r>
      <w:r w:rsidR="00315B60">
        <w:rPr>
          <w:rFonts w:asciiTheme="majorBidi" w:hAnsiTheme="majorBidi" w:cstheme="majorBidi"/>
          <w:sz w:val="28"/>
          <w:szCs w:val="28"/>
        </w:rPr>
        <w:t xml:space="preserve">e sont </w:t>
      </w:r>
      <w:r>
        <w:rPr>
          <w:rFonts w:asciiTheme="majorBidi" w:hAnsiTheme="majorBidi" w:cstheme="majorBidi"/>
          <w:sz w:val="28"/>
          <w:szCs w:val="28"/>
        </w:rPr>
        <w:t>cependant les revenus provenant de l’emploi indépendant</w:t>
      </w:r>
      <w:r w:rsidR="0030722F">
        <w:rPr>
          <w:rFonts w:asciiTheme="majorBidi" w:hAnsiTheme="majorBidi" w:cstheme="majorBidi"/>
          <w:sz w:val="28"/>
          <w:szCs w:val="28"/>
        </w:rPr>
        <w:t xml:space="preserve"> non agricole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315B60">
        <w:rPr>
          <w:rFonts w:asciiTheme="majorBidi" w:hAnsiTheme="majorBidi" w:cstheme="majorBidi"/>
          <w:sz w:val="28"/>
          <w:szCs w:val="28"/>
        </w:rPr>
        <w:t xml:space="preserve">qui présentent </w:t>
      </w:r>
      <w:r>
        <w:rPr>
          <w:rFonts w:asciiTheme="majorBidi" w:hAnsiTheme="majorBidi" w:cstheme="majorBidi"/>
          <w:sz w:val="28"/>
          <w:szCs w:val="28"/>
        </w:rPr>
        <w:t xml:space="preserve">les écarts </w:t>
      </w:r>
      <w:r w:rsidR="00315B60">
        <w:rPr>
          <w:rFonts w:asciiTheme="majorBidi" w:hAnsiTheme="majorBidi" w:cstheme="majorBidi"/>
          <w:sz w:val="28"/>
          <w:szCs w:val="28"/>
        </w:rPr>
        <w:t xml:space="preserve">les </w:t>
      </w:r>
      <w:r>
        <w:rPr>
          <w:rFonts w:asciiTheme="majorBidi" w:hAnsiTheme="majorBidi" w:cstheme="majorBidi"/>
          <w:sz w:val="28"/>
          <w:szCs w:val="28"/>
        </w:rPr>
        <w:t xml:space="preserve">plus prononcés. Les </w:t>
      </w:r>
      <w:r w:rsidRPr="00460C6A">
        <w:rPr>
          <w:rFonts w:asciiTheme="majorBidi" w:hAnsiTheme="majorBidi" w:cstheme="majorBidi"/>
          <w:sz w:val="28"/>
          <w:szCs w:val="28"/>
        </w:rPr>
        <w:t>20% des ménages les plus aisés</w:t>
      </w:r>
      <w:r>
        <w:rPr>
          <w:rFonts w:asciiTheme="majorBidi" w:hAnsiTheme="majorBidi" w:cstheme="majorBidi"/>
          <w:sz w:val="28"/>
          <w:szCs w:val="28"/>
        </w:rPr>
        <w:t xml:space="preserve"> détiennent 16,5 fois le revenu des 20% </w:t>
      </w:r>
      <w:r w:rsidRPr="00460C6A">
        <w:rPr>
          <w:rFonts w:asciiTheme="majorBidi" w:hAnsiTheme="majorBidi" w:cstheme="majorBidi"/>
          <w:sz w:val="28"/>
          <w:szCs w:val="28"/>
        </w:rPr>
        <w:t>des ménages les moins aisés.</w:t>
      </w:r>
      <w:r>
        <w:rPr>
          <w:rFonts w:asciiTheme="majorBidi" w:hAnsiTheme="majorBidi" w:cstheme="majorBidi"/>
          <w:sz w:val="28"/>
          <w:szCs w:val="28"/>
        </w:rPr>
        <w:t xml:space="preserve"> Cet écart est de 38,4 fois entre les 10% d</w:t>
      </w:r>
      <w:r w:rsidRPr="00460C6A">
        <w:rPr>
          <w:rFonts w:asciiTheme="majorBidi" w:hAnsiTheme="majorBidi" w:cstheme="majorBidi"/>
          <w:sz w:val="28"/>
          <w:szCs w:val="28"/>
        </w:rPr>
        <w:t>es ménages les plus aisés</w:t>
      </w:r>
      <w:r>
        <w:rPr>
          <w:rFonts w:asciiTheme="majorBidi" w:hAnsiTheme="majorBidi" w:cstheme="majorBidi"/>
          <w:sz w:val="28"/>
          <w:szCs w:val="28"/>
        </w:rPr>
        <w:t xml:space="preserve"> et les 10% </w:t>
      </w:r>
      <w:r w:rsidRPr="00460C6A">
        <w:rPr>
          <w:rFonts w:asciiTheme="majorBidi" w:hAnsiTheme="majorBidi" w:cstheme="majorBidi"/>
          <w:sz w:val="28"/>
          <w:szCs w:val="28"/>
        </w:rPr>
        <w:t>des ménages les moins aisés.</w:t>
      </w:r>
      <w:r>
        <w:rPr>
          <w:rFonts w:asciiTheme="majorBidi" w:hAnsiTheme="majorBidi" w:cstheme="majorBidi"/>
          <w:sz w:val="28"/>
          <w:szCs w:val="28"/>
        </w:rPr>
        <w:t xml:space="preserve"> Ainsi, les inégalités inhérentes à cette source de revenu </w:t>
      </w:r>
      <w:r>
        <w:rPr>
          <w:rFonts w:asciiTheme="majorBidi" w:hAnsiTheme="majorBidi" w:cstheme="majorBidi"/>
          <w:sz w:val="28"/>
          <w:szCs w:val="28"/>
        </w:rPr>
        <w:lastRenderedPageBreak/>
        <w:t>expliquent 20,2% des inégalités du revenu global des ménages, 21,7% en milieu urbain et 14,2% en milieu rural.</w:t>
      </w:r>
    </w:p>
    <w:p w:rsidR="00AB0C7A" w:rsidRDefault="00AB0C7A" w:rsidP="00D11E26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BD1A80" w:rsidRPr="00E60DC3" w:rsidRDefault="00BD1A80" w:rsidP="00BD1A8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60DC3">
        <w:rPr>
          <w:rFonts w:asciiTheme="majorBidi" w:hAnsiTheme="majorBidi" w:cstheme="majorBidi"/>
          <w:b/>
          <w:bCs/>
          <w:sz w:val="28"/>
          <w:szCs w:val="28"/>
        </w:rPr>
        <w:t xml:space="preserve">Ecarts de revenu inter-quintiles et inter-déciles par source </w:t>
      </w:r>
    </w:p>
    <w:tbl>
      <w:tblPr>
        <w:tblW w:w="9231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2144"/>
        <w:gridCol w:w="800"/>
        <w:gridCol w:w="1326"/>
        <w:gridCol w:w="778"/>
        <w:gridCol w:w="992"/>
        <w:gridCol w:w="1417"/>
        <w:gridCol w:w="993"/>
        <w:gridCol w:w="850"/>
      </w:tblGrid>
      <w:tr w:rsidR="00D11E26" w:rsidRPr="00E60DC3" w:rsidTr="00AB0C7A">
        <w:trPr>
          <w:trHeight w:val="1137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A80" w:rsidRPr="008F4A2E" w:rsidRDefault="00BD1A80" w:rsidP="00787AF7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8F4A2E">
              <w:rPr>
                <w:rFonts w:asciiTheme="majorBidi" w:hAnsiTheme="majorBidi" w:cstheme="majorBidi"/>
                <w:b/>
                <w:bCs/>
                <w:color w:val="000000"/>
              </w:rPr>
              <w:t>Source de revenu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A80" w:rsidRPr="008F4A2E" w:rsidRDefault="00BD1A80" w:rsidP="00787AF7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8F4A2E">
              <w:rPr>
                <w:rFonts w:asciiTheme="majorBidi" w:hAnsiTheme="majorBidi" w:cstheme="majorBidi"/>
                <w:b/>
                <w:bCs/>
                <w:color w:val="000000"/>
              </w:rPr>
              <w:t>Salaire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A80" w:rsidRPr="008F4A2E" w:rsidRDefault="00BD1A80" w:rsidP="00D11E26">
            <w:pPr>
              <w:ind w:right="-126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8F4A2E">
              <w:rPr>
                <w:rFonts w:asciiTheme="majorBidi" w:hAnsiTheme="majorBidi" w:cstheme="majorBidi"/>
                <w:b/>
                <w:bCs/>
                <w:color w:val="000000"/>
              </w:rPr>
              <w:t>Revenu de l’emploi indépendant</w:t>
            </w:r>
            <w:r w:rsidR="00AB0C7A">
              <w:rPr>
                <w:rFonts w:asciiTheme="majorBidi" w:hAnsiTheme="majorBidi" w:cstheme="majorBidi"/>
                <w:b/>
                <w:bCs/>
                <w:color w:val="000000"/>
              </w:rPr>
              <w:t xml:space="preserve"> non agricole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A80" w:rsidRPr="008F4A2E" w:rsidRDefault="00BD1A80" w:rsidP="00D11E26">
            <w:pPr>
              <w:ind w:right="-108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8F4A2E">
              <w:rPr>
                <w:rFonts w:asciiTheme="majorBidi" w:hAnsiTheme="majorBidi" w:cstheme="majorBidi"/>
                <w:b/>
                <w:bCs/>
                <w:color w:val="000000"/>
              </w:rPr>
              <w:t>Revenu agricole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A80" w:rsidRPr="008F4A2E" w:rsidRDefault="00BD1A80" w:rsidP="00D11E26">
            <w:pPr>
              <w:ind w:left="-32" w:right="-89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8F4A2E">
              <w:rPr>
                <w:rFonts w:asciiTheme="majorBidi" w:hAnsiTheme="majorBidi" w:cstheme="majorBidi"/>
                <w:b/>
                <w:bCs/>
                <w:color w:val="000000"/>
              </w:rPr>
              <w:t>Transfert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A80" w:rsidRPr="008F4A2E" w:rsidRDefault="00BD1A80" w:rsidP="00787AF7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8F4A2E">
              <w:rPr>
                <w:rFonts w:asciiTheme="majorBidi" w:hAnsiTheme="majorBidi" w:cstheme="majorBidi"/>
                <w:b/>
                <w:bCs/>
              </w:rPr>
              <w:t>Revenu des activités de location et de patrimoine 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A80" w:rsidRPr="008F4A2E" w:rsidRDefault="00BD1A80" w:rsidP="00787AF7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8F4A2E">
              <w:rPr>
                <w:rFonts w:asciiTheme="majorBidi" w:hAnsiTheme="majorBidi" w:cstheme="majorBidi"/>
                <w:b/>
                <w:bCs/>
                <w:color w:val="000000"/>
              </w:rPr>
              <w:t>Revenus divers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A80" w:rsidRPr="008F4A2E" w:rsidRDefault="00BD1A80" w:rsidP="00D11E26">
            <w:pPr>
              <w:ind w:right="-30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8F4A2E">
              <w:rPr>
                <w:rFonts w:asciiTheme="majorBidi" w:hAnsiTheme="majorBidi" w:cstheme="majorBidi"/>
                <w:b/>
                <w:bCs/>
                <w:color w:val="000000"/>
              </w:rPr>
              <w:t>Revenu total</w:t>
            </w:r>
          </w:p>
        </w:tc>
      </w:tr>
      <w:tr w:rsidR="00D11E26" w:rsidRPr="00E60DC3" w:rsidTr="00AB0C7A">
        <w:trPr>
          <w:trHeight w:val="759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A80" w:rsidRPr="008F4A2E" w:rsidRDefault="00BD1A80" w:rsidP="00D11E26">
            <w:pPr>
              <w:ind w:left="-53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D11E2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Rapport inter-quintile</w:t>
            </w:r>
            <w:r w:rsidRPr="00D11E26">
              <w:rPr>
                <w:rStyle w:val="Appelnotedebasdep"/>
                <w:rFonts w:asciiTheme="majorBidi" w:hAnsiTheme="majorBidi" w:cstheme="majorBidi"/>
                <w:sz w:val="20"/>
                <w:szCs w:val="20"/>
              </w:rPr>
              <w:footnoteReference w:id="2"/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A80" w:rsidRPr="005364D4" w:rsidRDefault="00BD1A80" w:rsidP="00787AF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5364D4">
              <w:rPr>
                <w:rFonts w:asciiTheme="majorBidi" w:hAnsiTheme="majorBidi" w:cstheme="majorBidi"/>
                <w:b/>
                <w:bCs/>
                <w:color w:val="000000"/>
              </w:rPr>
              <w:t>14,1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A80" w:rsidRPr="005364D4" w:rsidRDefault="00BD1A80" w:rsidP="00787AF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5364D4">
              <w:rPr>
                <w:rFonts w:asciiTheme="majorBidi" w:hAnsiTheme="majorBidi" w:cstheme="majorBidi"/>
                <w:b/>
                <w:bCs/>
                <w:color w:val="000000"/>
              </w:rPr>
              <w:t>16,5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A80" w:rsidRPr="005364D4" w:rsidRDefault="00BD1A80" w:rsidP="00787AF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5364D4">
              <w:rPr>
                <w:rFonts w:asciiTheme="majorBidi" w:hAnsiTheme="majorBidi" w:cstheme="majorBidi"/>
                <w:b/>
                <w:bCs/>
                <w:color w:val="000000"/>
              </w:rPr>
              <w:t>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A80" w:rsidRPr="005364D4" w:rsidRDefault="00BD1A80" w:rsidP="00787AF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5364D4">
              <w:rPr>
                <w:rFonts w:asciiTheme="majorBidi" w:hAnsiTheme="majorBidi" w:cstheme="majorBidi"/>
                <w:b/>
                <w:bCs/>
                <w:color w:val="000000"/>
              </w:rPr>
              <w:t>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A80" w:rsidRPr="005364D4" w:rsidRDefault="00BD1A80" w:rsidP="00787AF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5364D4">
              <w:rPr>
                <w:rFonts w:asciiTheme="majorBidi" w:hAnsiTheme="majorBidi" w:cstheme="majorBidi"/>
                <w:b/>
                <w:bCs/>
                <w:color w:val="000000"/>
              </w:rPr>
              <w:t>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A80" w:rsidRPr="005364D4" w:rsidRDefault="00BD1A80" w:rsidP="00787AF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5364D4">
              <w:rPr>
                <w:rFonts w:asciiTheme="majorBidi" w:hAnsiTheme="majorBidi" w:cstheme="majorBidi"/>
                <w:b/>
                <w:bCs/>
                <w:color w:val="000000"/>
              </w:rPr>
              <w:t>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A80" w:rsidRPr="005364D4" w:rsidRDefault="00BD1A80" w:rsidP="00787AF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5364D4">
              <w:rPr>
                <w:rFonts w:asciiTheme="majorBidi" w:hAnsiTheme="majorBidi" w:cstheme="majorBidi"/>
                <w:b/>
                <w:bCs/>
                <w:color w:val="000000"/>
              </w:rPr>
              <w:t>9,6</w:t>
            </w:r>
          </w:p>
        </w:tc>
      </w:tr>
      <w:tr w:rsidR="00D11E26" w:rsidRPr="00E60DC3" w:rsidTr="00AB0C7A">
        <w:trPr>
          <w:trHeight w:val="300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A80" w:rsidRPr="008F4A2E" w:rsidRDefault="00BD1A80" w:rsidP="00787AF7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D11E2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Rapport inter-décile</w:t>
            </w:r>
            <w:r w:rsidRPr="00D11E26">
              <w:rPr>
                <w:rStyle w:val="Appelnotedebasdep"/>
                <w:rFonts w:asciiTheme="majorBidi" w:hAnsiTheme="majorBidi" w:cstheme="majorBidi"/>
                <w:sz w:val="20"/>
                <w:szCs w:val="20"/>
              </w:rPr>
              <w:footnoteReference w:id="3"/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A80" w:rsidRPr="005364D4" w:rsidRDefault="00BD1A80" w:rsidP="00787AF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5364D4">
              <w:rPr>
                <w:rFonts w:asciiTheme="majorBidi" w:hAnsiTheme="majorBidi" w:cstheme="majorBidi"/>
                <w:b/>
                <w:bCs/>
                <w:color w:val="000000"/>
              </w:rPr>
              <w:t>25,9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A80" w:rsidRPr="005364D4" w:rsidRDefault="00BD1A80" w:rsidP="00787AF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5364D4">
              <w:rPr>
                <w:rFonts w:asciiTheme="majorBidi" w:hAnsiTheme="majorBidi" w:cstheme="majorBidi"/>
                <w:b/>
                <w:bCs/>
                <w:color w:val="000000"/>
              </w:rPr>
              <w:t>38,4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A80" w:rsidRPr="005364D4" w:rsidRDefault="00BD1A80" w:rsidP="00787AF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5364D4">
              <w:rPr>
                <w:rFonts w:asciiTheme="majorBidi" w:hAnsiTheme="majorBidi" w:cstheme="majorBidi"/>
                <w:b/>
                <w:bCs/>
                <w:color w:val="000000"/>
              </w:rPr>
              <w:t>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A80" w:rsidRPr="005364D4" w:rsidRDefault="00BD1A80" w:rsidP="00787AF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5364D4">
              <w:rPr>
                <w:rFonts w:asciiTheme="majorBidi" w:hAnsiTheme="majorBidi" w:cstheme="majorBidi"/>
                <w:b/>
                <w:bCs/>
                <w:color w:val="000000"/>
              </w:rPr>
              <w:t>10,4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A80" w:rsidRPr="005364D4" w:rsidRDefault="00BD1A80" w:rsidP="00787AF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5364D4">
              <w:rPr>
                <w:rFonts w:asciiTheme="majorBidi" w:hAnsiTheme="majorBidi" w:cstheme="majorBidi"/>
                <w:b/>
                <w:bCs/>
                <w:color w:val="000000"/>
              </w:rPr>
              <w:t>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A80" w:rsidRPr="005364D4" w:rsidRDefault="00BD1A80" w:rsidP="00787AF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5364D4">
              <w:rPr>
                <w:rFonts w:asciiTheme="majorBidi" w:hAnsiTheme="majorBidi" w:cstheme="majorBidi"/>
                <w:b/>
                <w:bCs/>
                <w:color w:val="000000"/>
              </w:rPr>
              <w:t>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A80" w:rsidRPr="005364D4" w:rsidRDefault="00BD1A80" w:rsidP="00787AF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5364D4">
              <w:rPr>
                <w:rFonts w:asciiTheme="majorBidi" w:hAnsiTheme="majorBidi" w:cstheme="majorBidi"/>
                <w:b/>
                <w:bCs/>
                <w:color w:val="000000"/>
              </w:rPr>
              <w:t>17,2</w:t>
            </w:r>
          </w:p>
        </w:tc>
      </w:tr>
    </w:tbl>
    <w:p w:rsidR="00BD1A80" w:rsidRPr="008F4A2E" w:rsidRDefault="00BD1A80" w:rsidP="00BD1A80">
      <w:pPr>
        <w:spacing w:after="0" w:line="240" w:lineRule="auto"/>
        <w:rPr>
          <w:rFonts w:asciiTheme="majorBidi" w:hAnsiTheme="majorBidi" w:cstheme="majorBidi"/>
        </w:rPr>
      </w:pPr>
      <w:r w:rsidRPr="008F4A2E">
        <w:rPr>
          <w:rFonts w:asciiTheme="majorBidi" w:hAnsiTheme="majorBidi" w:cstheme="majorBidi"/>
        </w:rPr>
        <w:t>Source : HCP, ENSR 2019</w:t>
      </w:r>
    </w:p>
    <w:p w:rsidR="00BD1A80" w:rsidRPr="00AC3C3F" w:rsidRDefault="00BD1A80" w:rsidP="00AC3C3F">
      <w:pPr>
        <w:jc w:val="both"/>
        <w:rPr>
          <w:rFonts w:asciiTheme="majorBidi" w:hAnsiTheme="majorBidi" w:cstheme="majorBidi"/>
        </w:rPr>
      </w:pPr>
      <w:r w:rsidRPr="00D95C50">
        <w:rPr>
          <w:rFonts w:asciiTheme="majorBidi" w:hAnsiTheme="majorBidi" w:cstheme="majorBidi"/>
        </w:rPr>
        <w:t>Lecture : à titre d’exemple, en 2019, le revenu salarial des 20% des ménages les plus aisés est de 14,1 fois celui des 20% des ménages les moins aisés. Ce rapport est de 25,9 entre les 10% des ménages les plus aisés et les 10% des ménages les moins aisés.</w:t>
      </w:r>
    </w:p>
    <w:p w:rsidR="002F4C0D" w:rsidRPr="002F4C0D" w:rsidRDefault="002F4C0D" w:rsidP="00AB0C7A">
      <w:pPr>
        <w:jc w:val="both"/>
        <w:rPr>
          <w:rFonts w:asciiTheme="majorBidi" w:hAnsiTheme="majorBidi" w:cstheme="majorBidi"/>
          <w:sz w:val="10"/>
          <w:szCs w:val="10"/>
        </w:rPr>
      </w:pPr>
    </w:p>
    <w:p w:rsidR="00223496" w:rsidRDefault="00223496" w:rsidP="00AB0C7A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Le revenu agricole </w:t>
      </w:r>
      <w:r w:rsidRPr="00460C6A">
        <w:rPr>
          <w:rFonts w:asciiTheme="majorBidi" w:hAnsiTheme="majorBidi" w:cstheme="majorBidi"/>
          <w:sz w:val="28"/>
          <w:szCs w:val="28"/>
        </w:rPr>
        <w:t>des 20% des ménages les plus aisés est 15,2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60C6A">
        <w:rPr>
          <w:rFonts w:asciiTheme="majorBidi" w:hAnsiTheme="majorBidi" w:cstheme="majorBidi"/>
          <w:sz w:val="28"/>
          <w:szCs w:val="28"/>
        </w:rPr>
        <w:t>fois celui des 20% des ménages les moins aisés.</w:t>
      </w:r>
      <w:r>
        <w:rPr>
          <w:rFonts w:asciiTheme="majorBidi" w:hAnsiTheme="majorBidi" w:cstheme="majorBidi"/>
          <w:sz w:val="28"/>
          <w:szCs w:val="28"/>
        </w:rPr>
        <w:t xml:space="preserve"> Cet écart est de 38</w:t>
      </w:r>
      <w:r w:rsidRPr="00460C6A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fois entre l</w:t>
      </w:r>
      <w:r w:rsidRPr="00460C6A">
        <w:rPr>
          <w:rFonts w:asciiTheme="majorBidi" w:hAnsiTheme="majorBidi" w:cstheme="majorBidi"/>
          <w:sz w:val="28"/>
          <w:szCs w:val="28"/>
        </w:rPr>
        <w:t>es</w:t>
      </w:r>
      <w:r>
        <w:rPr>
          <w:rFonts w:asciiTheme="majorBidi" w:hAnsiTheme="majorBidi" w:cstheme="majorBidi"/>
          <w:sz w:val="28"/>
          <w:szCs w:val="28"/>
        </w:rPr>
        <w:t xml:space="preserve"> 10% les plus aisés et les 10% les moins aisés. </w:t>
      </w:r>
      <w:r w:rsidR="00AB0C7A">
        <w:rPr>
          <w:rFonts w:asciiTheme="majorBidi" w:hAnsiTheme="majorBidi" w:cstheme="majorBidi"/>
          <w:sz w:val="28"/>
          <w:szCs w:val="28"/>
        </w:rPr>
        <w:t xml:space="preserve">Au total, les disparités associées à la répartition du </w:t>
      </w:r>
      <w:r>
        <w:rPr>
          <w:rFonts w:asciiTheme="majorBidi" w:hAnsiTheme="majorBidi" w:cstheme="majorBidi"/>
          <w:sz w:val="28"/>
          <w:szCs w:val="28"/>
        </w:rPr>
        <w:t>revenu agricole contribue</w:t>
      </w:r>
      <w:r w:rsidR="00AB0C7A">
        <w:rPr>
          <w:rFonts w:asciiTheme="majorBidi" w:hAnsiTheme="majorBidi" w:cstheme="majorBidi"/>
          <w:sz w:val="28"/>
          <w:szCs w:val="28"/>
        </w:rPr>
        <w:t>nt</w:t>
      </w:r>
      <w:r>
        <w:rPr>
          <w:rFonts w:asciiTheme="majorBidi" w:hAnsiTheme="majorBidi" w:cstheme="majorBidi"/>
          <w:sz w:val="28"/>
          <w:szCs w:val="28"/>
        </w:rPr>
        <w:t xml:space="preserve"> à hauteur de 13,2% aux inégalités du revenu global</w:t>
      </w:r>
      <w:r w:rsidR="00AB0C7A">
        <w:rPr>
          <w:rFonts w:asciiTheme="majorBidi" w:hAnsiTheme="majorBidi" w:cstheme="majorBidi"/>
          <w:sz w:val="28"/>
          <w:szCs w:val="28"/>
        </w:rPr>
        <w:t xml:space="preserve"> des ménages</w:t>
      </w:r>
      <w:r>
        <w:rPr>
          <w:rFonts w:asciiTheme="majorBidi" w:hAnsiTheme="majorBidi" w:cstheme="majorBidi"/>
          <w:sz w:val="28"/>
          <w:szCs w:val="28"/>
        </w:rPr>
        <w:t>. Cette contribution s’élève à 60% en milieu rural.</w:t>
      </w:r>
    </w:p>
    <w:p w:rsidR="0048197A" w:rsidRPr="00615960" w:rsidRDefault="000C1727" w:rsidP="0030722F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Les inégalités associées aux revenus de transferts</w:t>
      </w:r>
      <w:r w:rsidR="00BD1A80" w:rsidRPr="00E60DC3">
        <w:rPr>
          <w:rFonts w:asciiTheme="majorBidi" w:hAnsiTheme="majorBidi" w:cstheme="majorBidi"/>
          <w:sz w:val="28"/>
          <w:szCs w:val="28"/>
        </w:rPr>
        <w:t xml:space="preserve"> expliquent </w:t>
      </w:r>
      <w:r>
        <w:rPr>
          <w:rFonts w:asciiTheme="majorBidi" w:hAnsiTheme="majorBidi" w:cstheme="majorBidi"/>
          <w:sz w:val="28"/>
          <w:szCs w:val="28"/>
        </w:rPr>
        <w:t>près de 16,9% de l’inégalité du</w:t>
      </w:r>
      <w:r w:rsidR="00BD1A80" w:rsidRPr="00E60DC3">
        <w:rPr>
          <w:rFonts w:asciiTheme="majorBidi" w:hAnsiTheme="majorBidi" w:cstheme="majorBidi"/>
          <w:sz w:val="28"/>
          <w:szCs w:val="28"/>
        </w:rPr>
        <w:t xml:space="preserve"> revenu</w:t>
      </w:r>
      <w:r>
        <w:rPr>
          <w:rFonts w:asciiTheme="majorBidi" w:hAnsiTheme="majorBidi" w:cstheme="majorBidi"/>
          <w:sz w:val="28"/>
          <w:szCs w:val="28"/>
        </w:rPr>
        <w:t xml:space="preserve"> de</w:t>
      </w:r>
      <w:r w:rsidR="00BD1A80" w:rsidRPr="00E60DC3">
        <w:rPr>
          <w:rFonts w:asciiTheme="majorBidi" w:hAnsiTheme="majorBidi" w:cstheme="majorBidi"/>
          <w:sz w:val="28"/>
          <w:szCs w:val="28"/>
        </w:rPr>
        <w:t>s</w:t>
      </w:r>
      <w:r>
        <w:rPr>
          <w:rFonts w:asciiTheme="majorBidi" w:hAnsiTheme="majorBidi" w:cstheme="majorBidi"/>
          <w:sz w:val="28"/>
          <w:szCs w:val="28"/>
        </w:rPr>
        <w:t xml:space="preserve"> ménages</w:t>
      </w:r>
      <w:r w:rsidR="00BD1A80"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 xml:space="preserve"> toutefois c’est </w:t>
      </w:r>
      <w:r w:rsidR="00BD1A80" w:rsidRPr="00E60DC3">
        <w:rPr>
          <w:rFonts w:asciiTheme="majorBidi" w:hAnsiTheme="majorBidi" w:cstheme="majorBidi"/>
          <w:sz w:val="28"/>
          <w:szCs w:val="28"/>
        </w:rPr>
        <w:t>en milieu urbain</w:t>
      </w:r>
      <w:r w:rsidR="0030722F">
        <w:rPr>
          <w:rFonts w:asciiTheme="majorBidi" w:hAnsiTheme="majorBidi" w:cstheme="majorBidi"/>
          <w:sz w:val="28"/>
          <w:szCs w:val="28"/>
        </w:rPr>
        <w:t xml:space="preserve"> qu’elles génèrent une part plus importante de l’inégalité du revenu (</w:t>
      </w:r>
      <w:r w:rsidR="00BD1A80" w:rsidRPr="00E60DC3">
        <w:rPr>
          <w:rFonts w:asciiTheme="majorBidi" w:hAnsiTheme="majorBidi" w:cstheme="majorBidi"/>
          <w:sz w:val="28"/>
          <w:szCs w:val="28"/>
        </w:rPr>
        <w:t>19,9%</w:t>
      </w:r>
      <w:r w:rsidR="0030722F">
        <w:rPr>
          <w:rFonts w:asciiTheme="majorBidi" w:hAnsiTheme="majorBidi" w:cstheme="majorBidi"/>
          <w:sz w:val="28"/>
          <w:szCs w:val="28"/>
        </w:rPr>
        <w:t xml:space="preserve">) contre 4,8% en milieu </w:t>
      </w:r>
      <w:r w:rsidR="00BD1A80" w:rsidRPr="00E60DC3">
        <w:rPr>
          <w:rFonts w:asciiTheme="majorBidi" w:hAnsiTheme="majorBidi" w:cstheme="majorBidi"/>
          <w:sz w:val="28"/>
          <w:szCs w:val="28"/>
        </w:rPr>
        <w:t xml:space="preserve">rural. </w:t>
      </w:r>
    </w:p>
    <w:p w:rsidR="006F42FE" w:rsidRDefault="006F42FE" w:rsidP="006F42FE">
      <w:pPr>
        <w:spacing w:after="0" w:line="240" w:lineRule="auto"/>
        <w:ind w:left="-357"/>
        <w:jc w:val="center"/>
        <w:rPr>
          <w:rFonts w:asciiTheme="majorBidi" w:hAnsiTheme="majorBidi" w:cstheme="majorBidi"/>
          <w:sz w:val="28"/>
          <w:szCs w:val="28"/>
        </w:rPr>
      </w:pPr>
      <w:r w:rsidRPr="00E60DC3">
        <w:rPr>
          <w:rFonts w:asciiTheme="majorBidi" w:hAnsiTheme="majorBidi" w:cstheme="majorBidi"/>
          <w:b/>
          <w:bCs/>
          <w:sz w:val="28"/>
          <w:szCs w:val="28"/>
        </w:rPr>
        <w:t xml:space="preserve">Décomposition de l’inégalité (indice de Gini) par source de revenu </w:t>
      </w:r>
      <w:r w:rsidRPr="00E60DC3">
        <w:rPr>
          <w:rFonts w:asciiTheme="majorBidi" w:hAnsiTheme="majorBidi" w:cstheme="majorBidi"/>
          <w:sz w:val="28"/>
          <w:szCs w:val="28"/>
        </w:rPr>
        <w:t>(en %)</w:t>
      </w:r>
    </w:p>
    <w:p w:rsidR="00100F52" w:rsidRPr="00E60DC3" w:rsidRDefault="00100F52" w:rsidP="006F42FE">
      <w:pPr>
        <w:spacing w:after="0" w:line="240" w:lineRule="auto"/>
        <w:ind w:left="-357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W w:w="7797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119"/>
        <w:gridCol w:w="1559"/>
        <w:gridCol w:w="1559"/>
        <w:gridCol w:w="1560"/>
      </w:tblGrid>
      <w:tr w:rsidR="006F42FE" w:rsidRPr="00E60DC3" w:rsidTr="00757CAC">
        <w:trPr>
          <w:trHeight w:val="562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2FE" w:rsidRPr="00223496" w:rsidRDefault="006F42FE" w:rsidP="00385D8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22349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Source de revenu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2FE" w:rsidRPr="00223496" w:rsidRDefault="006F42FE" w:rsidP="00385D8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22349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Contribution relative à l'inégalité de revenu</w:t>
            </w:r>
          </w:p>
        </w:tc>
      </w:tr>
      <w:tr w:rsidR="006F42FE" w:rsidRPr="00E60DC3" w:rsidTr="00757CAC">
        <w:trPr>
          <w:trHeight w:val="315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2FE" w:rsidRPr="00223496" w:rsidRDefault="006F42FE" w:rsidP="00385D8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F42FE" w:rsidRPr="00223496" w:rsidRDefault="006F42FE" w:rsidP="00385D8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22349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Ensemble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F42FE" w:rsidRPr="00223496" w:rsidRDefault="006F42FE" w:rsidP="00385D8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22349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Urbain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2FE" w:rsidRPr="00223496" w:rsidRDefault="006F42FE" w:rsidP="00385D8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22349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Rural </w:t>
            </w:r>
          </w:p>
        </w:tc>
      </w:tr>
      <w:tr w:rsidR="006F42FE" w:rsidRPr="00E60DC3" w:rsidTr="00757CAC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2FE" w:rsidRPr="00223496" w:rsidRDefault="006F42FE" w:rsidP="00385D8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22349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Salaires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42FE" w:rsidRPr="00223496" w:rsidRDefault="006F42FE" w:rsidP="00385D8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22349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40,4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42FE" w:rsidRPr="00223496" w:rsidRDefault="006F42FE" w:rsidP="00385D8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22349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46,9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42FE" w:rsidRPr="00223496" w:rsidRDefault="006F42FE" w:rsidP="00385D8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22349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15,7</w:t>
            </w:r>
          </w:p>
        </w:tc>
      </w:tr>
      <w:tr w:rsidR="006F42FE" w:rsidRPr="00E60DC3" w:rsidTr="00757CAC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2FE" w:rsidRPr="00223496" w:rsidRDefault="006F42FE" w:rsidP="00385D8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22349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Revenu </w:t>
            </w:r>
            <w:r w:rsidR="00757CA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de l’emploi </w:t>
            </w:r>
            <w:r w:rsidRPr="0022349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indépendant</w:t>
            </w:r>
            <w:r w:rsidR="00AB0C7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non agricole</w:t>
            </w:r>
            <w:r w:rsidRPr="0022349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42FE" w:rsidRPr="00223496" w:rsidRDefault="006F42FE" w:rsidP="00385D8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22349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20,2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42FE" w:rsidRPr="00223496" w:rsidRDefault="006F42FE" w:rsidP="00385D8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22349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21,7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42FE" w:rsidRPr="00223496" w:rsidRDefault="006F42FE" w:rsidP="00385D8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22349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14,2</w:t>
            </w:r>
          </w:p>
        </w:tc>
      </w:tr>
      <w:tr w:rsidR="006F42FE" w:rsidRPr="00E60DC3" w:rsidTr="00757CAC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2FE" w:rsidRPr="00223496" w:rsidRDefault="006F42FE" w:rsidP="00385D8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22349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Transferts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42FE" w:rsidRPr="00223496" w:rsidRDefault="006F42FE" w:rsidP="00385D8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22349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42FE" w:rsidRPr="00223496" w:rsidRDefault="006F42FE" w:rsidP="00385D8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22349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19,9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42FE" w:rsidRPr="00223496" w:rsidRDefault="006F42FE" w:rsidP="00385D8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22349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4,8</w:t>
            </w:r>
          </w:p>
        </w:tc>
      </w:tr>
      <w:tr w:rsidR="006F42FE" w:rsidRPr="00E60DC3" w:rsidTr="00757CAC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2FE" w:rsidRPr="00223496" w:rsidRDefault="006F42FE" w:rsidP="00385D8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22349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Revenu agricole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42FE" w:rsidRPr="00223496" w:rsidRDefault="006F42FE" w:rsidP="00385D8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22349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42FE" w:rsidRPr="00223496" w:rsidRDefault="006F42FE" w:rsidP="00385D8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22349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42FE" w:rsidRPr="00223496" w:rsidRDefault="006F42FE" w:rsidP="00385D8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22349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59,7</w:t>
            </w:r>
          </w:p>
        </w:tc>
      </w:tr>
      <w:tr w:rsidR="006F42FE" w:rsidRPr="00E60DC3" w:rsidTr="00757CAC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2FE" w:rsidRPr="00223496" w:rsidRDefault="006F42FE" w:rsidP="00385D8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22349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lastRenderedPageBreak/>
              <w:t>Revenu des activités de location et de patrimoine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42FE" w:rsidRPr="00223496" w:rsidRDefault="006F42FE" w:rsidP="00385D8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22349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7,7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42FE" w:rsidRPr="00223496" w:rsidRDefault="006F42FE" w:rsidP="00385D8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22349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8,7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42FE" w:rsidRPr="00223496" w:rsidRDefault="006F42FE" w:rsidP="00385D8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22349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4,4</w:t>
            </w:r>
          </w:p>
        </w:tc>
      </w:tr>
      <w:tr w:rsidR="006F42FE" w:rsidRPr="00E60DC3" w:rsidTr="00757CAC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2FE" w:rsidRPr="00223496" w:rsidRDefault="006F42FE" w:rsidP="00385D8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22349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Revenus divers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42FE" w:rsidRPr="00223496" w:rsidRDefault="006F42FE" w:rsidP="00385D8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22349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42FE" w:rsidRPr="00223496" w:rsidRDefault="006F42FE" w:rsidP="00385D8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22349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42FE" w:rsidRPr="00223496" w:rsidRDefault="006F42FE" w:rsidP="00385D8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22349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1,2</w:t>
            </w:r>
          </w:p>
        </w:tc>
      </w:tr>
      <w:tr w:rsidR="006F42FE" w:rsidRPr="00E60DC3" w:rsidTr="00757CAC">
        <w:trPr>
          <w:trHeight w:val="5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2FE" w:rsidRPr="00223496" w:rsidRDefault="006F42FE" w:rsidP="00385D8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22349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42FE" w:rsidRPr="00223496" w:rsidRDefault="006F42FE" w:rsidP="00385D8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22349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42FE" w:rsidRPr="00223496" w:rsidRDefault="006F42FE" w:rsidP="00385D8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22349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42FE" w:rsidRPr="00223496" w:rsidRDefault="006F42FE" w:rsidP="00385D8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223496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 w:rsidR="006F42FE" w:rsidRPr="00223496" w:rsidRDefault="006F42FE" w:rsidP="006F42FE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223496">
        <w:rPr>
          <w:rFonts w:asciiTheme="majorBidi" w:hAnsiTheme="majorBidi" w:cstheme="majorBidi"/>
          <w:sz w:val="20"/>
          <w:szCs w:val="20"/>
        </w:rPr>
        <w:t>Source : HCP, ENSR 2019</w:t>
      </w:r>
    </w:p>
    <w:p w:rsidR="006F42FE" w:rsidRPr="00E60DC3" w:rsidRDefault="006F42FE" w:rsidP="0048197A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</w:rPr>
      </w:pPr>
    </w:p>
    <w:p w:rsidR="0048197A" w:rsidRPr="00E60DC3" w:rsidRDefault="0048197A" w:rsidP="0048197A">
      <w:pPr>
        <w:spacing w:after="0" w:line="240" w:lineRule="auto"/>
        <w:ind w:left="-357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48197A" w:rsidRPr="00E60DC3" w:rsidRDefault="0048197A" w:rsidP="0048197A">
      <w:pPr>
        <w:pStyle w:val="Corpsdetexte"/>
        <w:spacing w:after="0" w:line="288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285542" w:rsidRPr="00E60DC3" w:rsidRDefault="00285542">
      <w:pPr>
        <w:rPr>
          <w:rFonts w:asciiTheme="majorBidi" w:hAnsiTheme="majorBidi" w:cstheme="majorBidi"/>
          <w:sz w:val="28"/>
          <w:szCs w:val="28"/>
        </w:rPr>
      </w:pPr>
    </w:p>
    <w:sectPr w:rsidR="00285542" w:rsidRPr="00E60DC3" w:rsidSect="0090283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EEC" w:rsidRDefault="00771EEC" w:rsidP="00F47071">
      <w:pPr>
        <w:spacing w:after="0" w:line="240" w:lineRule="auto"/>
      </w:pPr>
      <w:r>
        <w:separator/>
      </w:r>
    </w:p>
  </w:endnote>
  <w:endnote w:type="continuationSeparator" w:id="0">
    <w:p w:rsidR="00771EEC" w:rsidRDefault="00771EEC" w:rsidP="00F47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55212398"/>
      <w:docPartObj>
        <w:docPartGallery w:val="Page Numbers (Bottom of Page)"/>
        <w:docPartUnique/>
      </w:docPartObj>
    </w:sdtPr>
    <w:sdtContent>
      <w:p w:rsidR="00385D8B" w:rsidRDefault="00902831">
        <w:pPr>
          <w:pStyle w:val="Pieddepage"/>
          <w:jc w:val="right"/>
        </w:pPr>
        <w:r>
          <w:fldChar w:fldCharType="begin"/>
        </w:r>
        <w:r w:rsidR="00385D8B">
          <w:instrText>PAGE   \* MERGEFORMAT</w:instrText>
        </w:r>
        <w:r>
          <w:fldChar w:fldCharType="separate"/>
        </w:r>
        <w:r w:rsidR="003E0C15">
          <w:rPr>
            <w:noProof/>
          </w:rPr>
          <w:t>1</w:t>
        </w:r>
        <w:r>
          <w:fldChar w:fldCharType="end"/>
        </w:r>
      </w:p>
    </w:sdtContent>
  </w:sdt>
  <w:p w:rsidR="00385D8B" w:rsidRDefault="00385D8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EEC" w:rsidRDefault="00771EEC" w:rsidP="00F47071">
      <w:pPr>
        <w:spacing w:after="0" w:line="240" w:lineRule="auto"/>
      </w:pPr>
      <w:r>
        <w:separator/>
      </w:r>
    </w:p>
  </w:footnote>
  <w:footnote w:type="continuationSeparator" w:id="0">
    <w:p w:rsidR="00771EEC" w:rsidRDefault="00771EEC" w:rsidP="00F47071">
      <w:pPr>
        <w:spacing w:after="0" w:line="240" w:lineRule="auto"/>
      </w:pPr>
      <w:r>
        <w:continuationSeparator/>
      </w:r>
    </w:p>
  </w:footnote>
  <w:footnote w:id="1">
    <w:p w:rsidR="00385D8B" w:rsidRPr="00AE7DA8" w:rsidRDefault="00385D8B" w:rsidP="003C6E5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</w:rPr>
      </w:pPr>
      <w:r>
        <w:rPr>
          <w:rStyle w:val="Appelnotedebasdep"/>
        </w:rPr>
        <w:footnoteRef/>
      </w:r>
      <w:r>
        <w:t xml:space="preserve"> </w:t>
      </w:r>
      <w:r w:rsidRPr="008A3B33">
        <w:rPr>
          <w:rFonts w:asciiTheme="majorBidi" w:hAnsiTheme="majorBidi" w:cstheme="majorBidi"/>
          <w:sz w:val="20"/>
          <w:szCs w:val="20"/>
        </w:rPr>
        <w:t xml:space="preserve">Il est à rappeler que le revenu annuel moyen par </w:t>
      </w:r>
      <w:r w:rsidR="00BB6812">
        <w:rPr>
          <w:rFonts w:asciiTheme="majorBidi" w:hAnsiTheme="majorBidi" w:cstheme="majorBidi"/>
          <w:sz w:val="20"/>
          <w:szCs w:val="20"/>
        </w:rPr>
        <w:t>personne</w:t>
      </w:r>
      <w:r w:rsidRPr="008A3B33">
        <w:rPr>
          <w:rFonts w:asciiTheme="majorBidi" w:hAnsiTheme="majorBidi" w:cstheme="majorBidi"/>
          <w:sz w:val="20"/>
          <w:szCs w:val="20"/>
        </w:rPr>
        <w:t xml:space="preserve"> </w:t>
      </w:r>
      <w:r w:rsidRPr="008A3B33">
        <w:rPr>
          <w:rFonts w:asciiTheme="majorBidi" w:eastAsia="Times New Roman" w:hAnsiTheme="majorBidi" w:cstheme="majorBidi"/>
          <w:sz w:val="20"/>
          <w:szCs w:val="20"/>
        </w:rPr>
        <w:t>s’établit à 21</w:t>
      </w:r>
      <w:r>
        <w:rPr>
          <w:rFonts w:asciiTheme="majorBidi" w:eastAsia="Times New Roman" w:hAnsiTheme="majorBidi" w:cstheme="majorBidi"/>
          <w:sz w:val="20"/>
          <w:szCs w:val="20"/>
        </w:rPr>
        <w:t> </w:t>
      </w:r>
      <w:r w:rsidRPr="008A3B33">
        <w:rPr>
          <w:rFonts w:asciiTheme="majorBidi" w:eastAsia="Times New Roman" w:hAnsiTheme="majorBidi" w:cstheme="majorBidi"/>
          <w:sz w:val="20"/>
          <w:szCs w:val="20"/>
        </w:rPr>
        <w:t>515</w:t>
      </w:r>
      <w:r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8A3B33">
        <w:rPr>
          <w:rFonts w:asciiTheme="majorBidi" w:eastAsia="Times New Roman" w:hAnsiTheme="majorBidi" w:cstheme="majorBidi"/>
          <w:sz w:val="20"/>
          <w:szCs w:val="20"/>
        </w:rPr>
        <w:t>DH</w:t>
      </w:r>
      <w:r w:rsidRPr="008A3B33">
        <w:rPr>
          <w:rFonts w:asciiTheme="majorBidi" w:hAnsiTheme="majorBidi" w:cstheme="majorBidi"/>
          <w:sz w:val="20"/>
          <w:szCs w:val="20"/>
        </w:rPr>
        <w:t xml:space="preserve"> à l’échelle nationale</w:t>
      </w:r>
      <w:r w:rsidRPr="008A3B33">
        <w:rPr>
          <w:rFonts w:asciiTheme="majorBidi" w:eastAsia="Times New Roman" w:hAnsiTheme="majorBidi" w:cstheme="majorBidi"/>
          <w:sz w:val="20"/>
          <w:szCs w:val="20"/>
        </w:rPr>
        <w:t xml:space="preserve">, </w:t>
      </w:r>
      <w:r w:rsidRPr="008A3B33">
        <w:rPr>
          <w:rFonts w:asciiTheme="majorBidi" w:hAnsiTheme="majorBidi" w:cstheme="majorBidi"/>
          <w:sz w:val="20"/>
          <w:szCs w:val="20"/>
        </w:rPr>
        <w:t xml:space="preserve"> </w:t>
      </w:r>
      <w:r w:rsidRPr="008A3B33">
        <w:rPr>
          <w:rFonts w:asciiTheme="majorBidi" w:eastAsia="Times New Roman" w:hAnsiTheme="majorBidi" w:cstheme="majorBidi"/>
          <w:sz w:val="20"/>
          <w:szCs w:val="20"/>
        </w:rPr>
        <w:t>24</w:t>
      </w:r>
      <w:r>
        <w:rPr>
          <w:rFonts w:asciiTheme="majorBidi" w:eastAsia="Times New Roman" w:hAnsiTheme="majorBidi" w:cstheme="majorBidi"/>
          <w:sz w:val="20"/>
          <w:szCs w:val="20"/>
        </w:rPr>
        <w:t> </w:t>
      </w:r>
      <w:r w:rsidRPr="008A3B33">
        <w:rPr>
          <w:rFonts w:asciiTheme="majorBidi" w:eastAsia="Times New Roman" w:hAnsiTheme="majorBidi" w:cstheme="majorBidi"/>
          <w:sz w:val="20"/>
          <w:szCs w:val="20"/>
        </w:rPr>
        <w:t>992</w:t>
      </w:r>
      <w:r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8A3B33">
        <w:rPr>
          <w:rFonts w:asciiTheme="majorBidi" w:eastAsia="Times New Roman" w:hAnsiTheme="majorBidi" w:cstheme="majorBidi"/>
          <w:sz w:val="20"/>
          <w:szCs w:val="20"/>
        </w:rPr>
        <w:t>DH en milieu urbain</w:t>
      </w:r>
      <w:r w:rsidRPr="008A3B33">
        <w:rPr>
          <w:rFonts w:asciiTheme="majorBidi" w:hAnsiTheme="majorBidi" w:cstheme="majorBidi"/>
          <w:sz w:val="20"/>
          <w:szCs w:val="20"/>
        </w:rPr>
        <w:t xml:space="preserve"> et </w:t>
      </w:r>
      <w:r w:rsidRPr="008A3B33">
        <w:rPr>
          <w:rFonts w:asciiTheme="majorBidi" w:eastAsia="Times New Roman" w:hAnsiTheme="majorBidi" w:cstheme="majorBidi"/>
          <w:sz w:val="20"/>
          <w:szCs w:val="20"/>
        </w:rPr>
        <w:t>15</w:t>
      </w:r>
      <w:r>
        <w:rPr>
          <w:rFonts w:asciiTheme="majorBidi" w:eastAsia="Times New Roman" w:hAnsiTheme="majorBidi" w:cstheme="majorBidi"/>
          <w:sz w:val="20"/>
          <w:szCs w:val="20"/>
        </w:rPr>
        <w:t> </w:t>
      </w:r>
      <w:r w:rsidRPr="008A3B33">
        <w:rPr>
          <w:rFonts w:asciiTheme="majorBidi" w:eastAsia="Times New Roman" w:hAnsiTheme="majorBidi" w:cstheme="majorBidi"/>
          <w:sz w:val="20"/>
          <w:szCs w:val="20"/>
        </w:rPr>
        <w:t xml:space="preserve">560 </w:t>
      </w:r>
      <w:r>
        <w:rPr>
          <w:rFonts w:asciiTheme="majorBidi" w:hAnsiTheme="majorBidi" w:cstheme="majorBidi"/>
          <w:sz w:val="20"/>
          <w:szCs w:val="20"/>
        </w:rPr>
        <w:t xml:space="preserve">DH en milieu rural </w:t>
      </w:r>
      <w:r w:rsidRPr="008A3B33">
        <w:rPr>
          <w:rFonts w:asciiTheme="majorBidi" w:eastAsia="Times New Roman" w:hAnsiTheme="majorBidi" w:cstheme="majorBidi"/>
          <w:sz w:val="20"/>
          <w:szCs w:val="20"/>
        </w:rPr>
        <w:t>(Cf. la note intitulée « Revenus des ménages Niveaux, sources et distribution sociale », publiée par le HCP en date du 28 avril 2021</w:t>
      </w:r>
      <w:r>
        <w:rPr>
          <w:rFonts w:asciiTheme="majorBidi" w:eastAsia="Times New Roman" w:hAnsiTheme="majorBidi" w:cstheme="majorBidi"/>
          <w:sz w:val="20"/>
          <w:szCs w:val="20"/>
        </w:rPr>
        <w:t>)</w:t>
      </w:r>
      <w:r>
        <w:rPr>
          <w:rFonts w:asciiTheme="majorBidi" w:eastAsia="Times New Roman" w:hAnsiTheme="majorBidi" w:cstheme="majorBidi"/>
        </w:rPr>
        <w:t xml:space="preserve">. </w:t>
      </w:r>
    </w:p>
    <w:p w:rsidR="00385D8B" w:rsidRPr="00AE7DA8" w:rsidRDefault="00385D8B" w:rsidP="00722E99">
      <w:pPr>
        <w:spacing w:after="0" w:line="240" w:lineRule="auto"/>
        <w:jc w:val="both"/>
        <w:rPr>
          <w:rFonts w:asciiTheme="majorBidi" w:hAnsiTheme="majorBidi" w:cstheme="majorBidi"/>
        </w:rPr>
      </w:pPr>
    </w:p>
  </w:footnote>
  <w:footnote w:id="2">
    <w:p w:rsidR="00BD1A80" w:rsidRDefault="00BD1A80" w:rsidP="00BD1A80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FC02C0">
        <w:rPr>
          <w:rFonts w:asciiTheme="majorBidi" w:hAnsiTheme="majorBidi" w:cstheme="majorBidi"/>
        </w:rPr>
        <w:t>Il représente le ra</w:t>
      </w:r>
      <w:r>
        <w:rPr>
          <w:rFonts w:asciiTheme="majorBidi" w:hAnsiTheme="majorBidi" w:cstheme="majorBidi"/>
        </w:rPr>
        <w:t xml:space="preserve">tio </w:t>
      </w:r>
      <w:r w:rsidRPr="00FC02C0">
        <w:rPr>
          <w:rFonts w:asciiTheme="majorBidi" w:hAnsiTheme="majorBidi" w:cstheme="majorBidi"/>
        </w:rPr>
        <w:t xml:space="preserve">entre le revenu moyen des 20% les plus aisés et celui des 20% les moins </w:t>
      </w:r>
      <w:r>
        <w:rPr>
          <w:rFonts w:asciiTheme="majorBidi" w:hAnsiTheme="majorBidi" w:cstheme="majorBidi"/>
        </w:rPr>
        <w:t>a</w:t>
      </w:r>
      <w:r w:rsidRPr="00FC02C0">
        <w:rPr>
          <w:rFonts w:asciiTheme="majorBidi" w:hAnsiTheme="majorBidi" w:cstheme="majorBidi"/>
        </w:rPr>
        <w:t>isés</w:t>
      </w:r>
      <w:r>
        <w:t>.</w:t>
      </w:r>
    </w:p>
  </w:footnote>
  <w:footnote w:id="3">
    <w:p w:rsidR="00BD1A80" w:rsidRDefault="00BD1A80" w:rsidP="00BD1A80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FC02C0">
        <w:rPr>
          <w:rFonts w:asciiTheme="majorBidi" w:hAnsiTheme="majorBidi" w:cstheme="majorBidi"/>
        </w:rPr>
        <w:t>Il représente le ra</w:t>
      </w:r>
      <w:r>
        <w:rPr>
          <w:rFonts w:asciiTheme="majorBidi" w:hAnsiTheme="majorBidi" w:cstheme="majorBidi"/>
        </w:rPr>
        <w:t>tio</w:t>
      </w:r>
      <w:r w:rsidRPr="00FC02C0">
        <w:rPr>
          <w:rFonts w:asciiTheme="majorBidi" w:hAnsiTheme="majorBidi" w:cstheme="majorBidi"/>
        </w:rPr>
        <w:t xml:space="preserve"> entre le revenu moyen des </w:t>
      </w:r>
      <w:r>
        <w:rPr>
          <w:rFonts w:asciiTheme="majorBidi" w:hAnsiTheme="majorBidi" w:cstheme="majorBidi"/>
        </w:rPr>
        <w:t>1</w:t>
      </w:r>
      <w:r w:rsidRPr="00FC02C0">
        <w:rPr>
          <w:rFonts w:asciiTheme="majorBidi" w:hAnsiTheme="majorBidi" w:cstheme="majorBidi"/>
        </w:rPr>
        <w:t xml:space="preserve">0% les plus aisés et celui des </w:t>
      </w:r>
      <w:r>
        <w:rPr>
          <w:rFonts w:asciiTheme="majorBidi" w:hAnsiTheme="majorBidi" w:cstheme="majorBidi"/>
        </w:rPr>
        <w:t>1</w:t>
      </w:r>
      <w:r w:rsidRPr="00FC02C0">
        <w:rPr>
          <w:rFonts w:asciiTheme="majorBidi" w:hAnsiTheme="majorBidi" w:cstheme="majorBidi"/>
        </w:rPr>
        <w:t xml:space="preserve">0% les moins </w:t>
      </w:r>
      <w:r>
        <w:rPr>
          <w:rFonts w:asciiTheme="majorBidi" w:hAnsiTheme="majorBidi" w:cstheme="majorBidi"/>
        </w:rPr>
        <w:t>a</w:t>
      </w:r>
      <w:r w:rsidRPr="00FC02C0">
        <w:rPr>
          <w:rFonts w:asciiTheme="majorBidi" w:hAnsiTheme="majorBidi" w:cstheme="majorBidi"/>
        </w:rPr>
        <w:t>isés</w:t>
      </w:r>
      <w: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629C8"/>
    <w:multiLevelType w:val="hybridMultilevel"/>
    <w:tmpl w:val="215410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1660E"/>
    <w:multiLevelType w:val="hybridMultilevel"/>
    <w:tmpl w:val="E370EF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969BC"/>
    <w:multiLevelType w:val="hybridMultilevel"/>
    <w:tmpl w:val="52CA9F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573D1D"/>
    <w:multiLevelType w:val="singleLevel"/>
    <w:tmpl w:val="040C000D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>
    <w:nsid w:val="20313829"/>
    <w:multiLevelType w:val="hybridMultilevel"/>
    <w:tmpl w:val="8F18175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822DB1"/>
    <w:multiLevelType w:val="hybridMultilevel"/>
    <w:tmpl w:val="422039B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F037EB"/>
    <w:multiLevelType w:val="hybridMultilevel"/>
    <w:tmpl w:val="FA36A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197A"/>
    <w:rsid w:val="00047C0A"/>
    <w:rsid w:val="00071756"/>
    <w:rsid w:val="000C1727"/>
    <w:rsid w:val="000C1E53"/>
    <w:rsid w:val="000F0BF5"/>
    <w:rsid w:val="00100F52"/>
    <w:rsid w:val="00116278"/>
    <w:rsid w:val="00127868"/>
    <w:rsid w:val="00136E74"/>
    <w:rsid w:val="001A279B"/>
    <w:rsid w:val="001A4523"/>
    <w:rsid w:val="001A6414"/>
    <w:rsid w:val="001B5A92"/>
    <w:rsid w:val="001E1D12"/>
    <w:rsid w:val="001F325D"/>
    <w:rsid w:val="002124A5"/>
    <w:rsid w:val="00222A5E"/>
    <w:rsid w:val="00223496"/>
    <w:rsid w:val="00281C0E"/>
    <w:rsid w:val="00285542"/>
    <w:rsid w:val="002B007B"/>
    <w:rsid w:val="002D6E92"/>
    <w:rsid w:val="002E1CED"/>
    <w:rsid w:val="002F1F88"/>
    <w:rsid w:val="002F4C0D"/>
    <w:rsid w:val="002F70C1"/>
    <w:rsid w:val="0030722F"/>
    <w:rsid w:val="00311207"/>
    <w:rsid w:val="00315B60"/>
    <w:rsid w:val="003177A3"/>
    <w:rsid w:val="003410FB"/>
    <w:rsid w:val="00385D8B"/>
    <w:rsid w:val="003A50DE"/>
    <w:rsid w:val="003B56EE"/>
    <w:rsid w:val="003C6E5C"/>
    <w:rsid w:val="003E0C15"/>
    <w:rsid w:val="003E5926"/>
    <w:rsid w:val="004053FF"/>
    <w:rsid w:val="004224C0"/>
    <w:rsid w:val="00431B8C"/>
    <w:rsid w:val="00443F12"/>
    <w:rsid w:val="004442CB"/>
    <w:rsid w:val="00460C6A"/>
    <w:rsid w:val="004620D3"/>
    <w:rsid w:val="00464383"/>
    <w:rsid w:val="0048197A"/>
    <w:rsid w:val="004856B9"/>
    <w:rsid w:val="004D1E19"/>
    <w:rsid w:val="004E19A7"/>
    <w:rsid w:val="004E3EFA"/>
    <w:rsid w:val="00531252"/>
    <w:rsid w:val="005364D4"/>
    <w:rsid w:val="0054368E"/>
    <w:rsid w:val="00553567"/>
    <w:rsid w:val="00561494"/>
    <w:rsid w:val="0057062A"/>
    <w:rsid w:val="00575AB6"/>
    <w:rsid w:val="00584C26"/>
    <w:rsid w:val="005926BF"/>
    <w:rsid w:val="005B1EAD"/>
    <w:rsid w:val="005B1EDF"/>
    <w:rsid w:val="00615960"/>
    <w:rsid w:val="006438AA"/>
    <w:rsid w:val="00693CA7"/>
    <w:rsid w:val="006A3786"/>
    <w:rsid w:val="006B26C0"/>
    <w:rsid w:val="006F42FE"/>
    <w:rsid w:val="00722E99"/>
    <w:rsid w:val="00723AC0"/>
    <w:rsid w:val="0072481A"/>
    <w:rsid w:val="007269D6"/>
    <w:rsid w:val="00731EAA"/>
    <w:rsid w:val="00747ACB"/>
    <w:rsid w:val="00751F98"/>
    <w:rsid w:val="00757CAC"/>
    <w:rsid w:val="0077042B"/>
    <w:rsid w:val="00771EEC"/>
    <w:rsid w:val="007846E5"/>
    <w:rsid w:val="00791065"/>
    <w:rsid w:val="007C1423"/>
    <w:rsid w:val="007C2EEC"/>
    <w:rsid w:val="007C4334"/>
    <w:rsid w:val="007E3C7F"/>
    <w:rsid w:val="00807E9F"/>
    <w:rsid w:val="00812223"/>
    <w:rsid w:val="0082304F"/>
    <w:rsid w:val="008842BD"/>
    <w:rsid w:val="00887722"/>
    <w:rsid w:val="008A3B33"/>
    <w:rsid w:val="008A5ED0"/>
    <w:rsid w:val="008C0B1E"/>
    <w:rsid w:val="008E5017"/>
    <w:rsid w:val="008F08D9"/>
    <w:rsid w:val="008F4A2E"/>
    <w:rsid w:val="00902831"/>
    <w:rsid w:val="00906190"/>
    <w:rsid w:val="00912102"/>
    <w:rsid w:val="00913EDB"/>
    <w:rsid w:val="00915B05"/>
    <w:rsid w:val="00933CDC"/>
    <w:rsid w:val="00934D94"/>
    <w:rsid w:val="00954ABD"/>
    <w:rsid w:val="00963AF9"/>
    <w:rsid w:val="00995CAB"/>
    <w:rsid w:val="0099615B"/>
    <w:rsid w:val="009A09B6"/>
    <w:rsid w:val="00A21AF4"/>
    <w:rsid w:val="00A30218"/>
    <w:rsid w:val="00A51F31"/>
    <w:rsid w:val="00A55AED"/>
    <w:rsid w:val="00A67895"/>
    <w:rsid w:val="00AA2440"/>
    <w:rsid w:val="00AB0C7A"/>
    <w:rsid w:val="00AB1904"/>
    <w:rsid w:val="00AC3C3F"/>
    <w:rsid w:val="00AE3097"/>
    <w:rsid w:val="00AE488B"/>
    <w:rsid w:val="00AE668D"/>
    <w:rsid w:val="00AE7DA8"/>
    <w:rsid w:val="00AE7DEC"/>
    <w:rsid w:val="00B10798"/>
    <w:rsid w:val="00B11882"/>
    <w:rsid w:val="00B422F1"/>
    <w:rsid w:val="00B67688"/>
    <w:rsid w:val="00B9194E"/>
    <w:rsid w:val="00BB6812"/>
    <w:rsid w:val="00BC6CE1"/>
    <w:rsid w:val="00BD1A80"/>
    <w:rsid w:val="00BE1413"/>
    <w:rsid w:val="00BF24E4"/>
    <w:rsid w:val="00BF52E7"/>
    <w:rsid w:val="00C509C9"/>
    <w:rsid w:val="00C51BF1"/>
    <w:rsid w:val="00C6172F"/>
    <w:rsid w:val="00C74F32"/>
    <w:rsid w:val="00CB2D7E"/>
    <w:rsid w:val="00CC1D06"/>
    <w:rsid w:val="00D04971"/>
    <w:rsid w:val="00D11E26"/>
    <w:rsid w:val="00D41D1D"/>
    <w:rsid w:val="00D57C1A"/>
    <w:rsid w:val="00D736DD"/>
    <w:rsid w:val="00D7392B"/>
    <w:rsid w:val="00D95C50"/>
    <w:rsid w:val="00DE3758"/>
    <w:rsid w:val="00E60DC3"/>
    <w:rsid w:val="00EE2101"/>
    <w:rsid w:val="00F37D31"/>
    <w:rsid w:val="00F4058D"/>
    <w:rsid w:val="00F47071"/>
    <w:rsid w:val="00F4743E"/>
    <w:rsid w:val="00F54EB7"/>
    <w:rsid w:val="00F64EF0"/>
    <w:rsid w:val="00F76D92"/>
    <w:rsid w:val="00FA3EDA"/>
    <w:rsid w:val="00FA7D44"/>
    <w:rsid w:val="00FC3AEE"/>
    <w:rsid w:val="00FD0BAB"/>
    <w:rsid w:val="00FD18FC"/>
    <w:rsid w:val="00FE1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D31"/>
  </w:style>
  <w:style w:type="paragraph" w:styleId="Titre7">
    <w:name w:val="heading 7"/>
    <w:basedOn w:val="Normal"/>
    <w:next w:val="Normal"/>
    <w:link w:val="Titre7Car"/>
    <w:qFormat/>
    <w:rsid w:val="00722E99"/>
    <w:pPr>
      <w:tabs>
        <w:tab w:val="num" w:pos="1296"/>
      </w:tabs>
      <w:spacing w:before="240" w:after="60" w:line="300" w:lineRule="auto"/>
      <w:ind w:left="1296" w:hanging="1296"/>
      <w:jc w:val="both"/>
      <w:outlineLvl w:val="6"/>
    </w:pPr>
    <w:rPr>
      <w:rFonts w:ascii="Arial" w:eastAsia="Times New Roman" w:hAnsi="Arial" w:cs="Arial"/>
      <w:sz w:val="26"/>
      <w:szCs w:val="2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48197A"/>
    <w:pPr>
      <w:spacing w:after="120" w:line="240" w:lineRule="auto"/>
      <w:jc w:val="both"/>
    </w:pPr>
    <w:rPr>
      <w:rFonts w:ascii="Arial" w:eastAsia="Times New Roman" w:hAnsi="Arial" w:cs="Arial"/>
      <w:sz w:val="26"/>
      <w:szCs w:val="26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48197A"/>
    <w:rPr>
      <w:rFonts w:ascii="Arial" w:eastAsia="Times New Roman" w:hAnsi="Arial" w:cs="Arial"/>
      <w:sz w:val="26"/>
      <w:szCs w:val="26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4819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gende">
    <w:name w:val="caption"/>
    <w:basedOn w:val="Normal"/>
    <w:next w:val="Normal"/>
    <w:qFormat/>
    <w:rsid w:val="0048197A"/>
    <w:pPr>
      <w:keepNext/>
      <w:spacing w:before="240" w:after="120" w:line="240" w:lineRule="auto"/>
      <w:jc w:val="center"/>
    </w:pPr>
    <w:rPr>
      <w:rFonts w:ascii="Arial" w:eastAsia="Times New Roman" w:hAnsi="Arial" w:cs="Arial"/>
      <w:b/>
      <w:bCs/>
      <w:color w:val="800080"/>
      <w:lang w:eastAsia="fr-FR"/>
    </w:rPr>
  </w:style>
  <w:style w:type="character" w:customStyle="1" w:styleId="ParagraphedelisteCar">
    <w:name w:val="Paragraphe de liste Car"/>
    <w:link w:val="Paragraphedeliste"/>
    <w:uiPriority w:val="34"/>
    <w:locked/>
    <w:rsid w:val="0048197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1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197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47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7071"/>
  </w:style>
  <w:style w:type="paragraph" w:styleId="Pieddepage">
    <w:name w:val="footer"/>
    <w:basedOn w:val="Normal"/>
    <w:link w:val="PieddepageCar"/>
    <w:uiPriority w:val="99"/>
    <w:unhideWhenUsed/>
    <w:rsid w:val="00F47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7071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22E9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22E9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22E99"/>
    <w:rPr>
      <w:vertAlign w:val="superscript"/>
    </w:rPr>
  </w:style>
  <w:style w:type="character" w:customStyle="1" w:styleId="Titre7Car">
    <w:name w:val="Titre 7 Car"/>
    <w:basedOn w:val="Policepardfaut"/>
    <w:link w:val="Titre7"/>
    <w:rsid w:val="00722E99"/>
    <w:rPr>
      <w:rFonts w:ascii="Arial" w:eastAsia="Times New Roman" w:hAnsi="Arial" w:cs="Arial"/>
      <w:sz w:val="26"/>
      <w:szCs w:val="26"/>
      <w:lang w:eastAsia="fr-FR"/>
    </w:rPr>
  </w:style>
  <w:style w:type="character" w:styleId="Lienhypertexte">
    <w:name w:val="Hyperlink"/>
    <w:basedOn w:val="Policepardfaut"/>
    <w:uiPriority w:val="99"/>
    <w:unhideWhenUsed/>
    <w:rsid w:val="00B118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CP\Downloads\structure_revenu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>
        <c:manualLayout>
          <c:layoutTarget val="inner"/>
          <c:xMode val="edge"/>
          <c:yMode val="edge"/>
          <c:x val="3.0555555555555561E-2"/>
          <c:y val="1.8518518518518524E-2"/>
          <c:w val="0.96798687664042016"/>
          <c:h val="0.73833333333333351"/>
        </c:manualLayout>
      </c:layout>
      <c:barChart>
        <c:barDir val="col"/>
        <c:grouping val="clustered"/>
        <c:ser>
          <c:idx val="0"/>
          <c:order val="0"/>
          <c:tx>
            <c:strRef>
              <c:f>[structure_revenus.xlsx]Feuil1!$M$2</c:f>
              <c:strCache>
                <c:ptCount val="1"/>
                <c:pt idx="0">
                  <c:v>Ensemble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tx2"/>
                    </a:solidFill>
                  </a:defRPr>
                </a:pPr>
                <a:endParaRPr lang="fr-FR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[structure_revenus.xlsx]Feuil1!$L$3:$L$8</c:f>
              <c:strCache>
                <c:ptCount val="6"/>
                <c:pt idx="0">
                  <c:v>Salaires</c:v>
                </c:pt>
                <c:pt idx="1">
                  <c:v>Transferts</c:v>
                </c:pt>
                <c:pt idx="2">
                  <c:v>Revenu d'activité indépendante non agricole</c:v>
                </c:pt>
                <c:pt idx="3">
                  <c:v>Revenu d'activité agricole</c:v>
                </c:pt>
                <c:pt idx="4">
                  <c:v>Revenu d'activité de location et de patrimoine</c:v>
                </c:pt>
                <c:pt idx="5">
                  <c:v>Revenus divers</c:v>
                </c:pt>
              </c:strCache>
            </c:strRef>
          </c:cat>
          <c:val>
            <c:numRef>
              <c:f>[structure_revenus.xlsx]Feuil1!$M$3:$M$8</c:f>
              <c:numCache>
                <c:formatCode>0.0</c:formatCode>
                <c:ptCount val="6"/>
                <c:pt idx="0">
                  <c:v>38.200000000000003</c:v>
                </c:pt>
                <c:pt idx="1">
                  <c:v>20.122286776667433</c:v>
                </c:pt>
                <c:pt idx="2">
                  <c:v>17.512191494306297</c:v>
                </c:pt>
                <c:pt idx="3">
                  <c:v>10.33445503137346</c:v>
                </c:pt>
                <c:pt idx="4">
                  <c:v>11.08458749709505</c:v>
                </c:pt>
                <c:pt idx="5">
                  <c:v>2.8</c:v>
                </c:pt>
              </c:numCache>
            </c:numRef>
          </c:val>
        </c:ser>
        <c:ser>
          <c:idx val="1"/>
          <c:order val="1"/>
          <c:tx>
            <c:strRef>
              <c:f>[structure_revenus.xlsx]Feuil1!$N$2</c:f>
              <c:strCache>
                <c:ptCount val="1"/>
                <c:pt idx="0">
                  <c:v>Urbain </c:v>
                </c:pt>
              </c:strCache>
            </c:strRef>
          </c:tx>
          <c:dLbls>
            <c:dLbl>
              <c:idx val="4"/>
              <c:layout>
                <c:manualLayout>
                  <c:x val="-2.485243621387329E-3"/>
                  <c:y val="-4.6296296296296321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rgbClr val="C00000"/>
                    </a:solidFill>
                  </a:defRPr>
                </a:pPr>
                <a:endParaRPr lang="fr-FR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[structure_revenus.xlsx]Feuil1!$L$3:$L$8</c:f>
              <c:strCache>
                <c:ptCount val="6"/>
                <c:pt idx="0">
                  <c:v>Salaires</c:v>
                </c:pt>
                <c:pt idx="1">
                  <c:v>Transferts</c:v>
                </c:pt>
                <c:pt idx="2">
                  <c:v>Revenu d'activité indépendante non agricole</c:v>
                </c:pt>
                <c:pt idx="3">
                  <c:v>Revenu d'activité agricole</c:v>
                </c:pt>
                <c:pt idx="4">
                  <c:v>Revenu d'activité de location et de patrimoine</c:v>
                </c:pt>
                <c:pt idx="5">
                  <c:v>Revenus divers</c:v>
                </c:pt>
              </c:strCache>
            </c:strRef>
          </c:cat>
          <c:val>
            <c:numRef>
              <c:f>[structure_revenus.xlsx]Feuil1!$N$3:$N$8</c:f>
              <c:numCache>
                <c:formatCode>0.0</c:formatCode>
                <c:ptCount val="6"/>
                <c:pt idx="0">
                  <c:v>43.652247744213327</c:v>
                </c:pt>
                <c:pt idx="1">
                  <c:v>22.276520972984173</c:v>
                </c:pt>
                <c:pt idx="2">
                  <c:v>19.523478946991464</c:v>
                </c:pt>
                <c:pt idx="3">
                  <c:v>0.68947467609140278</c:v>
                </c:pt>
                <c:pt idx="4">
                  <c:v>11.321194171505807</c:v>
                </c:pt>
                <c:pt idx="5">
                  <c:v>2.5370834882138125</c:v>
                </c:pt>
              </c:numCache>
            </c:numRef>
          </c:val>
        </c:ser>
        <c:ser>
          <c:idx val="2"/>
          <c:order val="2"/>
          <c:tx>
            <c:strRef>
              <c:f>[structure_revenus.xlsx]Feuil1!$O$2</c:f>
              <c:strCache>
                <c:ptCount val="1"/>
                <c:pt idx="0">
                  <c:v>Rural</c:v>
                </c:pt>
              </c:strCache>
            </c:strRef>
          </c:tx>
          <c:dLbls>
            <c:dLbl>
              <c:idx val="0"/>
              <c:layout>
                <c:manualLayout>
                  <c:x val="1.491146172832452E-2"/>
                  <c:y val="-1.8518518518518486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5753057271488971E-2"/>
                  <c:y val="-4.629629629629632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accent3">
                        <a:lumMod val="50000"/>
                      </a:schemeClr>
                    </a:solidFill>
                  </a:defRPr>
                </a:pPr>
                <a:endParaRPr lang="fr-FR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[structure_revenus.xlsx]Feuil1!$L$3:$L$8</c:f>
              <c:strCache>
                <c:ptCount val="6"/>
                <c:pt idx="0">
                  <c:v>Salaires</c:v>
                </c:pt>
                <c:pt idx="1">
                  <c:v>Transferts</c:v>
                </c:pt>
                <c:pt idx="2">
                  <c:v>Revenu d'activité indépendante non agricole</c:v>
                </c:pt>
                <c:pt idx="3">
                  <c:v>Revenu d'activité agricole</c:v>
                </c:pt>
                <c:pt idx="4">
                  <c:v>Revenu d'activité de location et de patrimoine</c:v>
                </c:pt>
                <c:pt idx="5">
                  <c:v>Revenus divers</c:v>
                </c:pt>
              </c:strCache>
            </c:strRef>
          </c:cat>
          <c:val>
            <c:numRef>
              <c:f>[structure_revenus.xlsx]Feuil1!$O$3:$O$8</c:f>
              <c:numCache>
                <c:formatCode>0.0</c:formatCode>
                <c:ptCount val="6"/>
                <c:pt idx="0">
                  <c:v>22.71181277650247</c:v>
                </c:pt>
                <c:pt idx="1">
                  <c:v>14.200620290942934</c:v>
                </c:pt>
                <c:pt idx="2">
                  <c:v>11.983350085216099</c:v>
                </c:pt>
                <c:pt idx="3">
                  <c:v>36.855950088814971</c:v>
                </c:pt>
                <c:pt idx="4">
                  <c:v>10.434974846469641</c:v>
                </c:pt>
                <c:pt idx="5">
                  <c:v>3.8132809869129662</c:v>
                </c:pt>
              </c:numCache>
            </c:numRef>
          </c:val>
        </c:ser>
        <c:axId val="95365376"/>
        <c:axId val="95375360"/>
      </c:barChart>
      <c:catAx>
        <c:axId val="95365376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900" b="1"/>
            </a:pPr>
            <a:endParaRPr lang="fr-FR"/>
          </a:p>
        </c:txPr>
        <c:crossAx val="95375360"/>
        <c:crosses val="autoZero"/>
        <c:auto val="1"/>
        <c:lblAlgn val="ctr"/>
        <c:lblOffset val="100"/>
      </c:catAx>
      <c:valAx>
        <c:axId val="95375360"/>
        <c:scaling>
          <c:orientation val="minMax"/>
        </c:scaling>
        <c:delete val="1"/>
        <c:axPos val="l"/>
        <c:numFmt formatCode="0.0" sourceLinked="1"/>
        <c:tickLblPos val="none"/>
        <c:crossAx val="953653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155622628867234"/>
          <c:y val="1.3312919218431038E-2"/>
          <c:w val="0.33843597552563415"/>
          <c:h val="0.13078120443277924"/>
        </c:manualLayout>
      </c:layout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fr-FR"/>
        </a:p>
      </c:txPr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E56E8-2CDA-43E2-A162-0772EE7A6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1041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Finances</Company>
  <LinksUpToDate>false</LinksUpToDate>
  <CharactersWithSpaces>6758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jjj</dc:creator>
  <cp:lastModifiedBy>HCP</cp:lastModifiedBy>
  <cp:revision>3</cp:revision>
  <cp:lastPrinted>2021-05-18T11:38:00Z</cp:lastPrinted>
  <dcterms:created xsi:type="dcterms:W3CDTF">2021-05-18T14:49:00Z</dcterms:created>
  <dcterms:modified xsi:type="dcterms:W3CDTF">2021-05-18T15:43:00Z</dcterms:modified>
</cp:coreProperties>
</file>