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49" w:rsidRPr="007045A6" w:rsidRDefault="001319A0" w:rsidP="000F2A4F">
      <w:pPr>
        <w:pStyle w:val="PrformatHTML"/>
        <w:shd w:val="clear" w:color="auto" w:fill="FFFFFF" w:themeFill="background1"/>
        <w:bidi/>
        <w:spacing w:line="360" w:lineRule="auto"/>
        <w:jc w:val="center"/>
        <w:rPr>
          <w:rFonts w:asciiTheme="majorBidi" w:hAnsiTheme="majorBidi" w:cstheme="majorBidi"/>
          <w:b/>
          <w:bCs/>
          <w:i/>
          <w:iCs/>
          <w:color w:val="548DD4" w:themeColor="text2" w:themeTint="99"/>
          <w:sz w:val="36"/>
          <w:szCs w:val="36"/>
          <w:rtl/>
        </w:rPr>
      </w:pPr>
      <w:bookmarkStart w:id="0" w:name="_GoBack"/>
      <w:bookmarkEnd w:id="0"/>
      <w:r>
        <w:rPr>
          <w:rFonts w:asciiTheme="majorBidi" w:hAnsiTheme="majorBidi" w:cstheme="majorBidi" w:hint="cs"/>
          <w:b/>
          <w:bCs/>
          <w:i/>
          <w:iCs/>
          <w:color w:val="548DD4" w:themeColor="text2" w:themeTint="99"/>
          <w:sz w:val="36"/>
          <w:szCs w:val="36"/>
          <w:rtl/>
        </w:rPr>
        <w:t xml:space="preserve">تمييز </w:t>
      </w:r>
      <w:r w:rsidR="000F2A4F">
        <w:rPr>
          <w:rFonts w:asciiTheme="majorBidi" w:hAnsiTheme="majorBidi" w:cstheme="majorBidi" w:hint="cs"/>
          <w:b/>
          <w:bCs/>
          <w:i/>
          <w:iCs/>
          <w:color w:val="548DD4" w:themeColor="text2" w:themeTint="99"/>
          <w:sz w:val="36"/>
          <w:szCs w:val="36"/>
          <w:rtl/>
          <w:lang w:bidi="ar-DZ"/>
        </w:rPr>
        <w:t>ال</w:t>
      </w:r>
      <w:r w:rsidR="000F2A4F">
        <w:rPr>
          <w:rFonts w:asciiTheme="majorBidi" w:hAnsiTheme="majorBidi" w:cstheme="majorBidi" w:hint="cs"/>
          <w:b/>
          <w:bCs/>
          <w:i/>
          <w:iCs/>
          <w:color w:val="548DD4" w:themeColor="text2" w:themeTint="99"/>
          <w:sz w:val="36"/>
          <w:szCs w:val="36"/>
          <w:rtl/>
        </w:rPr>
        <w:t xml:space="preserve">عنف </w:t>
      </w:r>
      <w:r>
        <w:rPr>
          <w:rFonts w:asciiTheme="majorBidi" w:hAnsiTheme="majorBidi" w:cstheme="majorBidi" w:hint="cs"/>
          <w:b/>
          <w:bCs/>
          <w:i/>
          <w:iCs/>
          <w:color w:val="548DD4" w:themeColor="text2" w:themeTint="99"/>
          <w:sz w:val="36"/>
          <w:szCs w:val="36"/>
          <w:rtl/>
        </w:rPr>
        <w:t xml:space="preserve">بين </w:t>
      </w:r>
      <w:r w:rsidR="002A6082">
        <w:rPr>
          <w:rFonts w:asciiTheme="majorBidi" w:hAnsiTheme="majorBidi" w:cstheme="majorBidi" w:hint="cs"/>
          <w:b/>
          <w:bCs/>
          <w:i/>
          <w:iCs/>
          <w:color w:val="548DD4" w:themeColor="text2" w:themeTint="99"/>
          <w:sz w:val="36"/>
          <w:szCs w:val="36"/>
          <w:rtl/>
        </w:rPr>
        <w:t>النساء والرجال و</w:t>
      </w:r>
      <w:r w:rsidR="000B26C6" w:rsidRPr="007045A6">
        <w:rPr>
          <w:rFonts w:asciiTheme="majorBidi" w:hAnsiTheme="majorBidi" w:cstheme="majorBidi"/>
          <w:b/>
          <w:bCs/>
          <w:i/>
          <w:iCs/>
          <w:color w:val="548DD4" w:themeColor="text2" w:themeTint="99"/>
          <w:sz w:val="36"/>
          <w:szCs w:val="36"/>
          <w:rtl/>
        </w:rPr>
        <w:t>التصورات الذكورية ل</w:t>
      </w:r>
      <w:r w:rsidR="00D74B7E" w:rsidRPr="007045A6">
        <w:rPr>
          <w:rFonts w:asciiTheme="majorBidi" w:hAnsiTheme="majorBidi" w:cstheme="majorBidi"/>
          <w:b/>
          <w:bCs/>
          <w:i/>
          <w:iCs/>
          <w:color w:val="548DD4" w:themeColor="text2" w:themeTint="99"/>
          <w:sz w:val="36"/>
          <w:szCs w:val="36"/>
          <w:rtl/>
        </w:rPr>
        <w:t>لعنف</w:t>
      </w:r>
    </w:p>
    <w:p w:rsidR="00AC559B" w:rsidRPr="007045A6" w:rsidRDefault="00AC559B" w:rsidP="007045A6">
      <w:pPr>
        <w:pStyle w:val="PrformatHTML"/>
        <w:shd w:val="clear" w:color="auto" w:fill="FFFFFF" w:themeFill="background1"/>
        <w:bidi/>
        <w:spacing w:line="360" w:lineRule="auto"/>
        <w:jc w:val="both"/>
        <w:rPr>
          <w:rFonts w:asciiTheme="majorBidi" w:hAnsiTheme="majorBidi" w:cstheme="majorBidi"/>
          <w:color w:val="000000"/>
          <w:sz w:val="26"/>
          <w:szCs w:val="26"/>
          <w:rtl/>
        </w:rPr>
      </w:pPr>
    </w:p>
    <w:p w:rsidR="003B42F0" w:rsidRPr="007045A6" w:rsidRDefault="003B42F0" w:rsidP="002A6082">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تسلط هذه المذكرة الضوء </w:t>
      </w:r>
      <w:r w:rsidR="002A6082" w:rsidRPr="007045A6">
        <w:rPr>
          <w:rFonts w:asciiTheme="majorBidi" w:hAnsiTheme="majorBidi" w:cstheme="majorBidi"/>
          <w:color w:val="202124"/>
          <w:sz w:val="26"/>
          <w:szCs w:val="26"/>
          <w:rtl/>
        </w:rPr>
        <w:t xml:space="preserve">على الاختلافات الرئيسية المتعلقة بتجليات العنف </w:t>
      </w:r>
      <w:r w:rsidR="002A6082">
        <w:rPr>
          <w:rFonts w:asciiTheme="majorBidi" w:hAnsiTheme="majorBidi" w:cstheme="majorBidi" w:hint="cs"/>
          <w:color w:val="202124"/>
          <w:sz w:val="26"/>
          <w:szCs w:val="26"/>
          <w:rtl/>
        </w:rPr>
        <w:t xml:space="preserve">عند النساء والرجال </w:t>
      </w:r>
      <w:r w:rsidR="002A6082" w:rsidRPr="007045A6">
        <w:rPr>
          <w:rFonts w:asciiTheme="majorBidi" w:hAnsiTheme="majorBidi" w:cstheme="majorBidi"/>
          <w:color w:val="202124"/>
          <w:sz w:val="26"/>
          <w:szCs w:val="26"/>
          <w:rtl/>
        </w:rPr>
        <w:t xml:space="preserve">وكذا </w:t>
      </w:r>
      <w:r w:rsidRPr="007045A6">
        <w:rPr>
          <w:rFonts w:asciiTheme="majorBidi" w:hAnsiTheme="majorBidi" w:cstheme="majorBidi"/>
          <w:color w:val="202124"/>
          <w:sz w:val="26"/>
          <w:szCs w:val="26"/>
          <w:rtl/>
        </w:rPr>
        <w:t xml:space="preserve">تصورات الرجال حول العنف </w:t>
      </w:r>
      <w:r w:rsidR="002A6082" w:rsidRPr="007045A6">
        <w:rPr>
          <w:rFonts w:asciiTheme="majorBidi" w:hAnsiTheme="majorBidi" w:cstheme="majorBidi"/>
          <w:color w:val="202124"/>
          <w:sz w:val="26"/>
          <w:szCs w:val="26"/>
          <w:rtl/>
        </w:rPr>
        <w:t xml:space="preserve">من </w:t>
      </w:r>
      <w:r w:rsidR="002A6082">
        <w:rPr>
          <w:rFonts w:asciiTheme="majorBidi" w:hAnsiTheme="majorBidi" w:cstheme="majorBidi" w:hint="cs"/>
          <w:color w:val="202124"/>
          <w:sz w:val="26"/>
          <w:szCs w:val="26"/>
          <w:rtl/>
        </w:rPr>
        <w:t xml:space="preserve">أجل </w:t>
      </w:r>
      <w:r w:rsidR="002A6082" w:rsidRPr="007045A6">
        <w:rPr>
          <w:rFonts w:asciiTheme="majorBidi" w:hAnsiTheme="majorBidi" w:cstheme="majorBidi"/>
          <w:color w:val="202124"/>
          <w:sz w:val="26"/>
          <w:szCs w:val="26"/>
          <w:rtl/>
        </w:rPr>
        <w:t xml:space="preserve">فهم أفضل لظاهرة العنف </w:t>
      </w:r>
      <w:r w:rsidR="002A6082">
        <w:rPr>
          <w:rFonts w:asciiTheme="majorBidi" w:hAnsiTheme="majorBidi" w:cstheme="majorBidi" w:hint="cs"/>
          <w:color w:val="202124"/>
          <w:sz w:val="26"/>
          <w:szCs w:val="26"/>
          <w:rtl/>
        </w:rPr>
        <w:t xml:space="preserve">بمختلف مجالاتها وأشكالها. </w:t>
      </w:r>
    </w:p>
    <w:p w:rsidR="003B42F0" w:rsidRDefault="003B42F0" w:rsidP="00683B13">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وهكذا، ومن خلال نتائج البحث الوطني حول العنف ضد النساء والرجال لسنة 2019، يتبين أن 50٪ من السكان الذين تتراوح أعمارهم بين 15 </w:t>
      </w:r>
      <w:r w:rsidR="005729BF" w:rsidRPr="007045A6">
        <w:rPr>
          <w:rFonts w:asciiTheme="majorBidi" w:hAnsiTheme="majorBidi" w:cstheme="majorBidi" w:hint="cs"/>
          <w:color w:val="202124"/>
          <w:sz w:val="26"/>
          <w:szCs w:val="26"/>
          <w:rtl/>
        </w:rPr>
        <w:t>و74 سنة</w:t>
      </w:r>
      <w:r w:rsidRPr="007045A6">
        <w:rPr>
          <w:rFonts w:asciiTheme="majorBidi" w:hAnsiTheme="majorBidi" w:cstheme="majorBidi"/>
          <w:color w:val="202124"/>
          <w:sz w:val="26"/>
          <w:szCs w:val="26"/>
          <w:rtl/>
        </w:rPr>
        <w:t xml:space="preserve"> قد تعرضوا إلى فعل عنف واحد على الأقل خلال الاثني عشر شهرًا التي سبقت البحث، 57 ٪ من بين النساء </w:t>
      </w:r>
      <w:r w:rsidR="005729BF" w:rsidRPr="007045A6">
        <w:rPr>
          <w:rFonts w:asciiTheme="majorBidi" w:hAnsiTheme="majorBidi" w:cstheme="majorBidi" w:hint="cs"/>
          <w:color w:val="202124"/>
          <w:sz w:val="26"/>
          <w:szCs w:val="26"/>
          <w:rtl/>
        </w:rPr>
        <w:t>و42</w:t>
      </w:r>
      <w:r w:rsidRPr="007045A6">
        <w:rPr>
          <w:rFonts w:asciiTheme="majorBidi" w:hAnsiTheme="majorBidi" w:cstheme="majorBidi"/>
          <w:color w:val="202124"/>
          <w:sz w:val="26"/>
          <w:szCs w:val="26"/>
          <w:rtl/>
        </w:rPr>
        <w:t>٪ من بين الرجال</w:t>
      </w:r>
      <w:r w:rsidRPr="007045A6">
        <w:rPr>
          <w:rFonts w:asciiTheme="majorBidi" w:hAnsiTheme="majorBidi" w:cstheme="majorBidi"/>
          <w:color w:val="202124"/>
          <w:sz w:val="26"/>
          <w:szCs w:val="26"/>
        </w:rPr>
        <w:t>.</w:t>
      </w:r>
    </w:p>
    <w:p w:rsidR="00683B13" w:rsidRPr="007045A6" w:rsidRDefault="00683B13" w:rsidP="00683B13">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683B13">
        <w:rPr>
          <w:rFonts w:asciiTheme="majorBidi" w:hAnsiTheme="majorBidi" w:cs="Times New Roman"/>
          <w:color w:val="202124"/>
          <w:sz w:val="26"/>
          <w:szCs w:val="26"/>
          <w:rtl/>
        </w:rPr>
        <w:t>بالإضافة إلى اتجاه</w:t>
      </w:r>
      <w:r>
        <w:rPr>
          <w:rFonts w:asciiTheme="majorBidi" w:hAnsiTheme="majorBidi" w:cs="Times New Roman" w:hint="cs"/>
          <w:color w:val="202124"/>
          <w:sz w:val="26"/>
          <w:szCs w:val="26"/>
          <w:rtl/>
        </w:rPr>
        <w:t>ات</w:t>
      </w:r>
      <w:r w:rsidRPr="00683B13">
        <w:rPr>
          <w:rFonts w:asciiTheme="majorBidi" w:hAnsiTheme="majorBidi" w:cs="Times New Roman"/>
          <w:color w:val="202124"/>
          <w:sz w:val="26"/>
          <w:szCs w:val="26"/>
          <w:rtl/>
        </w:rPr>
        <w:t xml:space="preserve"> العنف في المجتمع الذي تتعرض له المرأة، يتجلى العنف </w:t>
      </w:r>
      <w:r>
        <w:rPr>
          <w:rFonts w:asciiTheme="majorBidi" w:hAnsiTheme="majorBidi" w:cs="Times New Roman" w:hint="cs"/>
          <w:color w:val="202124"/>
          <w:sz w:val="26"/>
          <w:szCs w:val="26"/>
          <w:rtl/>
        </w:rPr>
        <w:t>كذلك عند</w:t>
      </w:r>
      <w:r w:rsidRPr="00683B13">
        <w:rPr>
          <w:rFonts w:asciiTheme="majorBidi" w:hAnsiTheme="majorBidi" w:cs="Times New Roman"/>
          <w:color w:val="202124"/>
          <w:sz w:val="26"/>
          <w:szCs w:val="26"/>
          <w:rtl/>
        </w:rPr>
        <w:t xml:space="preserve"> الرجال أيضًا </w:t>
      </w:r>
      <w:r>
        <w:rPr>
          <w:rFonts w:asciiTheme="majorBidi" w:hAnsiTheme="majorBidi" w:cs="Times New Roman" w:hint="cs"/>
          <w:color w:val="202124"/>
          <w:sz w:val="26"/>
          <w:szCs w:val="26"/>
          <w:rtl/>
        </w:rPr>
        <w:t xml:space="preserve">ولكن </w:t>
      </w:r>
      <w:r w:rsidRPr="00683B13">
        <w:rPr>
          <w:rFonts w:asciiTheme="majorBidi" w:hAnsiTheme="majorBidi" w:cs="Times New Roman"/>
          <w:color w:val="202124"/>
          <w:sz w:val="26"/>
          <w:szCs w:val="26"/>
          <w:rtl/>
        </w:rPr>
        <w:t>ب</w:t>
      </w:r>
      <w:r>
        <w:rPr>
          <w:rFonts w:asciiTheme="majorBidi" w:hAnsiTheme="majorBidi" w:cs="Times New Roman" w:hint="cs"/>
          <w:color w:val="202124"/>
          <w:sz w:val="26"/>
          <w:szCs w:val="26"/>
          <w:rtl/>
        </w:rPr>
        <w:t>حد</w:t>
      </w:r>
      <w:r w:rsidRPr="00683B13">
        <w:rPr>
          <w:rFonts w:asciiTheme="majorBidi" w:hAnsiTheme="majorBidi" w:cs="Times New Roman"/>
          <w:color w:val="202124"/>
          <w:sz w:val="26"/>
          <w:szCs w:val="26"/>
          <w:rtl/>
        </w:rPr>
        <w:t>ة أقل.</w:t>
      </w:r>
    </w:p>
    <w:p w:rsidR="00683B13" w:rsidRDefault="00683B13" w:rsidP="007045A6">
      <w:pPr>
        <w:pStyle w:val="PrformatHTML"/>
        <w:shd w:val="clear" w:color="auto" w:fill="FFFFFF" w:themeFill="background1"/>
        <w:bidi/>
        <w:spacing w:line="360" w:lineRule="auto"/>
        <w:jc w:val="both"/>
        <w:rPr>
          <w:rFonts w:asciiTheme="majorBidi" w:hAnsiTheme="majorBidi" w:cstheme="majorBidi"/>
          <w:b/>
          <w:bCs/>
          <w:i/>
          <w:iCs/>
          <w:color w:val="548DD4" w:themeColor="text2" w:themeTint="99"/>
          <w:sz w:val="28"/>
          <w:szCs w:val="28"/>
        </w:rPr>
      </w:pPr>
    </w:p>
    <w:p w:rsidR="003B42F0" w:rsidRDefault="003B42F0" w:rsidP="00683B13">
      <w:pPr>
        <w:pStyle w:val="PrformatHTML"/>
        <w:shd w:val="clear" w:color="auto" w:fill="FFFFFF" w:themeFill="background1"/>
        <w:bidi/>
        <w:spacing w:line="360" w:lineRule="auto"/>
        <w:jc w:val="both"/>
        <w:rPr>
          <w:rFonts w:asciiTheme="majorBidi" w:hAnsiTheme="majorBidi" w:cstheme="majorBidi"/>
          <w:b/>
          <w:bCs/>
          <w:i/>
          <w:iCs/>
          <w:color w:val="548DD4" w:themeColor="text2" w:themeTint="99"/>
          <w:sz w:val="28"/>
          <w:szCs w:val="28"/>
        </w:rPr>
      </w:pPr>
      <w:r w:rsidRPr="007045A6">
        <w:rPr>
          <w:rFonts w:asciiTheme="majorBidi" w:hAnsiTheme="majorBidi" w:cstheme="majorBidi"/>
          <w:b/>
          <w:bCs/>
          <w:i/>
          <w:iCs/>
          <w:color w:val="548DD4" w:themeColor="text2" w:themeTint="99"/>
          <w:sz w:val="28"/>
          <w:szCs w:val="28"/>
          <w:rtl/>
        </w:rPr>
        <w:t>النساء ضحايا للعنف أكثر من الرجال وذلك في جميع فضاءات العيش وبمختلف أشكاله</w:t>
      </w:r>
    </w:p>
    <w:p w:rsidR="003B42F0" w:rsidRPr="007045A6" w:rsidRDefault="003B42F0"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يعتبر الفضاء الزوجي هو الفضاء المعيشي الأكثر اتساما بالعنف وذلك بالنسبة لكل من النساء والرجال، حيث أن 53٪ من جميع أشكال العنف التي تتعرض لها النساء </w:t>
      </w:r>
      <w:r w:rsidR="005729BF" w:rsidRPr="007045A6">
        <w:rPr>
          <w:rFonts w:asciiTheme="majorBidi" w:hAnsiTheme="majorBidi" w:cstheme="majorBidi" w:hint="cs"/>
          <w:color w:val="202124"/>
          <w:sz w:val="26"/>
          <w:szCs w:val="26"/>
          <w:rtl/>
        </w:rPr>
        <w:t>و39</w:t>
      </w:r>
      <w:r w:rsidRPr="007045A6">
        <w:rPr>
          <w:rFonts w:asciiTheme="majorBidi" w:hAnsiTheme="majorBidi" w:cstheme="majorBidi"/>
          <w:color w:val="202124"/>
          <w:sz w:val="26"/>
          <w:szCs w:val="26"/>
          <w:rtl/>
        </w:rPr>
        <w:t>٪ من جميع أشكال العنف لدى الرجال مرتكبة من طرف الشريك(ة) الحميم(ة).</w:t>
      </w:r>
    </w:p>
    <w:p w:rsidR="003B42F0" w:rsidRPr="007045A6" w:rsidRDefault="003B42F0"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كما أن من بين جميع أشكال </w:t>
      </w:r>
      <w:r w:rsidR="000F779D" w:rsidRPr="007045A6">
        <w:rPr>
          <w:rFonts w:asciiTheme="majorBidi" w:hAnsiTheme="majorBidi" w:cstheme="majorBidi" w:hint="cs"/>
          <w:color w:val="202124"/>
          <w:sz w:val="26"/>
          <w:szCs w:val="26"/>
          <w:rtl/>
        </w:rPr>
        <w:t>العنف،</w:t>
      </w:r>
      <w:r w:rsidRPr="007045A6">
        <w:rPr>
          <w:rFonts w:asciiTheme="majorBidi" w:hAnsiTheme="majorBidi" w:cstheme="majorBidi"/>
          <w:color w:val="202124"/>
          <w:sz w:val="26"/>
          <w:szCs w:val="26"/>
          <w:rtl/>
        </w:rPr>
        <w:t xml:space="preserve"> يبقى العنف النفسي هو الشكل الأكثر انتشارًا، حيث يمثل 54٪ من جميع أشكال العنف التي تتعرض لها النساء </w:t>
      </w:r>
      <w:r w:rsidR="005729BF" w:rsidRPr="007045A6">
        <w:rPr>
          <w:rFonts w:asciiTheme="majorBidi" w:hAnsiTheme="majorBidi" w:cstheme="majorBidi" w:hint="cs"/>
          <w:color w:val="202124"/>
          <w:sz w:val="26"/>
          <w:szCs w:val="26"/>
          <w:rtl/>
        </w:rPr>
        <w:t>و73</w:t>
      </w:r>
      <w:r w:rsidRPr="007045A6">
        <w:rPr>
          <w:rFonts w:asciiTheme="majorBidi" w:hAnsiTheme="majorBidi" w:cstheme="majorBidi"/>
          <w:color w:val="202124"/>
          <w:sz w:val="26"/>
          <w:szCs w:val="26"/>
          <w:rtl/>
        </w:rPr>
        <w:t>٪ من العنف الذي يعاني منه الرجال.</w:t>
      </w:r>
    </w:p>
    <w:p w:rsidR="003B42F0" w:rsidRPr="007045A6" w:rsidRDefault="003B42F0" w:rsidP="005729BF">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ويُظهر تحليل </w:t>
      </w:r>
      <w:r w:rsidR="005729BF" w:rsidRPr="007045A6">
        <w:rPr>
          <w:rFonts w:asciiTheme="majorBidi" w:hAnsiTheme="majorBidi" w:cstheme="majorBidi" w:hint="cs"/>
          <w:color w:val="202124"/>
          <w:sz w:val="26"/>
          <w:szCs w:val="26"/>
          <w:rtl/>
        </w:rPr>
        <w:t>العنف،</w:t>
      </w:r>
      <w:r w:rsidRPr="007045A6">
        <w:rPr>
          <w:rFonts w:asciiTheme="majorBidi" w:hAnsiTheme="majorBidi" w:cstheme="majorBidi"/>
          <w:color w:val="202124"/>
          <w:sz w:val="26"/>
          <w:szCs w:val="26"/>
          <w:rtl/>
        </w:rPr>
        <w:t xml:space="preserve"> بشكل عام، أن النساء يتعرضن أكثر للعنف في جميع فضاءات العيش وبمختلف أشكاله. وهكذا وحسب نوع العنف، فإن الفارق بين معدلات انتشار العنف الذي تتعرض له المرأة والرجل هو 13 نقطة بالنسبة للعنف الاقتصادي، </w:t>
      </w:r>
      <w:r w:rsidR="005729BF" w:rsidRPr="007045A6">
        <w:rPr>
          <w:rFonts w:asciiTheme="majorBidi" w:hAnsiTheme="majorBidi" w:cstheme="majorBidi" w:hint="cs"/>
          <w:color w:val="202124"/>
          <w:sz w:val="26"/>
          <w:szCs w:val="26"/>
          <w:rtl/>
        </w:rPr>
        <w:t>و12 نقطة</w:t>
      </w:r>
      <w:r w:rsidRPr="007045A6">
        <w:rPr>
          <w:rFonts w:asciiTheme="majorBidi" w:hAnsiTheme="majorBidi" w:cstheme="majorBidi"/>
          <w:color w:val="202124"/>
          <w:sz w:val="26"/>
          <w:szCs w:val="26"/>
          <w:rtl/>
        </w:rPr>
        <w:t xml:space="preserve"> بالنسبة للعنف الجنسي، </w:t>
      </w:r>
      <w:r w:rsidR="005729BF" w:rsidRPr="007045A6">
        <w:rPr>
          <w:rFonts w:asciiTheme="majorBidi" w:hAnsiTheme="majorBidi" w:cstheme="majorBidi" w:hint="cs"/>
          <w:color w:val="202124"/>
          <w:sz w:val="26"/>
          <w:szCs w:val="26"/>
          <w:rtl/>
        </w:rPr>
        <w:t>و10 نقاط</w:t>
      </w:r>
      <w:r w:rsidRPr="007045A6">
        <w:rPr>
          <w:rFonts w:asciiTheme="majorBidi" w:hAnsiTheme="majorBidi" w:cstheme="majorBidi"/>
          <w:color w:val="202124"/>
          <w:sz w:val="26"/>
          <w:szCs w:val="26"/>
          <w:rtl/>
        </w:rPr>
        <w:t xml:space="preserve"> بالنسبة للعنف النفسي، ونقطتان بالنسبة للعنف الجسدي. وحسب مجال العيش، يصل هذا الفارق إلى 16 نقطة في الفضاء الزوجي، و11 نقطة بالنسبة لمؤسسات التعليم والتكوين، و7 نقاط في الفضاء العائلي </w:t>
      </w:r>
      <w:r w:rsidR="005729BF" w:rsidRPr="007045A6">
        <w:rPr>
          <w:rFonts w:asciiTheme="majorBidi" w:hAnsiTheme="majorBidi" w:cstheme="majorBidi" w:hint="cs"/>
          <w:color w:val="202124"/>
          <w:sz w:val="26"/>
          <w:szCs w:val="26"/>
          <w:rtl/>
        </w:rPr>
        <w:t xml:space="preserve">و3 </w:t>
      </w:r>
      <w:r w:rsidRPr="007045A6">
        <w:rPr>
          <w:rFonts w:asciiTheme="majorBidi" w:hAnsiTheme="majorBidi" w:cstheme="majorBidi"/>
          <w:color w:val="202124"/>
          <w:sz w:val="26"/>
          <w:szCs w:val="26"/>
          <w:rtl/>
        </w:rPr>
        <w:t>نقاط في الأماكن العامة. أما بالنسبة لمكان العمل، فإن معدل انتشار العنف بين الرجال يفوق بنقطة واحدة معدل انتشار العنف بين النساء.</w:t>
      </w:r>
    </w:p>
    <w:p w:rsid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tl/>
        </w:rPr>
      </w:pPr>
    </w:p>
    <w:p w:rsid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tl/>
        </w:rPr>
      </w:pPr>
    </w:p>
    <w:p w:rsid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tl/>
        </w:rPr>
      </w:pPr>
    </w:p>
    <w:p w:rsid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tl/>
        </w:rPr>
      </w:pPr>
    </w:p>
    <w:p w:rsid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Pr>
      </w:pPr>
    </w:p>
    <w:p w:rsidR="00683B13" w:rsidRDefault="00683B13" w:rsidP="00683B13">
      <w:pPr>
        <w:pStyle w:val="PrformatHTML"/>
        <w:shd w:val="clear" w:color="auto" w:fill="FFFFFF" w:themeFill="background1"/>
        <w:bidi/>
        <w:spacing w:line="360" w:lineRule="auto"/>
        <w:jc w:val="both"/>
        <w:rPr>
          <w:rFonts w:asciiTheme="majorBidi" w:hAnsiTheme="majorBidi" w:cstheme="majorBidi"/>
          <w:b/>
          <w:bCs/>
          <w:color w:val="202124"/>
          <w:sz w:val="26"/>
          <w:szCs w:val="26"/>
        </w:rPr>
      </w:pPr>
    </w:p>
    <w:p w:rsidR="00683B13" w:rsidRDefault="00683B13" w:rsidP="00683B13">
      <w:pPr>
        <w:pStyle w:val="PrformatHTML"/>
        <w:shd w:val="clear" w:color="auto" w:fill="FFFFFF" w:themeFill="background1"/>
        <w:bidi/>
        <w:spacing w:line="360" w:lineRule="auto"/>
        <w:jc w:val="both"/>
        <w:rPr>
          <w:rFonts w:asciiTheme="majorBidi" w:hAnsiTheme="majorBidi" w:cstheme="majorBidi"/>
          <w:b/>
          <w:bCs/>
          <w:color w:val="202124"/>
          <w:sz w:val="26"/>
          <w:szCs w:val="26"/>
          <w:rtl/>
        </w:rPr>
      </w:pPr>
    </w:p>
    <w:p w:rsidR="006C2995" w:rsidRDefault="006C2995" w:rsidP="006C2995">
      <w:pPr>
        <w:pStyle w:val="PrformatHTML"/>
        <w:shd w:val="clear" w:color="auto" w:fill="FFFFFF" w:themeFill="background1"/>
        <w:bidi/>
        <w:spacing w:line="360" w:lineRule="auto"/>
        <w:jc w:val="both"/>
        <w:rPr>
          <w:rFonts w:asciiTheme="majorBidi" w:hAnsiTheme="majorBidi" w:cstheme="majorBidi"/>
          <w:b/>
          <w:bCs/>
          <w:color w:val="202124"/>
          <w:sz w:val="26"/>
          <w:szCs w:val="26"/>
          <w:rtl/>
        </w:rPr>
      </w:pPr>
    </w:p>
    <w:p w:rsid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tl/>
        </w:rPr>
      </w:pPr>
    </w:p>
    <w:p w:rsidR="00ED54E0" w:rsidRPr="007045A6" w:rsidRDefault="00ED54E0" w:rsidP="00234FBD">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b/>
          <w:bCs/>
          <w:color w:val="202124"/>
          <w:sz w:val="26"/>
          <w:szCs w:val="26"/>
          <w:rtl/>
        </w:rPr>
        <w:lastRenderedPageBreak/>
        <w:t xml:space="preserve">الرسم البياني 1: معدل انتشار العنف حسب أشكاله ومجالاته </w:t>
      </w:r>
      <w:r w:rsidR="00234FBD" w:rsidRPr="007045A6">
        <w:rPr>
          <w:rFonts w:asciiTheme="majorBidi" w:hAnsiTheme="majorBidi" w:cstheme="majorBidi"/>
          <w:b/>
          <w:bCs/>
          <w:color w:val="202124"/>
          <w:sz w:val="26"/>
          <w:szCs w:val="26"/>
          <w:rtl/>
        </w:rPr>
        <w:t>لدى النساء والرجال</w:t>
      </w:r>
    </w:p>
    <w:p w:rsidR="00ED54E0" w:rsidRPr="007045A6" w:rsidRDefault="00ED54E0"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noProof/>
          <w:color w:val="202124"/>
          <w:sz w:val="26"/>
          <w:szCs w:val="26"/>
          <w:rtl/>
        </w:rPr>
        <w:drawing>
          <wp:inline distT="0" distB="0" distL="0" distR="0">
            <wp:extent cx="5760720" cy="4253477"/>
            <wp:effectExtent l="19050" t="0" r="11430" b="0"/>
            <wp:docPr id="1" name="Graphique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54E0" w:rsidRPr="007045A6" w:rsidRDefault="00ED54E0" w:rsidP="007045A6">
      <w:pPr>
        <w:shd w:val="clear" w:color="auto" w:fill="FFFFFF" w:themeFill="background1"/>
        <w:bidi/>
        <w:spacing w:line="360" w:lineRule="auto"/>
        <w:jc w:val="both"/>
        <w:rPr>
          <w:rFonts w:asciiTheme="majorBidi" w:hAnsiTheme="majorBidi" w:cstheme="majorBidi"/>
          <w:b/>
          <w:bCs/>
        </w:rPr>
      </w:pPr>
      <w:r w:rsidRPr="007045A6">
        <w:rPr>
          <w:rFonts w:asciiTheme="majorBidi" w:eastAsia="Times New Roman" w:hAnsiTheme="majorBidi" w:cstheme="majorBidi"/>
          <w:b/>
          <w:bCs/>
          <w:color w:val="202124"/>
          <w:rtl/>
          <w:lang w:eastAsia="fr-FR"/>
        </w:rPr>
        <w:t>المصدر</w:t>
      </w:r>
      <w:r w:rsidRPr="007045A6">
        <w:rPr>
          <w:rFonts w:asciiTheme="majorBidi" w:eastAsia="Times New Roman" w:hAnsiTheme="majorBidi" w:cstheme="majorBidi"/>
          <w:b/>
          <w:bCs/>
          <w:color w:val="202124"/>
          <w:lang w:eastAsia="fr-FR"/>
        </w:rPr>
        <w:t xml:space="preserve">: </w:t>
      </w:r>
      <w:r w:rsidRPr="007045A6">
        <w:rPr>
          <w:rFonts w:asciiTheme="majorBidi" w:eastAsia="Times New Roman" w:hAnsiTheme="majorBidi" w:cstheme="majorBidi"/>
          <w:b/>
          <w:bCs/>
          <w:color w:val="202124"/>
          <w:rtl/>
          <w:lang w:eastAsia="fr-FR"/>
        </w:rPr>
        <w:t xml:space="preserve">المندوبية السامية للتخطيط، البحث الوطني للعنف ضد النساء والرجال لسنة </w:t>
      </w:r>
      <w:r w:rsidRPr="007045A6">
        <w:rPr>
          <w:rFonts w:asciiTheme="majorBidi" w:eastAsia="Times New Roman" w:hAnsiTheme="majorBidi" w:cstheme="majorBidi"/>
          <w:b/>
          <w:bCs/>
          <w:color w:val="202124"/>
          <w:lang w:eastAsia="fr-FR"/>
        </w:rPr>
        <w:t>2019</w:t>
      </w:r>
    </w:p>
    <w:p w:rsidR="00ED54E0" w:rsidRPr="007045A6" w:rsidRDefault="00ED54E0"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p>
    <w:p w:rsidR="003B42F0" w:rsidRPr="007045A6" w:rsidRDefault="003B42F0" w:rsidP="007045A6">
      <w:pPr>
        <w:pStyle w:val="PrformatHTML"/>
        <w:shd w:val="clear" w:color="auto" w:fill="FFFFFF" w:themeFill="background1"/>
        <w:bidi/>
        <w:spacing w:line="360" w:lineRule="auto"/>
        <w:jc w:val="both"/>
        <w:rPr>
          <w:rFonts w:asciiTheme="majorBidi" w:hAnsiTheme="majorBidi" w:cstheme="majorBidi"/>
          <w:b/>
          <w:bCs/>
          <w:i/>
          <w:iCs/>
          <w:color w:val="548DD4" w:themeColor="text2" w:themeTint="99"/>
          <w:sz w:val="28"/>
          <w:szCs w:val="28"/>
          <w:rtl/>
        </w:rPr>
      </w:pPr>
      <w:r w:rsidRPr="007045A6">
        <w:rPr>
          <w:rFonts w:asciiTheme="majorBidi" w:hAnsiTheme="majorBidi" w:cstheme="majorBidi"/>
          <w:b/>
          <w:bCs/>
          <w:i/>
          <w:iCs/>
          <w:color w:val="548DD4" w:themeColor="text2" w:themeTint="99"/>
          <w:sz w:val="28"/>
          <w:szCs w:val="28"/>
          <w:rtl/>
        </w:rPr>
        <w:t>يشكل العنف النفسي 94٪ من مجموع أشكال العنف الزوجي الذي يعاني منه الرجال</w:t>
      </w:r>
    </w:p>
    <w:p w:rsidR="003B42F0" w:rsidRPr="007045A6" w:rsidRDefault="003B42F0"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تشير النتائج إلى وجود فوارق كبيرة بين أشكال العنف الذي يعاني منه النساء والرجال وذلك في مختلف فضاءات العيش، حيث يتجلى العنف الذي يعاني منه الرجال داخل السياق الزوجي غالبا في شكله النفسي، إذ يمثل 94٪ من مجموع أشكال العنف الذي يتعرضون له، أما العنف الممارس ضد النساء فيتوزع على أشكال </w:t>
      </w:r>
      <w:r w:rsidR="005729BF" w:rsidRPr="007045A6">
        <w:rPr>
          <w:rFonts w:asciiTheme="majorBidi" w:hAnsiTheme="majorBidi" w:cstheme="majorBidi" w:hint="cs"/>
          <w:color w:val="202124"/>
          <w:sz w:val="26"/>
          <w:szCs w:val="26"/>
          <w:rtl/>
        </w:rPr>
        <w:t>مختلفة؛</w:t>
      </w:r>
      <w:r w:rsidRPr="007045A6">
        <w:rPr>
          <w:rFonts w:asciiTheme="majorBidi" w:hAnsiTheme="majorBidi" w:cstheme="majorBidi"/>
          <w:color w:val="202124"/>
          <w:sz w:val="26"/>
          <w:szCs w:val="26"/>
          <w:rtl/>
        </w:rPr>
        <w:t xml:space="preserve"> 69٪ </w:t>
      </w:r>
      <w:r w:rsidR="005729BF" w:rsidRPr="007045A6">
        <w:rPr>
          <w:rFonts w:asciiTheme="majorBidi" w:hAnsiTheme="majorBidi" w:cstheme="majorBidi" w:hint="cs"/>
          <w:color w:val="202124"/>
          <w:sz w:val="26"/>
          <w:szCs w:val="26"/>
          <w:rtl/>
        </w:rPr>
        <w:t>نفسي،</w:t>
      </w:r>
      <w:r w:rsidRPr="007045A6">
        <w:rPr>
          <w:rFonts w:asciiTheme="majorBidi" w:hAnsiTheme="majorBidi" w:cstheme="majorBidi"/>
          <w:color w:val="202124"/>
          <w:sz w:val="26"/>
          <w:szCs w:val="26"/>
          <w:rtl/>
        </w:rPr>
        <w:t xml:space="preserve"> 12٪ </w:t>
      </w:r>
      <w:r w:rsidR="005729BF" w:rsidRPr="007045A6">
        <w:rPr>
          <w:rFonts w:asciiTheme="majorBidi" w:hAnsiTheme="majorBidi" w:cstheme="majorBidi" w:hint="cs"/>
          <w:color w:val="202124"/>
          <w:sz w:val="26"/>
          <w:szCs w:val="26"/>
          <w:rtl/>
        </w:rPr>
        <w:t>اقتصادي،</w:t>
      </w:r>
      <w:r w:rsidRPr="007045A6">
        <w:rPr>
          <w:rFonts w:asciiTheme="majorBidi" w:hAnsiTheme="majorBidi" w:cstheme="majorBidi"/>
          <w:color w:val="202124"/>
          <w:sz w:val="26"/>
          <w:szCs w:val="26"/>
          <w:rtl/>
        </w:rPr>
        <w:t xml:space="preserve"> 11٪ </w:t>
      </w:r>
      <w:r w:rsidR="005729BF" w:rsidRPr="007045A6">
        <w:rPr>
          <w:rFonts w:asciiTheme="majorBidi" w:hAnsiTheme="majorBidi" w:cstheme="majorBidi" w:hint="cs"/>
          <w:color w:val="202124"/>
          <w:sz w:val="26"/>
          <w:szCs w:val="26"/>
          <w:rtl/>
        </w:rPr>
        <w:t>جسدي،</w:t>
      </w:r>
      <w:r w:rsidRPr="007045A6">
        <w:rPr>
          <w:rFonts w:asciiTheme="majorBidi" w:hAnsiTheme="majorBidi" w:cstheme="majorBidi"/>
          <w:color w:val="202124"/>
          <w:sz w:val="26"/>
          <w:szCs w:val="26"/>
          <w:rtl/>
        </w:rPr>
        <w:t xml:space="preserve"> 8٪ جنسي.</w:t>
      </w:r>
    </w:p>
    <w:p w:rsidR="003B42F0" w:rsidRPr="007045A6" w:rsidRDefault="00ED54E0" w:rsidP="00461255">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eastAsiaTheme="minorHAnsi" w:hAnsiTheme="majorBidi" w:cstheme="majorBidi"/>
          <w:sz w:val="26"/>
          <w:szCs w:val="26"/>
          <w:rtl/>
          <w:lang w:eastAsia="en-US" w:bidi="ar-MA"/>
        </w:rPr>
        <w:t>ويبقى العنف الزوجي لدى الرجال</w:t>
      </w:r>
      <w:r w:rsidR="00461255">
        <w:rPr>
          <w:rFonts w:asciiTheme="majorBidi" w:eastAsiaTheme="minorHAnsi" w:hAnsiTheme="majorBidi" w:cstheme="majorBidi" w:hint="cs"/>
          <w:sz w:val="26"/>
          <w:szCs w:val="26"/>
          <w:rtl/>
          <w:lang w:eastAsia="en-US" w:bidi="ar-DZ"/>
        </w:rPr>
        <w:t xml:space="preserve">، </w:t>
      </w:r>
      <w:r w:rsidRPr="007045A6">
        <w:rPr>
          <w:rFonts w:asciiTheme="majorBidi" w:eastAsiaTheme="minorHAnsi" w:hAnsiTheme="majorBidi" w:cstheme="majorBidi"/>
          <w:sz w:val="26"/>
          <w:szCs w:val="26"/>
          <w:rtl/>
          <w:lang w:eastAsia="en-US" w:bidi="ar-MA"/>
        </w:rPr>
        <w:t xml:space="preserve">أكثر انتشارا في العلاقات خارج إطار الزواج، حيث يتعرض له </w:t>
      </w:r>
      <w:r w:rsidRPr="007045A6">
        <w:rPr>
          <w:rFonts w:asciiTheme="majorBidi" w:hAnsiTheme="majorBidi" w:cstheme="majorBidi"/>
          <w:color w:val="202124"/>
          <w:sz w:val="26"/>
          <w:szCs w:val="26"/>
          <w:rtl/>
        </w:rPr>
        <w:t xml:space="preserve">العزاب (الذين لديهم أو كانت لديهم خطيبة أو صديقة تربطهم بها علاقة حميمة خلال الاثني عشر شهرًا السابقة للبحث) أكثر من المتزوجين. </w:t>
      </w:r>
      <w:r w:rsidR="003B42F0" w:rsidRPr="007045A6">
        <w:rPr>
          <w:rFonts w:asciiTheme="majorBidi" w:hAnsiTheme="majorBidi" w:cstheme="majorBidi"/>
          <w:color w:val="202124"/>
          <w:sz w:val="26"/>
          <w:szCs w:val="26"/>
          <w:rtl/>
        </w:rPr>
        <w:t xml:space="preserve">وعلى </w:t>
      </w:r>
      <w:r w:rsidRPr="007045A6">
        <w:rPr>
          <w:rFonts w:asciiTheme="majorBidi" w:hAnsiTheme="majorBidi" w:cstheme="majorBidi"/>
          <w:color w:val="202124"/>
          <w:sz w:val="26"/>
          <w:szCs w:val="26"/>
          <w:rtl/>
        </w:rPr>
        <w:t>ال</w:t>
      </w:r>
      <w:r w:rsidR="003B42F0" w:rsidRPr="007045A6">
        <w:rPr>
          <w:rFonts w:asciiTheme="majorBidi" w:hAnsiTheme="majorBidi" w:cstheme="majorBidi"/>
          <w:color w:val="202124"/>
          <w:sz w:val="26"/>
          <w:szCs w:val="26"/>
          <w:rtl/>
        </w:rPr>
        <w:t xml:space="preserve">عكس </w:t>
      </w:r>
      <w:r w:rsidRPr="007045A6">
        <w:rPr>
          <w:rFonts w:asciiTheme="majorBidi" w:hAnsiTheme="majorBidi" w:cstheme="majorBidi"/>
          <w:color w:val="202124"/>
          <w:sz w:val="26"/>
          <w:szCs w:val="26"/>
          <w:rtl/>
        </w:rPr>
        <w:t xml:space="preserve">من </w:t>
      </w:r>
      <w:r w:rsidR="003B42F0" w:rsidRPr="007045A6">
        <w:rPr>
          <w:rFonts w:asciiTheme="majorBidi" w:hAnsiTheme="majorBidi" w:cstheme="majorBidi"/>
          <w:color w:val="202124"/>
          <w:sz w:val="26"/>
          <w:szCs w:val="26"/>
          <w:rtl/>
        </w:rPr>
        <w:t xml:space="preserve">ذلك، فإن النساء المتزوجات بشكل عام هن الأكثر معاناة من العنف الزوجي بجميع أشكاله. </w:t>
      </w:r>
    </w:p>
    <w:p w:rsidR="003B42F0" w:rsidRPr="007045A6" w:rsidRDefault="003B42F0"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أما بالنسبة للفضاء العائلي، ف</w:t>
      </w:r>
      <w:r w:rsidR="002D5EA4" w:rsidRPr="007045A6">
        <w:rPr>
          <w:rFonts w:asciiTheme="majorBidi" w:hAnsiTheme="majorBidi" w:cstheme="majorBidi"/>
          <w:color w:val="202124"/>
          <w:sz w:val="26"/>
          <w:szCs w:val="26"/>
          <w:rtl/>
        </w:rPr>
        <w:t>يمثل</w:t>
      </w:r>
      <w:r w:rsidRPr="007045A6">
        <w:rPr>
          <w:rFonts w:asciiTheme="majorBidi" w:hAnsiTheme="majorBidi" w:cstheme="majorBidi"/>
          <w:color w:val="202124"/>
          <w:sz w:val="26"/>
          <w:szCs w:val="26"/>
          <w:rtl/>
        </w:rPr>
        <w:t xml:space="preserve"> العنف النفسي، الذي يحتل المرتبة الأولى في جميع فضاءات العيش، ما يقرب من ثلاثة أرباع </w:t>
      </w:r>
      <w:r w:rsidR="002D5EA4" w:rsidRPr="007045A6">
        <w:rPr>
          <w:rFonts w:asciiTheme="majorBidi" w:hAnsiTheme="majorBidi" w:cstheme="majorBidi"/>
          <w:color w:val="202124"/>
          <w:sz w:val="26"/>
          <w:szCs w:val="26"/>
          <w:rtl/>
        </w:rPr>
        <w:t xml:space="preserve">مجموع </w:t>
      </w:r>
      <w:r w:rsidRPr="007045A6">
        <w:rPr>
          <w:rFonts w:asciiTheme="majorBidi" w:hAnsiTheme="majorBidi" w:cstheme="majorBidi"/>
          <w:color w:val="202124"/>
          <w:sz w:val="26"/>
          <w:szCs w:val="26"/>
          <w:rtl/>
        </w:rPr>
        <w:t xml:space="preserve">العنف الذي يعاني منه كل من النساء والرجال. ويختلف توزيع أشكال العنف الأخرى حسب الجنس، حيث </w:t>
      </w:r>
      <w:r w:rsidR="002D5EA4" w:rsidRPr="007045A6">
        <w:rPr>
          <w:rFonts w:asciiTheme="majorBidi" w:hAnsiTheme="majorBidi" w:cstheme="majorBidi"/>
          <w:color w:val="202124"/>
          <w:sz w:val="26"/>
          <w:szCs w:val="26"/>
          <w:rtl/>
        </w:rPr>
        <w:t xml:space="preserve">يعود المركز الثاني في هذا الفضاء </w:t>
      </w:r>
      <w:r w:rsidRPr="007045A6">
        <w:rPr>
          <w:rFonts w:asciiTheme="majorBidi" w:hAnsiTheme="majorBidi" w:cstheme="majorBidi"/>
          <w:color w:val="202124"/>
          <w:sz w:val="26"/>
          <w:szCs w:val="26"/>
          <w:rtl/>
        </w:rPr>
        <w:t xml:space="preserve">للعنف الاقتصادي </w:t>
      </w:r>
      <w:r w:rsidR="002D5EA4" w:rsidRPr="007045A6">
        <w:rPr>
          <w:rFonts w:asciiTheme="majorBidi" w:hAnsiTheme="majorBidi" w:cstheme="majorBidi"/>
          <w:color w:val="202124"/>
          <w:sz w:val="26"/>
          <w:szCs w:val="26"/>
          <w:rtl/>
        </w:rPr>
        <w:t xml:space="preserve">بالنسبة للنساء وذلك </w:t>
      </w:r>
      <w:r w:rsidRPr="007045A6">
        <w:rPr>
          <w:rFonts w:asciiTheme="majorBidi" w:hAnsiTheme="majorBidi" w:cstheme="majorBidi"/>
          <w:color w:val="202124"/>
          <w:sz w:val="26"/>
          <w:szCs w:val="26"/>
          <w:rtl/>
        </w:rPr>
        <w:t xml:space="preserve">بنسبة 17٪ من </w:t>
      </w:r>
      <w:r w:rsidRPr="007045A6">
        <w:rPr>
          <w:rFonts w:asciiTheme="majorBidi" w:hAnsiTheme="majorBidi" w:cstheme="majorBidi"/>
          <w:color w:val="202124"/>
          <w:sz w:val="26"/>
          <w:szCs w:val="26"/>
          <w:rtl/>
        </w:rPr>
        <w:lastRenderedPageBreak/>
        <w:t xml:space="preserve">مجموع أشكال العنف </w:t>
      </w:r>
      <w:r w:rsidR="002D5EA4" w:rsidRPr="007045A6">
        <w:rPr>
          <w:rFonts w:asciiTheme="majorBidi" w:hAnsiTheme="majorBidi" w:cstheme="majorBidi"/>
          <w:color w:val="202124"/>
          <w:sz w:val="26"/>
          <w:szCs w:val="26"/>
          <w:rtl/>
        </w:rPr>
        <w:t xml:space="preserve">الممارس </w:t>
      </w:r>
      <w:r w:rsidRPr="007045A6">
        <w:rPr>
          <w:rFonts w:asciiTheme="majorBidi" w:hAnsiTheme="majorBidi" w:cstheme="majorBidi"/>
          <w:color w:val="202124"/>
          <w:sz w:val="26"/>
          <w:szCs w:val="26"/>
          <w:rtl/>
        </w:rPr>
        <w:t xml:space="preserve">ضد المرأة (مقابل 6٪ عند الرجال). أما بالنسبة للرجال، </w:t>
      </w:r>
      <w:r w:rsidR="002D5EA4" w:rsidRPr="007045A6">
        <w:rPr>
          <w:rFonts w:asciiTheme="majorBidi" w:hAnsiTheme="majorBidi" w:cstheme="majorBidi"/>
          <w:color w:val="202124"/>
          <w:sz w:val="26"/>
          <w:szCs w:val="26"/>
          <w:rtl/>
        </w:rPr>
        <w:t>ف</w:t>
      </w:r>
      <w:r w:rsidRPr="007045A6">
        <w:rPr>
          <w:rFonts w:asciiTheme="majorBidi" w:hAnsiTheme="majorBidi" w:cstheme="majorBidi"/>
          <w:color w:val="202124"/>
          <w:sz w:val="26"/>
          <w:szCs w:val="26"/>
          <w:rtl/>
        </w:rPr>
        <w:t>يعزى المركز الثاني للعنف الذي يتعرضون له في هذا الفضاء إلى العنف الجسدي بنسبة 19٪ (مقابل 7٪ لدى النساء).</w:t>
      </w:r>
    </w:p>
    <w:p w:rsidR="003B42F0" w:rsidRPr="007045A6" w:rsidRDefault="003B42F0"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وبالنسبة لفضاءات العيش الأخرى، تمثل نسبة العنف الجنسي 21٪ من مجموع أشكال العنف المرتكب ضد المرأة في مكان العمل (مقابل 2٪ عند الرجال)، </w:t>
      </w:r>
      <w:r w:rsidR="005729BF" w:rsidRPr="007045A6">
        <w:rPr>
          <w:rFonts w:asciiTheme="majorBidi" w:hAnsiTheme="majorBidi" w:cstheme="majorBidi" w:hint="cs"/>
          <w:color w:val="202124"/>
          <w:sz w:val="26"/>
          <w:szCs w:val="26"/>
          <w:rtl/>
        </w:rPr>
        <w:t>و37</w:t>
      </w:r>
      <w:r w:rsidRPr="007045A6">
        <w:rPr>
          <w:rFonts w:asciiTheme="majorBidi" w:hAnsiTheme="majorBidi" w:cstheme="majorBidi"/>
          <w:color w:val="202124"/>
          <w:sz w:val="26"/>
          <w:szCs w:val="26"/>
          <w:rtl/>
        </w:rPr>
        <w:t xml:space="preserve">٪ في مؤسسات التعليم والتكوين (مقابل 14٪ عند الرجال) </w:t>
      </w:r>
      <w:r w:rsidR="005729BF" w:rsidRPr="007045A6">
        <w:rPr>
          <w:rFonts w:asciiTheme="majorBidi" w:hAnsiTheme="majorBidi" w:cstheme="majorBidi" w:hint="cs"/>
          <w:color w:val="202124"/>
          <w:sz w:val="26"/>
          <w:szCs w:val="26"/>
          <w:rtl/>
        </w:rPr>
        <w:t>و42</w:t>
      </w:r>
      <w:r w:rsidRPr="007045A6">
        <w:rPr>
          <w:rFonts w:asciiTheme="majorBidi" w:hAnsiTheme="majorBidi" w:cstheme="majorBidi"/>
          <w:color w:val="202124"/>
          <w:sz w:val="26"/>
          <w:szCs w:val="26"/>
          <w:rtl/>
        </w:rPr>
        <w:t>٪ في الأماكن العامة (مقابل 8٪ لدى الرجال).</w:t>
      </w:r>
    </w:p>
    <w:p w:rsidR="002D5EA4" w:rsidRPr="00D45656" w:rsidRDefault="002D5EA4" w:rsidP="007045A6">
      <w:pPr>
        <w:pStyle w:val="PrformatHTML"/>
        <w:shd w:val="clear" w:color="auto" w:fill="FFFFFF" w:themeFill="background1"/>
        <w:bidi/>
        <w:spacing w:line="360" w:lineRule="auto"/>
        <w:rPr>
          <w:rFonts w:asciiTheme="majorBidi" w:hAnsiTheme="majorBidi" w:cstheme="majorBidi"/>
          <w:b/>
          <w:bCs/>
          <w:color w:val="202124"/>
          <w:sz w:val="26"/>
          <w:szCs w:val="26"/>
          <w:rtl/>
        </w:rPr>
      </w:pPr>
      <w:r w:rsidRPr="00D45656">
        <w:rPr>
          <w:rFonts w:asciiTheme="majorBidi" w:hAnsiTheme="majorBidi" w:cstheme="majorBidi"/>
          <w:b/>
          <w:bCs/>
          <w:color w:val="202124"/>
          <w:sz w:val="26"/>
          <w:szCs w:val="26"/>
          <w:rtl/>
        </w:rPr>
        <w:t>الجدول 1: نسبة كل شكل من أشكال العنف من مجموع العنف الممارس ضد النساء والرجال حسب مجالات العيش (٪)</w:t>
      </w:r>
    </w:p>
    <w:tbl>
      <w:tblPr>
        <w:tblW w:w="9080" w:type="dxa"/>
        <w:tblInd w:w="58" w:type="dxa"/>
        <w:tblCellMar>
          <w:left w:w="70" w:type="dxa"/>
          <w:right w:w="70" w:type="dxa"/>
        </w:tblCellMar>
        <w:tblLook w:val="04A0"/>
      </w:tblPr>
      <w:tblGrid>
        <w:gridCol w:w="2270"/>
        <w:gridCol w:w="2270"/>
        <w:gridCol w:w="2270"/>
        <w:gridCol w:w="2270"/>
      </w:tblGrid>
      <w:tr w:rsidR="002D5EA4" w:rsidRPr="007045A6" w:rsidTr="00A5659B">
        <w:trPr>
          <w:trHeight w:val="448"/>
        </w:trPr>
        <w:tc>
          <w:tcPr>
            <w:tcW w:w="22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bidi/>
              <w:spacing w:after="0" w:line="360" w:lineRule="auto"/>
              <w:jc w:val="center"/>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النساء</w:t>
            </w:r>
          </w:p>
        </w:tc>
        <w:tc>
          <w:tcPr>
            <w:tcW w:w="22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bidi/>
              <w:spacing w:after="0" w:line="360" w:lineRule="auto"/>
              <w:jc w:val="center"/>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الرجال</w:t>
            </w:r>
          </w:p>
        </w:tc>
        <w:tc>
          <w:tcPr>
            <w:tcW w:w="45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5EA4" w:rsidRPr="007045A6" w:rsidRDefault="002D5EA4" w:rsidP="007045A6">
            <w:pPr>
              <w:spacing w:after="0" w:line="360" w:lineRule="auto"/>
              <w:jc w:val="center"/>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مجالات وأشكال العنف</w:t>
            </w:r>
          </w:p>
        </w:tc>
      </w:tr>
      <w:tr w:rsidR="002D5EA4" w:rsidRPr="007045A6" w:rsidTr="00A5659B">
        <w:trPr>
          <w:trHeight w:val="448"/>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color w:val="000000"/>
                <w:sz w:val="24"/>
                <w:szCs w:val="24"/>
                <w:lang w:eastAsia="fr-FR"/>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color w:val="000000"/>
                <w:sz w:val="24"/>
                <w:szCs w:val="24"/>
                <w:lang w:eastAsia="fr-FR"/>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69,7%</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93,9%</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نفسي</w:t>
            </w:r>
          </w:p>
        </w:tc>
        <w:tc>
          <w:tcPr>
            <w:tcW w:w="22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الزوجي</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11,0%</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2,9%</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جسدي </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7,5%</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1,6%</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جنسي</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11,8%</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1,5%</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اقتصادي</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4540" w:type="dxa"/>
            <w:gridSpan w:val="2"/>
            <w:tcBorders>
              <w:top w:val="single" w:sz="4" w:space="0" w:color="auto"/>
              <w:left w:val="nil"/>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المجموع</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73,5%</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73,6%</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نفسي</w:t>
            </w:r>
          </w:p>
        </w:tc>
        <w:tc>
          <w:tcPr>
            <w:tcW w:w="22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العائلي</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7,2%</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19,1%</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جسدي </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1,9%</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1,2%</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جنسي</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17,4%</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6,1%</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اقتصادي</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4540" w:type="dxa"/>
            <w:gridSpan w:val="2"/>
            <w:tcBorders>
              <w:top w:val="single" w:sz="4" w:space="0" w:color="auto"/>
              <w:left w:val="nil"/>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المجموع</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73,5%</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83,0%</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نفسي</w:t>
            </w:r>
          </w:p>
        </w:tc>
        <w:tc>
          <w:tcPr>
            <w:tcW w:w="22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مكان العمل</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5,7%</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14,8%</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جسدي </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20,8%</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2,2%</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جنسي</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4540" w:type="dxa"/>
            <w:gridSpan w:val="2"/>
            <w:tcBorders>
              <w:top w:val="single" w:sz="4" w:space="0" w:color="auto"/>
              <w:left w:val="nil"/>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المجموع</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51,7%</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48,5%</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نفسي</w:t>
            </w:r>
          </w:p>
        </w:tc>
        <w:tc>
          <w:tcPr>
            <w:tcW w:w="22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مكان الدراسة</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11,4%</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37,3%</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جسدي </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37,0%</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14,3%</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جنسي</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4540" w:type="dxa"/>
            <w:gridSpan w:val="2"/>
            <w:tcBorders>
              <w:top w:val="single" w:sz="4" w:space="0" w:color="auto"/>
              <w:left w:val="nil"/>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المجموع</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31,6%</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52,3%</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نفسي</w:t>
            </w:r>
          </w:p>
        </w:tc>
        <w:tc>
          <w:tcPr>
            <w:tcW w:w="22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الأماكن العامة</w:t>
            </w: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19,1%</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39,6%</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جسدي </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49,2%</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lang w:eastAsia="fr-FR"/>
              </w:rPr>
              <w:t>8,2%</w:t>
            </w:r>
          </w:p>
        </w:tc>
        <w:tc>
          <w:tcPr>
            <w:tcW w:w="2270" w:type="dxa"/>
            <w:tcBorders>
              <w:top w:val="nil"/>
              <w:left w:val="nil"/>
              <w:bottom w:val="single" w:sz="4" w:space="0" w:color="000000"/>
              <w:right w:val="single" w:sz="4" w:space="0" w:color="000000"/>
            </w:tcBorders>
            <w:shd w:val="clear" w:color="CCCCFF" w:fill="FFFFFF"/>
            <w:vAlign w:val="center"/>
            <w:hideMark/>
          </w:tcPr>
          <w:p w:rsidR="002D5EA4" w:rsidRPr="007045A6" w:rsidRDefault="002D5EA4" w:rsidP="007045A6">
            <w:pPr>
              <w:bidi/>
              <w:spacing w:after="0" w:line="360" w:lineRule="auto"/>
              <w:rPr>
                <w:rFonts w:asciiTheme="majorBidi" w:eastAsia="Times New Roman" w:hAnsiTheme="majorBidi" w:cstheme="majorBidi"/>
                <w:color w:val="000000"/>
                <w:sz w:val="24"/>
                <w:szCs w:val="24"/>
                <w:lang w:eastAsia="fr-FR"/>
              </w:rPr>
            </w:pPr>
            <w:r w:rsidRPr="007045A6">
              <w:rPr>
                <w:rFonts w:asciiTheme="majorBidi" w:eastAsia="Times New Roman" w:hAnsiTheme="majorBidi" w:cstheme="majorBidi"/>
                <w:color w:val="000000"/>
                <w:sz w:val="24"/>
                <w:szCs w:val="24"/>
                <w:rtl/>
                <w:lang w:eastAsia="fr-FR"/>
              </w:rPr>
              <w:t xml:space="preserve"> جنسي</w:t>
            </w:r>
          </w:p>
        </w:tc>
        <w:tc>
          <w:tcPr>
            <w:tcW w:w="2270" w:type="dxa"/>
            <w:vMerge/>
            <w:tcBorders>
              <w:top w:val="nil"/>
              <w:left w:val="single" w:sz="4" w:space="0" w:color="auto"/>
              <w:bottom w:val="single" w:sz="4" w:space="0" w:color="auto"/>
              <w:right w:val="single" w:sz="4" w:space="0" w:color="auto"/>
            </w:tcBorders>
            <w:vAlign w:val="center"/>
            <w:hideMark/>
          </w:tcPr>
          <w:p w:rsidR="002D5EA4" w:rsidRPr="007045A6" w:rsidRDefault="002D5EA4" w:rsidP="007045A6">
            <w:pPr>
              <w:spacing w:after="0" w:line="360" w:lineRule="auto"/>
              <w:rPr>
                <w:rFonts w:asciiTheme="majorBidi" w:eastAsia="Times New Roman" w:hAnsiTheme="majorBidi" w:cstheme="majorBidi"/>
                <w:b/>
                <w:bCs/>
                <w:color w:val="000000"/>
                <w:sz w:val="24"/>
                <w:szCs w:val="24"/>
                <w:lang w:eastAsia="fr-FR"/>
              </w:rPr>
            </w:pPr>
          </w:p>
        </w:tc>
      </w:tr>
      <w:tr w:rsidR="002D5EA4" w:rsidRPr="007045A6" w:rsidTr="00A5659B">
        <w:trPr>
          <w:trHeight w:val="241"/>
        </w:trPr>
        <w:tc>
          <w:tcPr>
            <w:tcW w:w="2270" w:type="dxa"/>
            <w:tcBorders>
              <w:top w:val="nil"/>
              <w:left w:val="single" w:sz="4" w:space="0" w:color="auto"/>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2270" w:type="dxa"/>
            <w:tcBorders>
              <w:top w:val="nil"/>
              <w:left w:val="nil"/>
              <w:bottom w:val="single" w:sz="4" w:space="0" w:color="auto"/>
              <w:right w:val="single" w:sz="4" w:space="0" w:color="auto"/>
            </w:tcBorders>
            <w:shd w:val="clear" w:color="000000" w:fill="FFFFFF"/>
            <w:noWrap/>
            <w:vAlign w:val="center"/>
            <w:hideMark/>
          </w:tcPr>
          <w:p w:rsidR="002D5EA4" w:rsidRPr="007045A6" w:rsidRDefault="002D5EA4" w:rsidP="007045A6">
            <w:pPr>
              <w:spacing w:after="0" w:line="360" w:lineRule="auto"/>
              <w:jc w:val="right"/>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lang w:eastAsia="fr-FR"/>
              </w:rPr>
              <w:t>100,0%</w:t>
            </w:r>
          </w:p>
        </w:tc>
        <w:tc>
          <w:tcPr>
            <w:tcW w:w="4540" w:type="dxa"/>
            <w:gridSpan w:val="2"/>
            <w:tcBorders>
              <w:top w:val="single" w:sz="4" w:space="0" w:color="auto"/>
              <w:left w:val="nil"/>
              <w:bottom w:val="single" w:sz="4" w:space="0" w:color="auto"/>
              <w:right w:val="single" w:sz="4" w:space="0" w:color="auto"/>
            </w:tcBorders>
            <w:shd w:val="clear" w:color="000000" w:fill="FFFFFF"/>
            <w:vAlign w:val="center"/>
            <w:hideMark/>
          </w:tcPr>
          <w:p w:rsidR="002D5EA4" w:rsidRPr="007045A6" w:rsidRDefault="002D5EA4" w:rsidP="007045A6">
            <w:pPr>
              <w:bidi/>
              <w:spacing w:after="0" w:line="360" w:lineRule="auto"/>
              <w:rPr>
                <w:rFonts w:asciiTheme="majorBidi" w:eastAsia="Times New Roman" w:hAnsiTheme="majorBidi" w:cstheme="majorBidi"/>
                <w:b/>
                <w:bCs/>
                <w:color w:val="000000"/>
                <w:sz w:val="24"/>
                <w:szCs w:val="24"/>
                <w:lang w:eastAsia="fr-FR"/>
              </w:rPr>
            </w:pPr>
            <w:r w:rsidRPr="007045A6">
              <w:rPr>
                <w:rFonts w:asciiTheme="majorBidi" w:eastAsia="Times New Roman" w:hAnsiTheme="majorBidi" w:cstheme="majorBidi"/>
                <w:b/>
                <w:bCs/>
                <w:color w:val="000000"/>
                <w:sz w:val="24"/>
                <w:szCs w:val="24"/>
                <w:rtl/>
                <w:lang w:eastAsia="fr-FR"/>
              </w:rPr>
              <w:t>المجموع</w:t>
            </w:r>
          </w:p>
        </w:tc>
      </w:tr>
    </w:tbl>
    <w:p w:rsidR="002D5EA4" w:rsidRPr="007045A6" w:rsidRDefault="002D5EA4" w:rsidP="007045A6">
      <w:pPr>
        <w:shd w:val="clear" w:color="auto" w:fill="FFFFFF" w:themeFill="background1"/>
        <w:bidi/>
        <w:spacing w:line="360" w:lineRule="auto"/>
        <w:jc w:val="both"/>
        <w:rPr>
          <w:rFonts w:asciiTheme="majorBidi" w:hAnsiTheme="majorBidi" w:cstheme="majorBidi"/>
          <w:b/>
          <w:bCs/>
        </w:rPr>
      </w:pPr>
      <w:r w:rsidRPr="007045A6">
        <w:rPr>
          <w:rFonts w:asciiTheme="majorBidi" w:eastAsia="Times New Roman" w:hAnsiTheme="majorBidi" w:cstheme="majorBidi"/>
          <w:b/>
          <w:bCs/>
          <w:color w:val="202124"/>
          <w:rtl/>
          <w:lang w:eastAsia="fr-FR"/>
        </w:rPr>
        <w:t>المصدر</w:t>
      </w:r>
      <w:r w:rsidRPr="007045A6">
        <w:rPr>
          <w:rFonts w:asciiTheme="majorBidi" w:eastAsia="Times New Roman" w:hAnsiTheme="majorBidi" w:cstheme="majorBidi"/>
          <w:b/>
          <w:bCs/>
          <w:color w:val="202124"/>
          <w:lang w:eastAsia="fr-FR"/>
        </w:rPr>
        <w:t xml:space="preserve">: </w:t>
      </w:r>
      <w:r w:rsidRPr="007045A6">
        <w:rPr>
          <w:rFonts w:asciiTheme="majorBidi" w:eastAsia="Times New Roman" w:hAnsiTheme="majorBidi" w:cstheme="majorBidi"/>
          <w:b/>
          <w:bCs/>
          <w:color w:val="202124"/>
          <w:rtl/>
          <w:lang w:eastAsia="fr-FR"/>
        </w:rPr>
        <w:t xml:space="preserve">المندوبية السامية للتخطيط، البحث الوطني للعنف ضد النساء والرجال لسنة </w:t>
      </w:r>
      <w:r w:rsidRPr="007045A6">
        <w:rPr>
          <w:rFonts w:asciiTheme="majorBidi" w:eastAsia="Times New Roman" w:hAnsiTheme="majorBidi" w:cstheme="majorBidi"/>
          <w:b/>
          <w:bCs/>
          <w:color w:val="202124"/>
          <w:lang w:eastAsia="fr-FR"/>
        </w:rPr>
        <w:t>2019</w:t>
      </w:r>
    </w:p>
    <w:p w:rsidR="003B42F0"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Pr>
          <w:rFonts w:asciiTheme="majorBidi" w:hAnsiTheme="majorBidi" w:cstheme="majorBidi" w:hint="cs"/>
          <w:color w:val="202124"/>
          <w:sz w:val="26"/>
          <w:szCs w:val="26"/>
          <w:rtl/>
        </w:rPr>
        <w:lastRenderedPageBreak/>
        <w:t xml:space="preserve">أما </w:t>
      </w:r>
      <w:r w:rsidR="003B42F0" w:rsidRPr="007045A6">
        <w:rPr>
          <w:rFonts w:asciiTheme="majorBidi" w:hAnsiTheme="majorBidi" w:cstheme="majorBidi"/>
          <w:color w:val="202124"/>
          <w:sz w:val="26"/>
          <w:szCs w:val="26"/>
          <w:rtl/>
        </w:rPr>
        <w:t>فيما يخص تصورات الرجال للعنف، فتتعلق بشكل أساسي بتعريف العنف والفئات الأكثر هشاشة وفضاءات العيش الأكثر عرضة وتطور العنف في المجتمع المغربي وكذا العلاقات بين الرجل والمرأة ولاسيما تلك المرتبطة بالنوع الاجتماعي والمتعلقة بتقاسم السلطة داخل الأسرة وكذلك بتقبل العنف في الفضاء الزوجي.</w:t>
      </w:r>
    </w:p>
    <w:p w:rsidR="00963F94" w:rsidRPr="007045A6" w:rsidRDefault="00963F94"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7045A6" w:rsidRPr="007045A6" w:rsidRDefault="007045A6" w:rsidP="0029189B">
      <w:pPr>
        <w:pStyle w:val="PrformatHTML"/>
        <w:shd w:val="clear" w:color="auto" w:fill="FFFFFF" w:themeFill="background1"/>
        <w:bidi/>
        <w:spacing w:line="360" w:lineRule="auto"/>
        <w:jc w:val="both"/>
        <w:rPr>
          <w:rFonts w:asciiTheme="majorBidi" w:hAnsiTheme="majorBidi" w:cstheme="majorBidi"/>
          <w:color w:val="202124"/>
          <w:sz w:val="28"/>
          <w:szCs w:val="28"/>
          <w:rtl/>
        </w:rPr>
      </w:pPr>
      <w:r w:rsidRPr="007045A6">
        <w:rPr>
          <w:rFonts w:asciiTheme="majorBidi" w:hAnsiTheme="majorBidi" w:cstheme="majorBidi"/>
          <w:b/>
          <w:bCs/>
          <w:i/>
          <w:iCs/>
          <w:color w:val="548DD4" w:themeColor="text2" w:themeTint="99"/>
          <w:sz w:val="28"/>
          <w:szCs w:val="28"/>
          <w:rtl/>
        </w:rPr>
        <w:t>تسجيل فجوة بين تجارب وتصورات العنف لدى الرجال فيما يتعلق ب</w:t>
      </w:r>
      <w:r w:rsidR="0029189B">
        <w:rPr>
          <w:rFonts w:asciiTheme="majorBidi" w:hAnsiTheme="majorBidi" w:cstheme="majorBidi" w:hint="cs"/>
          <w:b/>
          <w:bCs/>
          <w:i/>
          <w:iCs/>
          <w:color w:val="548DD4" w:themeColor="text2" w:themeTint="99"/>
          <w:sz w:val="28"/>
          <w:szCs w:val="28"/>
          <w:rtl/>
        </w:rPr>
        <w:t>مجال و</w:t>
      </w:r>
      <w:r w:rsidRPr="007045A6">
        <w:rPr>
          <w:rFonts w:asciiTheme="majorBidi" w:hAnsiTheme="majorBidi" w:cstheme="majorBidi"/>
          <w:b/>
          <w:bCs/>
          <w:i/>
          <w:iCs/>
          <w:color w:val="548DD4" w:themeColor="text2" w:themeTint="99"/>
          <w:sz w:val="28"/>
          <w:szCs w:val="28"/>
          <w:rtl/>
        </w:rPr>
        <w:t>شكل العنف</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يتمثل العنف، للوهلة الأولى، لدى ما يقرب من 66٪ من الرجال في شكله الجسدي (64٪ في الوسط الحضري مقابل 68٪ في الوسط القروي). ويظهر في شكله النفسي بالنسبة لـ 19٪ فقط (21٪ في الوسط الحضري مقابل 17٪ في الوسط القروي) بالرغم من أن هذا الشكل هو الأكثر شيوعا عند الرجال من حيث معدل انتشار العنف. كما يُنظر إليه في شكله الاقتصادي لدى 8٪ وفي شكله الجنسي لدى 5٪ من الرجال.</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ويعتبر الرجال ذوي المستويات التعليمية المتقدمة أكثر إدراكا للعنف النفسي مقارنة بالآخرين؛ 24٪ بين ذوي المستوى التعليمي العالي مقابل 17٪ من ذوي المستويات الأخرى.</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أما فيما يتعلق بتصورات العنف حسب فضاءات العيش الأكثر عرضة للعنف، فرغم أن الفضاء الزوجي هو الأكثر عنفًا من حيث معدل الانتشار، إلا أنه ينظر إليه على هذا النحو من قبل 21 ٪ من الرجال فقط، فيما يعتبرون الأماكن العامة هي الفضاء الأكثر عرضة للعنف (58٪).</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وفي نفس السياق ووفقًا لتصورات الرجال، فالأماكن العامة هي التي شهدت زيادة ملحوظة للعنف على مدى السنوات الخمس الماضية إذ يعتقد أكثر من 78٪ من الرجال أن العنف قد ازداد في هذا الفضاء (79٪ في الوسط الحضري </w:t>
      </w:r>
      <w:r w:rsidR="005729BF" w:rsidRPr="007045A6">
        <w:rPr>
          <w:rFonts w:asciiTheme="majorBidi" w:hAnsiTheme="majorBidi" w:cstheme="majorBidi" w:hint="cs"/>
          <w:color w:val="202124"/>
          <w:sz w:val="26"/>
          <w:szCs w:val="26"/>
          <w:rtl/>
        </w:rPr>
        <w:t>و75</w:t>
      </w:r>
      <w:r w:rsidRPr="007045A6">
        <w:rPr>
          <w:rFonts w:asciiTheme="majorBidi" w:hAnsiTheme="majorBidi" w:cstheme="majorBidi"/>
          <w:color w:val="202124"/>
          <w:sz w:val="26"/>
          <w:szCs w:val="26"/>
          <w:rtl/>
        </w:rPr>
        <w:t xml:space="preserve">٪ في الوسط القروي). ويأتي السياق الزوجي في المرتبة الثانية من حيث زيادة العنف حسب 58٪ من الرجال (59٪ في الوسط الحضري </w:t>
      </w:r>
      <w:r w:rsidR="005729BF" w:rsidRPr="007045A6">
        <w:rPr>
          <w:rFonts w:asciiTheme="majorBidi" w:hAnsiTheme="majorBidi" w:cstheme="majorBidi" w:hint="cs"/>
          <w:color w:val="202124"/>
          <w:sz w:val="26"/>
          <w:szCs w:val="26"/>
          <w:rtl/>
        </w:rPr>
        <w:t>و55</w:t>
      </w:r>
      <w:r w:rsidRPr="007045A6">
        <w:rPr>
          <w:rFonts w:asciiTheme="majorBidi" w:hAnsiTheme="majorBidi" w:cstheme="majorBidi"/>
          <w:color w:val="202124"/>
          <w:sz w:val="26"/>
          <w:szCs w:val="26"/>
          <w:rtl/>
        </w:rPr>
        <w:t>٪ في الوسط القروي). ويُلاحظ تزايد العنف الزوجي، بشكل خاص، من قبل الرجال المطلقين (64٪) والذين تتراوح أعمارهم بين 45 و59 سنة (61٪).</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وتُعزى هذه الفجوة بين تجارب وتصورات العنف أساسًا، إلى الجانب العام للعنف في الأماكن العامة وتغطيته الإعلامية المتزايدة عبر شبكات التواصل الاجتماعي مما يجعله أكثر وضوحًا وبالتالي أكثر لفتًا للانتباه، على عكس العنف المنزلي والمؤسساتي المتميزان بطابعهما الخاص أو الذي يعاش في صمت.</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b/>
          <w:bCs/>
          <w:i/>
          <w:iCs/>
          <w:color w:val="548DD4" w:themeColor="text2" w:themeTint="99"/>
          <w:sz w:val="28"/>
          <w:szCs w:val="28"/>
          <w:rtl/>
        </w:rPr>
      </w:pPr>
      <w:r w:rsidRPr="007045A6">
        <w:rPr>
          <w:rFonts w:asciiTheme="majorBidi" w:hAnsiTheme="majorBidi" w:cstheme="majorBidi"/>
          <w:b/>
          <w:bCs/>
          <w:i/>
          <w:iCs/>
          <w:color w:val="548DD4" w:themeColor="text2" w:themeTint="99"/>
          <w:sz w:val="28"/>
          <w:szCs w:val="28"/>
          <w:rtl/>
        </w:rPr>
        <w:t>وعي ذكوري بأن المرأة أكثر عرضة للعنف</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ومن جهة أخرى، ينظر إلى النساء على أنهن الفئة الاجتماعية الأكثر عرضة للعنف من قبل 42٪ من الرجال، بينما ينظر إلى فئة الرجال على هذا النحو من قبل 6٪ فقط منهم.</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وفيما يتعلق بتطور العنف خلال السنوات الخمس الماضية، فقد ازداد العنف ضد المرأة حسب تصور 55٪ من الرجال وازداد العنف ضد الرجال حسب 49٪ منهم وضد الأطفال حسب 48٪ من الرجال.</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بالإضافة إلى ذلك، يعتقد 64٪ من الرجال أن العنف الجنسي قد ازداد ضد النساء ويعتقد 52٪ أنه قد ازداد ضد الأطفال خلال السنوات الخمس الماضية.</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p>
    <w:p w:rsidR="007045A6" w:rsidRPr="007045A6" w:rsidRDefault="007045A6" w:rsidP="007045A6">
      <w:pPr>
        <w:shd w:val="clear" w:color="auto" w:fill="FFFFFF" w:themeFill="background1"/>
        <w:autoSpaceDE w:val="0"/>
        <w:autoSpaceDN w:val="0"/>
        <w:bidi/>
        <w:adjustRightInd w:val="0"/>
        <w:spacing w:after="0" w:line="360" w:lineRule="auto"/>
        <w:jc w:val="both"/>
        <w:rPr>
          <w:rFonts w:asciiTheme="majorBidi" w:hAnsiTheme="majorBidi" w:cstheme="majorBidi"/>
          <w:b/>
          <w:bCs/>
          <w:i/>
          <w:iCs/>
          <w:color w:val="548DD4" w:themeColor="text2" w:themeTint="99"/>
          <w:sz w:val="28"/>
          <w:szCs w:val="28"/>
          <w:rtl/>
        </w:rPr>
      </w:pPr>
      <w:r w:rsidRPr="007045A6">
        <w:rPr>
          <w:rFonts w:asciiTheme="majorBidi" w:hAnsiTheme="majorBidi" w:cstheme="majorBidi"/>
          <w:b/>
          <w:bCs/>
          <w:i/>
          <w:iCs/>
          <w:color w:val="548DD4" w:themeColor="text2" w:themeTint="99"/>
          <w:sz w:val="28"/>
          <w:szCs w:val="28"/>
          <w:rtl/>
        </w:rPr>
        <w:lastRenderedPageBreak/>
        <w:t xml:space="preserve">الفقر والصراعات ذات الطابع المادي وانعدام </w:t>
      </w:r>
      <w:r w:rsidR="005729BF" w:rsidRPr="007045A6">
        <w:rPr>
          <w:rFonts w:asciiTheme="majorBidi" w:hAnsiTheme="majorBidi" w:cstheme="majorBidi" w:hint="cs"/>
          <w:b/>
          <w:bCs/>
          <w:i/>
          <w:iCs/>
          <w:color w:val="548DD4" w:themeColor="text2" w:themeTint="99"/>
          <w:sz w:val="28"/>
          <w:szCs w:val="28"/>
          <w:rtl/>
        </w:rPr>
        <w:t>التواصل</w:t>
      </w:r>
      <w:r w:rsidR="005729BF">
        <w:rPr>
          <w:rFonts w:asciiTheme="majorBidi" w:hAnsiTheme="majorBidi" w:cstheme="majorBidi"/>
          <w:b/>
          <w:bCs/>
          <w:i/>
          <w:iCs/>
          <w:color w:val="548DD4" w:themeColor="text2" w:themeTint="99"/>
          <w:sz w:val="28"/>
          <w:szCs w:val="28"/>
        </w:rPr>
        <w:t xml:space="preserve">: </w:t>
      </w:r>
      <w:r w:rsidR="005729BF">
        <w:rPr>
          <w:rFonts w:asciiTheme="majorBidi" w:hAnsiTheme="majorBidi" w:cstheme="majorBidi"/>
          <w:b/>
          <w:bCs/>
          <w:i/>
          <w:iCs/>
          <w:color w:val="548DD4" w:themeColor="text2" w:themeTint="99"/>
          <w:sz w:val="28"/>
          <w:szCs w:val="28"/>
          <w:rtl/>
        </w:rPr>
        <w:t>أهم</w:t>
      </w:r>
      <w:r w:rsidRPr="007045A6">
        <w:rPr>
          <w:rFonts w:asciiTheme="majorBidi" w:hAnsiTheme="majorBidi" w:cstheme="majorBidi"/>
          <w:b/>
          <w:bCs/>
          <w:i/>
          <w:iCs/>
          <w:color w:val="548DD4" w:themeColor="text2" w:themeTint="99"/>
          <w:sz w:val="28"/>
          <w:szCs w:val="28"/>
          <w:rtl/>
        </w:rPr>
        <w:t xml:space="preserve"> الأسباب وراء العنف في الفضاء الزوجي</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بغض النظر عن خصائصهم الاجتماعية والديموغرافية، يعزي الرجال حدوث العنف، قبل كل </w:t>
      </w:r>
      <w:r w:rsidR="005729BF" w:rsidRPr="007045A6">
        <w:rPr>
          <w:rFonts w:asciiTheme="majorBidi" w:hAnsiTheme="majorBidi" w:cstheme="majorBidi" w:hint="cs"/>
          <w:color w:val="202124"/>
          <w:sz w:val="26"/>
          <w:szCs w:val="26"/>
          <w:rtl/>
        </w:rPr>
        <w:t>شيء</w:t>
      </w:r>
      <w:r w:rsidR="005729BF">
        <w:rPr>
          <w:rFonts w:asciiTheme="majorBidi" w:hAnsiTheme="majorBidi" w:cstheme="majorBidi"/>
          <w:color w:val="202124"/>
          <w:sz w:val="26"/>
          <w:szCs w:val="26"/>
          <w:rtl/>
        </w:rPr>
        <w:t>،إلى</w:t>
      </w:r>
      <w:r w:rsidRPr="007045A6">
        <w:rPr>
          <w:rFonts w:asciiTheme="majorBidi" w:hAnsiTheme="majorBidi" w:cstheme="majorBidi"/>
          <w:color w:val="202124"/>
          <w:sz w:val="26"/>
          <w:szCs w:val="26"/>
          <w:rtl/>
        </w:rPr>
        <w:t xml:space="preserve"> العوامل المادية والاجتماعية والاقتصادية (كالفقر وبطالة الشباب) وكذلك إلى العوامل العلاقاتية بما في ذلك مشاكل التواصل. ويوجد بالتأكيد اختلافات وفقًا لخصائص معينة ووفقًا للمجالات المدروسة.</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فيما يتعلق بالعنف الزوجي، تذكر الصراعات ذات الطابع المادي كأسباب رئيسية لحدوث العنف من قبل 39٪ من الرجال الحضريين. أما في الوسط القروي، فيُشار إلى الفقر بالدرجة الأولى من قبل 44٪ من الرجال.</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ويمثل هذان العاملان مجتمعان، الصراعات ذات الطابع المادي والفقر، عوامل الخطر الرئيسية للعنف الزوجي بالنسبة لأكثر من 74٪ من الرجال (73٪ في الوسط الحضري </w:t>
      </w:r>
      <w:r w:rsidR="005729BF" w:rsidRPr="007045A6">
        <w:rPr>
          <w:rFonts w:asciiTheme="majorBidi" w:hAnsiTheme="majorBidi" w:cstheme="majorBidi" w:hint="cs"/>
          <w:color w:val="202124"/>
          <w:sz w:val="26"/>
          <w:szCs w:val="26"/>
          <w:rtl/>
        </w:rPr>
        <w:t>و77</w:t>
      </w:r>
      <w:r w:rsidRPr="007045A6">
        <w:rPr>
          <w:rFonts w:asciiTheme="majorBidi" w:hAnsiTheme="majorBidi" w:cstheme="majorBidi"/>
          <w:color w:val="202124"/>
          <w:sz w:val="26"/>
          <w:szCs w:val="26"/>
          <w:rtl/>
        </w:rPr>
        <w:t>٪ في الوسط القروي). ويعزي أكثر من 6٪ من الرجال حدوث العنف الزوجي إلى مشكل التواصل؛ 9٪ بين الشباب الذين تتراوح أعمارهم بين 15 و24 سنة وكذلك بين الرجال الحاصلين على مستوى تعليمي عالٍ.</w:t>
      </w: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6"/>
          <w:szCs w:val="26"/>
          <w:rtl/>
          <w:lang w:eastAsia="en-US"/>
        </w:rPr>
      </w:pP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8"/>
          <w:szCs w:val="28"/>
          <w:rtl/>
          <w:lang w:eastAsia="en-US"/>
        </w:rPr>
      </w:pPr>
      <w:r w:rsidRPr="007045A6">
        <w:rPr>
          <w:rFonts w:asciiTheme="majorBidi" w:eastAsiaTheme="minorHAnsi" w:hAnsiTheme="majorBidi" w:cstheme="majorBidi"/>
          <w:b/>
          <w:bCs/>
          <w:i/>
          <w:iCs/>
          <w:color w:val="548DD4" w:themeColor="text2" w:themeTint="99"/>
          <w:sz w:val="28"/>
          <w:szCs w:val="28"/>
          <w:rtl/>
          <w:lang w:eastAsia="en-US"/>
        </w:rPr>
        <w:t>الفقر وتعاطي المخدرات والكحول: الأسباب الرئيسية للعنف في الأماكن العامة</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بغض النظر عن خصائصهم الاجتماعية والديموغرافية، تم ذكر ثلاثة عوامل رئيسية لحدوث العنف في الفضاء العام من قبل الرجال، </w:t>
      </w:r>
      <w:r w:rsidR="005729BF" w:rsidRPr="007045A6">
        <w:rPr>
          <w:rFonts w:asciiTheme="majorBidi" w:hAnsiTheme="majorBidi" w:cstheme="majorBidi" w:hint="cs"/>
          <w:color w:val="202124"/>
          <w:sz w:val="26"/>
          <w:szCs w:val="26"/>
          <w:rtl/>
        </w:rPr>
        <w:t>ويتعلق الأمر</w:t>
      </w:r>
      <w:r w:rsidRPr="007045A6">
        <w:rPr>
          <w:rFonts w:asciiTheme="majorBidi" w:hAnsiTheme="majorBidi" w:cstheme="majorBidi"/>
          <w:color w:val="202124"/>
          <w:sz w:val="26"/>
          <w:szCs w:val="26"/>
          <w:rtl/>
        </w:rPr>
        <w:t xml:space="preserve"> بالفقر (40٪)، تعاطي المخدرات والكحول (21٪)، المستوى التعليمي والثقافي المتدني لمرتكبي العنف (8٪).</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8"/>
          <w:szCs w:val="28"/>
          <w:rtl/>
          <w:lang w:eastAsia="en-US"/>
        </w:rPr>
      </w:pPr>
      <w:r w:rsidRPr="007045A6">
        <w:rPr>
          <w:rFonts w:asciiTheme="majorBidi" w:eastAsiaTheme="minorHAnsi" w:hAnsiTheme="majorBidi" w:cstheme="majorBidi"/>
          <w:b/>
          <w:bCs/>
          <w:i/>
          <w:iCs/>
          <w:color w:val="548DD4" w:themeColor="text2" w:themeTint="99"/>
          <w:sz w:val="28"/>
          <w:szCs w:val="28"/>
          <w:rtl/>
          <w:lang w:eastAsia="en-US"/>
        </w:rPr>
        <w:t>استمرار النموذج التقليدي لتقاسم الأدوار بين الرجل والمرأة داخل الأسرة لدى الرجال القرويين والفئة الأقل تعليما والأكبر سنا</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تم رصد تصورات الرجال حول علاقات السلطة والسلطة المرتبطة بالنوع الاجتماعي من أجل توضيح الأعراف الاجتماعية المرتبطة بتجارب العنف بأشكاله المختلفة وفي جميع مجالات العيش بما في ذلك المجال الزوجي.</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وهكذا، تم رصد آراء المستجوبين حول عدة مواضيع: حول مفهوم الذكورة ومسألة تقاسم السلطة والتشاور بين النساء والرجال داخل الأسرة وكذا بشأن اللجوء إلى استخدام العنف ضد المرأة كوسيلة لحل الخلافات وتقبل العنف الزوجي وأسبابه الاجتماعية.</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فيما يتعلق بتقسيم الأعمال المنزلية بين الرجال والنساء، صرح ما يقرب من 9٪ من الرجال بشكل قاطع أن "مشاركة الرجل في الأعمال المنزلية تحط من قدره وتقلل من قيمته". وتبقى هذه النسبة أعلى بين الرجال القرويين (12٪ مقابل 6٪ من الحضريين) وبين الذين ليس لديهم أي مستوى تعليمي (15٪ مقابل 5٪ لمن لديهم مستوى عال) وبين الرجال الذين تبلغ أعمارهم 60 سنة فأكثر (12٪ مقابل 8٪ للبالغين من العمر 15 إلى 24 سنة).</w:t>
      </w:r>
    </w:p>
    <w:p w:rsid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p>
    <w:p w:rsidR="005729BF" w:rsidRPr="007045A6" w:rsidRDefault="005729BF" w:rsidP="005729BF">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Pr>
      </w:pPr>
      <w:r w:rsidRPr="007045A6">
        <w:rPr>
          <w:rFonts w:asciiTheme="majorBidi" w:hAnsiTheme="majorBidi" w:cstheme="majorBidi"/>
          <w:b/>
          <w:bCs/>
          <w:color w:val="202124"/>
          <w:sz w:val="26"/>
          <w:szCs w:val="26"/>
          <w:rtl/>
        </w:rPr>
        <w:lastRenderedPageBreak/>
        <w:t xml:space="preserve">الرسم البياني </w:t>
      </w:r>
      <w:r>
        <w:rPr>
          <w:rFonts w:asciiTheme="majorBidi" w:hAnsiTheme="majorBidi" w:cstheme="majorBidi" w:hint="cs"/>
          <w:b/>
          <w:bCs/>
          <w:color w:val="202124"/>
          <w:sz w:val="26"/>
          <w:szCs w:val="26"/>
          <w:rtl/>
        </w:rPr>
        <w:t>2</w:t>
      </w:r>
      <w:r w:rsidRPr="007045A6">
        <w:rPr>
          <w:rFonts w:asciiTheme="majorBidi" w:hAnsiTheme="majorBidi" w:cstheme="majorBidi"/>
          <w:b/>
          <w:bCs/>
          <w:color w:val="202124"/>
          <w:sz w:val="26"/>
          <w:szCs w:val="26"/>
          <w:rtl/>
        </w:rPr>
        <w:t>: تصور الرجال لمسألة أن "مشاركة الرجل في الأعمال المنزلية تقلل من قيمته" حسب وسط الإقامة والفئات العمرية</w:t>
      </w:r>
    </w:p>
    <w:p w:rsidR="007045A6" w:rsidRPr="007045A6" w:rsidRDefault="007045A6" w:rsidP="007045A6">
      <w:pPr>
        <w:shd w:val="clear" w:color="auto" w:fill="FFFFFF" w:themeFill="background1"/>
        <w:bidi/>
        <w:spacing w:line="360" w:lineRule="auto"/>
        <w:jc w:val="both"/>
        <w:rPr>
          <w:rFonts w:asciiTheme="majorBidi" w:hAnsiTheme="majorBidi" w:cstheme="majorBidi"/>
          <w:sz w:val="26"/>
          <w:szCs w:val="26"/>
          <w:rtl/>
        </w:rPr>
      </w:pPr>
      <w:r w:rsidRPr="007045A6">
        <w:rPr>
          <w:rFonts w:asciiTheme="majorBidi" w:hAnsiTheme="majorBidi" w:cstheme="majorBidi"/>
          <w:noProof/>
          <w:sz w:val="26"/>
          <w:szCs w:val="26"/>
          <w:rtl/>
          <w:lang w:eastAsia="fr-FR"/>
        </w:rPr>
        <w:drawing>
          <wp:inline distT="0" distB="0" distL="0" distR="0">
            <wp:extent cx="5760720" cy="3952875"/>
            <wp:effectExtent l="19050" t="0" r="11430" b="0"/>
            <wp:docPr id="78"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45A6" w:rsidRPr="007045A6" w:rsidRDefault="007045A6" w:rsidP="007045A6">
      <w:pPr>
        <w:shd w:val="clear" w:color="auto" w:fill="FFFFFF" w:themeFill="background1"/>
        <w:bidi/>
        <w:spacing w:line="360" w:lineRule="auto"/>
        <w:jc w:val="both"/>
        <w:rPr>
          <w:rFonts w:asciiTheme="majorBidi" w:hAnsiTheme="majorBidi" w:cstheme="majorBidi"/>
          <w:b/>
          <w:bCs/>
        </w:rPr>
      </w:pPr>
      <w:r w:rsidRPr="007045A6">
        <w:rPr>
          <w:rFonts w:asciiTheme="majorBidi" w:eastAsia="Times New Roman" w:hAnsiTheme="majorBidi" w:cstheme="majorBidi"/>
          <w:b/>
          <w:bCs/>
          <w:color w:val="202124"/>
          <w:rtl/>
          <w:lang w:eastAsia="fr-FR"/>
        </w:rPr>
        <w:t>المصدر</w:t>
      </w:r>
      <w:r w:rsidRPr="007045A6">
        <w:rPr>
          <w:rFonts w:asciiTheme="majorBidi" w:eastAsia="Times New Roman" w:hAnsiTheme="majorBidi" w:cstheme="majorBidi"/>
          <w:b/>
          <w:bCs/>
          <w:color w:val="202124"/>
          <w:lang w:eastAsia="fr-FR"/>
        </w:rPr>
        <w:t xml:space="preserve">: </w:t>
      </w:r>
      <w:r w:rsidRPr="007045A6">
        <w:rPr>
          <w:rFonts w:asciiTheme="majorBidi" w:eastAsia="Times New Roman" w:hAnsiTheme="majorBidi" w:cstheme="majorBidi"/>
          <w:b/>
          <w:bCs/>
          <w:color w:val="202124"/>
          <w:rtl/>
          <w:lang w:eastAsia="fr-FR"/>
        </w:rPr>
        <w:t xml:space="preserve">المندوبية السامية للتخطيط، البحث الوطني للعنف ضد النساء والرجال لسنة </w:t>
      </w:r>
      <w:r w:rsidRPr="007045A6">
        <w:rPr>
          <w:rFonts w:asciiTheme="majorBidi" w:eastAsia="Times New Roman" w:hAnsiTheme="majorBidi" w:cstheme="majorBidi"/>
          <w:b/>
          <w:bCs/>
          <w:color w:val="202124"/>
          <w:lang w:eastAsia="fr-FR"/>
        </w:rPr>
        <w:t>2019</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وبالمقابل، يتفق أكثر من نصف الرجال على أن </w:t>
      </w:r>
      <w:r w:rsidRPr="007045A6">
        <w:rPr>
          <w:rFonts w:asciiTheme="majorBidi" w:hAnsiTheme="majorBidi" w:cstheme="majorBidi"/>
          <w:b/>
          <w:bCs/>
          <w:color w:val="202124"/>
          <w:sz w:val="26"/>
          <w:szCs w:val="26"/>
          <w:rtl/>
        </w:rPr>
        <w:t>"أهم دور للمرأة هو الاهتمام بالشؤون المنزلية"</w:t>
      </w:r>
      <w:r w:rsidRPr="007045A6">
        <w:rPr>
          <w:rFonts w:asciiTheme="majorBidi" w:hAnsiTheme="majorBidi" w:cstheme="majorBidi"/>
          <w:color w:val="202124"/>
          <w:sz w:val="26"/>
          <w:szCs w:val="26"/>
          <w:rtl/>
        </w:rPr>
        <w:t xml:space="preserve">: 31٪ يتفقون تماما </w:t>
      </w:r>
      <w:r w:rsidR="005729BF" w:rsidRPr="007045A6">
        <w:rPr>
          <w:rFonts w:asciiTheme="majorBidi" w:hAnsiTheme="majorBidi" w:cstheme="majorBidi" w:hint="cs"/>
          <w:color w:val="202124"/>
          <w:sz w:val="26"/>
          <w:szCs w:val="26"/>
          <w:rtl/>
        </w:rPr>
        <w:t>و23</w:t>
      </w:r>
      <w:r w:rsidRPr="007045A6">
        <w:rPr>
          <w:rFonts w:asciiTheme="majorBidi" w:hAnsiTheme="majorBidi" w:cstheme="majorBidi"/>
          <w:color w:val="202124"/>
          <w:sz w:val="26"/>
          <w:szCs w:val="26"/>
          <w:rtl/>
        </w:rPr>
        <w:t>٪ يتفقون إلى حد ما.</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ويمكن القول إن تمثلات الذكورة يمكن أن يكون لها تأثير على مفهوم السلطة والقوة في العلاقات بين الجنسين.</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وفيما يتعلق </w:t>
      </w:r>
      <w:r w:rsidRPr="007045A6">
        <w:rPr>
          <w:rFonts w:asciiTheme="majorBidi" w:hAnsiTheme="majorBidi" w:cstheme="majorBidi"/>
          <w:b/>
          <w:bCs/>
          <w:color w:val="202124"/>
          <w:sz w:val="26"/>
          <w:szCs w:val="26"/>
          <w:rtl/>
        </w:rPr>
        <w:t>بتقاسم السلطة داخل الأسرة بين المرأة والرجل</w:t>
      </w:r>
      <w:r w:rsidRPr="007045A6">
        <w:rPr>
          <w:rFonts w:asciiTheme="majorBidi" w:hAnsiTheme="majorBidi" w:cstheme="majorBidi"/>
          <w:color w:val="202124"/>
          <w:sz w:val="26"/>
          <w:szCs w:val="26"/>
          <w:rtl/>
        </w:rPr>
        <w:t>، ف 15٪ من الرجال يعارضون بشكل قاطع تقاسم السلطة بين الزوجين و10٪ يعارضونها إلى حد ما. ويتم التعبير عن التصورات المعارضة بشكل قاطع لتقاسم السلطة بين الزوجين بالخصوص من قبل الرجال القرويين (18 ٪ مقابل 14 ٪ بين الحضريين) ومن بين الذين ليس لديهم أي مستوى تعليمي (22 ٪ مقابل 11 ٪ بين أولئك الذين لديهم مستوى تعليمي عالٍ).</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وفي نفس السياق، فإن غالبية الرجال (63٪) والقرويين بالخصوص (70٪ مقابل 59٪ من الحضريين) يجدون أنه من الطبيعي </w:t>
      </w:r>
      <w:r w:rsidRPr="007045A6">
        <w:rPr>
          <w:rFonts w:asciiTheme="majorBidi" w:hAnsiTheme="majorBidi" w:cstheme="majorBidi"/>
          <w:b/>
          <w:bCs/>
          <w:color w:val="202124"/>
          <w:sz w:val="26"/>
          <w:szCs w:val="26"/>
          <w:rtl/>
        </w:rPr>
        <w:t>أن تكون الكلمة الأخيرة للزوج في جميع المسائل المتعلقة بشؤون الأسرة</w:t>
      </w:r>
      <w:r w:rsidRPr="007045A6">
        <w:rPr>
          <w:rFonts w:asciiTheme="majorBidi" w:hAnsiTheme="majorBidi" w:cstheme="majorBidi"/>
          <w:color w:val="202124"/>
          <w:sz w:val="26"/>
          <w:szCs w:val="26"/>
          <w:rtl/>
        </w:rPr>
        <w:t>. وتبلغ هذه النسبة 74٪ بين الرجال دون أي مستوى تعليمي مقابل 45٪ بين الحاصلين على مستوى تعليمي عال.</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كما أن هناك جانب آخر للسلطة الذكورية تم التطرق إليه </w:t>
      </w:r>
      <w:r w:rsidRPr="007045A6">
        <w:rPr>
          <w:rFonts w:asciiTheme="majorBidi" w:hAnsiTheme="majorBidi" w:cstheme="majorBidi"/>
          <w:color w:val="202124"/>
          <w:sz w:val="26"/>
          <w:szCs w:val="26"/>
          <w:rtl/>
          <w:lang w:bidi="ar-DZ"/>
        </w:rPr>
        <w:t>و</w:t>
      </w:r>
      <w:r w:rsidRPr="007045A6">
        <w:rPr>
          <w:rFonts w:asciiTheme="majorBidi" w:hAnsiTheme="majorBidi" w:cstheme="majorBidi"/>
          <w:color w:val="202124"/>
          <w:sz w:val="26"/>
          <w:szCs w:val="26"/>
          <w:rtl/>
        </w:rPr>
        <w:t xml:space="preserve">يتعلق بالتعبير عن الآراء بين الشركاء. وهكذا فإن 33٪ من الرجال لا يقبلون </w:t>
      </w:r>
      <w:r w:rsidRPr="007045A6">
        <w:rPr>
          <w:rFonts w:asciiTheme="majorBidi" w:hAnsiTheme="majorBidi" w:cstheme="majorBidi"/>
          <w:b/>
          <w:bCs/>
          <w:color w:val="202124"/>
          <w:sz w:val="26"/>
          <w:szCs w:val="26"/>
          <w:rtl/>
        </w:rPr>
        <w:t>أن تتعارض المرأة مع رأي شريكها حتى لو لم تقتنع به</w:t>
      </w:r>
      <w:r w:rsidRPr="007045A6">
        <w:rPr>
          <w:rFonts w:asciiTheme="majorBidi" w:hAnsiTheme="majorBidi" w:cstheme="majorBidi"/>
          <w:color w:val="202124"/>
          <w:sz w:val="26"/>
          <w:szCs w:val="26"/>
          <w:rtl/>
        </w:rPr>
        <w:t xml:space="preserve">. وترتفع هذه النسبة بشكل خاص بين الرجال القرويين (41٪ مقابل 28٪ من الرجال في المدن)، والرجال الذين تبلغ أعمارهم 60 سنة فأكثر (38٪ </w:t>
      </w:r>
      <w:r w:rsidRPr="007045A6">
        <w:rPr>
          <w:rFonts w:asciiTheme="majorBidi" w:hAnsiTheme="majorBidi" w:cstheme="majorBidi"/>
          <w:color w:val="202124"/>
          <w:sz w:val="26"/>
          <w:szCs w:val="26"/>
          <w:rtl/>
        </w:rPr>
        <w:lastRenderedPageBreak/>
        <w:t>مقابل 32٪ بين الرجال الذين تتراوح أعمارهم بين 15 و34 سنة) والرجال الذين ليس لديهم أي مستوى تعليمي (44٪ مقابل 16٪ بين الرجال الحاصلين على تعليم عالٍ).</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ويبدو أن آراء الرجال متناقضة تمامًا فيما يتعلق بمسألة السلطة بين الزوجين. وقد يكون هذا التناقض بسبب الفجوات الموجودة بين التصورات والمواقف الفعلية.</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وغالبًا ما تكون العلاقات المتحيزة للسلطة والقوة بين الجنسين من الأسباب الرئيسية للعنف المرتكب خاصة في مجالات العيش حيث يكون هذا النوع من العلاقات متكررًا ولاسيما في المجال الزوجي.</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كما أن التصورات المتناقضة للسلطة وللذكورة في المجتمع تتطلب دراسة أشكال تقبل العنف ضد المرأة، الاجتماعية والنفسية.</w:t>
      </w: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6"/>
          <w:szCs w:val="26"/>
          <w:rtl/>
          <w:lang w:eastAsia="en-US"/>
        </w:rPr>
      </w:pP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8"/>
          <w:szCs w:val="28"/>
          <w:rtl/>
          <w:lang w:eastAsia="en-US"/>
        </w:rPr>
      </w:pPr>
      <w:r w:rsidRPr="007045A6">
        <w:rPr>
          <w:rFonts w:asciiTheme="majorBidi" w:eastAsiaTheme="minorHAnsi" w:hAnsiTheme="majorBidi" w:cstheme="majorBidi"/>
          <w:b/>
          <w:bCs/>
          <w:i/>
          <w:iCs/>
          <w:color w:val="548DD4" w:themeColor="text2" w:themeTint="99"/>
          <w:sz w:val="28"/>
          <w:szCs w:val="28"/>
          <w:rtl/>
          <w:lang w:eastAsia="en-US"/>
        </w:rPr>
        <w:t>ما يقرب من ثلث الرجال مع حق الزوج في ضرب شريكته لأي خطأ</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وعليه، ففي بعض الجوانب المحددة والمتكاملة والمتعلقة بحق الشريك في تعنيف شريكته، أظهرت نتائج البحث، أن ما يقرب من ثلثي الرجال (64٪) يرفضون لجوء الزوج إلى العنف ضد شريكته مهما كان السبب. ومع ذلك، صرح أكثر من 25٪ من الرجال بحق الزوج في ضرب / تعنيف زوجته </w:t>
      </w:r>
      <w:r w:rsidRPr="007045A6">
        <w:rPr>
          <w:rFonts w:asciiTheme="majorBidi" w:hAnsiTheme="majorBidi" w:cstheme="majorBidi"/>
          <w:b/>
          <w:bCs/>
          <w:color w:val="202124"/>
          <w:sz w:val="26"/>
          <w:szCs w:val="26"/>
          <w:rtl/>
        </w:rPr>
        <w:t xml:space="preserve">إذا خرجت بدون إذن منه </w:t>
      </w:r>
      <w:r w:rsidRPr="007045A6">
        <w:rPr>
          <w:rFonts w:asciiTheme="majorBidi" w:hAnsiTheme="majorBidi" w:cstheme="majorBidi"/>
          <w:color w:val="202124"/>
          <w:sz w:val="26"/>
          <w:szCs w:val="26"/>
          <w:rtl/>
        </w:rPr>
        <w:t xml:space="preserve">و 15٪ </w:t>
      </w:r>
      <w:r w:rsidRPr="007045A6">
        <w:rPr>
          <w:rFonts w:asciiTheme="majorBidi" w:hAnsiTheme="majorBidi" w:cstheme="majorBidi"/>
          <w:b/>
          <w:bCs/>
          <w:color w:val="202124"/>
          <w:sz w:val="26"/>
          <w:szCs w:val="26"/>
          <w:rtl/>
        </w:rPr>
        <w:t>إذا أهملت رعاية الأطفال</w:t>
      </w:r>
      <w:r w:rsidRPr="007045A6">
        <w:rPr>
          <w:rFonts w:asciiTheme="majorBidi" w:hAnsiTheme="majorBidi" w:cstheme="majorBidi"/>
          <w:color w:val="202124"/>
          <w:sz w:val="26"/>
          <w:szCs w:val="26"/>
          <w:rtl/>
        </w:rPr>
        <w:t>.</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tl/>
        </w:rPr>
      </w:pPr>
      <w:r w:rsidRPr="007045A6">
        <w:rPr>
          <w:rFonts w:asciiTheme="majorBidi" w:hAnsiTheme="majorBidi" w:cstheme="majorBidi"/>
          <w:color w:val="202124"/>
          <w:sz w:val="26"/>
          <w:szCs w:val="26"/>
          <w:rtl/>
        </w:rPr>
        <w:t xml:space="preserve">ويوافق أكثر من 7٪ على أحقية الزوج في ضرب زوجته </w:t>
      </w:r>
      <w:r w:rsidRPr="007045A6">
        <w:rPr>
          <w:rFonts w:asciiTheme="majorBidi" w:hAnsiTheme="majorBidi" w:cstheme="majorBidi"/>
          <w:b/>
          <w:bCs/>
          <w:color w:val="202124"/>
          <w:sz w:val="26"/>
          <w:szCs w:val="26"/>
          <w:rtl/>
        </w:rPr>
        <w:t>إذا رفضت ممارسة الجنس</w:t>
      </w:r>
      <w:r w:rsidRPr="007045A6">
        <w:rPr>
          <w:rFonts w:asciiTheme="majorBidi" w:hAnsiTheme="majorBidi" w:cstheme="majorBidi"/>
          <w:color w:val="202124"/>
          <w:sz w:val="26"/>
          <w:szCs w:val="26"/>
          <w:rtl/>
        </w:rPr>
        <w:t xml:space="preserve"> معه و 6٪ </w:t>
      </w:r>
      <w:r w:rsidRPr="007045A6">
        <w:rPr>
          <w:rFonts w:asciiTheme="majorBidi" w:hAnsiTheme="majorBidi" w:cstheme="majorBidi"/>
          <w:b/>
          <w:bCs/>
          <w:color w:val="202124"/>
          <w:sz w:val="26"/>
          <w:szCs w:val="26"/>
          <w:rtl/>
        </w:rPr>
        <w:t xml:space="preserve">إذا أهملت العمل المنزلي </w:t>
      </w:r>
      <w:r w:rsidRPr="007045A6">
        <w:rPr>
          <w:rFonts w:asciiTheme="majorBidi" w:hAnsiTheme="majorBidi" w:cstheme="majorBidi"/>
          <w:color w:val="202124"/>
          <w:sz w:val="26"/>
          <w:szCs w:val="26"/>
          <w:rtl/>
        </w:rPr>
        <w:t xml:space="preserve">و 6٪ </w:t>
      </w:r>
      <w:r w:rsidRPr="007045A6">
        <w:rPr>
          <w:rFonts w:asciiTheme="majorBidi" w:hAnsiTheme="majorBidi" w:cstheme="majorBidi"/>
          <w:b/>
          <w:bCs/>
          <w:color w:val="202124"/>
          <w:sz w:val="26"/>
          <w:szCs w:val="26"/>
          <w:rtl/>
        </w:rPr>
        <w:t xml:space="preserve">إذا عارضته أو خالفته في الرأي. </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b/>
          <w:bCs/>
          <w:color w:val="202124"/>
          <w:sz w:val="26"/>
          <w:szCs w:val="26"/>
        </w:rPr>
      </w:pPr>
      <w:r w:rsidRPr="007045A6">
        <w:rPr>
          <w:rFonts w:asciiTheme="majorBidi" w:hAnsiTheme="majorBidi" w:cstheme="majorBidi"/>
          <w:b/>
          <w:bCs/>
          <w:color w:val="202124"/>
          <w:sz w:val="26"/>
          <w:szCs w:val="26"/>
          <w:rtl/>
        </w:rPr>
        <w:t xml:space="preserve">الرسم البياني </w:t>
      </w:r>
      <w:r>
        <w:rPr>
          <w:rFonts w:asciiTheme="majorBidi" w:hAnsiTheme="majorBidi" w:cstheme="majorBidi" w:hint="cs"/>
          <w:b/>
          <w:bCs/>
          <w:color w:val="202124"/>
          <w:sz w:val="26"/>
          <w:szCs w:val="26"/>
          <w:rtl/>
        </w:rPr>
        <w:t>3</w:t>
      </w:r>
      <w:r w:rsidRPr="007045A6">
        <w:rPr>
          <w:rFonts w:asciiTheme="majorBidi" w:hAnsiTheme="majorBidi" w:cstheme="majorBidi"/>
          <w:b/>
          <w:bCs/>
          <w:color w:val="202124"/>
          <w:sz w:val="26"/>
          <w:szCs w:val="26"/>
          <w:rtl/>
        </w:rPr>
        <w:t>: نسبة الرجال الذين يعترفون بحق الزوج في ضرب / تعنيف زوجته حسب السياق</w:t>
      </w:r>
    </w:p>
    <w:p w:rsidR="007045A6" w:rsidRPr="007045A6" w:rsidRDefault="007045A6" w:rsidP="007045A6">
      <w:pPr>
        <w:shd w:val="clear" w:color="auto" w:fill="FFFFFF" w:themeFill="background1"/>
        <w:bidi/>
        <w:spacing w:line="360" w:lineRule="auto"/>
        <w:jc w:val="both"/>
        <w:rPr>
          <w:rFonts w:asciiTheme="majorBidi" w:hAnsiTheme="majorBidi" w:cstheme="majorBidi"/>
          <w:sz w:val="26"/>
          <w:szCs w:val="26"/>
        </w:rPr>
      </w:pPr>
      <w:r w:rsidRPr="007045A6">
        <w:rPr>
          <w:rFonts w:asciiTheme="majorBidi" w:hAnsiTheme="majorBidi" w:cstheme="majorBidi"/>
          <w:noProof/>
          <w:sz w:val="26"/>
          <w:szCs w:val="26"/>
          <w:rtl/>
          <w:lang w:eastAsia="fr-FR"/>
        </w:rPr>
        <w:drawing>
          <wp:inline distT="0" distB="0" distL="0" distR="0">
            <wp:extent cx="5762523" cy="3057753"/>
            <wp:effectExtent l="19050" t="0" r="9627" b="9297"/>
            <wp:docPr id="79"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45A6" w:rsidRPr="007045A6" w:rsidRDefault="007045A6" w:rsidP="007045A6">
      <w:pPr>
        <w:shd w:val="clear" w:color="auto" w:fill="FFFFFF" w:themeFill="background1"/>
        <w:bidi/>
        <w:spacing w:line="360" w:lineRule="auto"/>
        <w:jc w:val="both"/>
        <w:rPr>
          <w:rFonts w:asciiTheme="majorBidi" w:eastAsia="Times New Roman" w:hAnsiTheme="majorBidi" w:cstheme="majorBidi"/>
          <w:b/>
          <w:bCs/>
          <w:color w:val="202124"/>
          <w:rtl/>
          <w:lang w:eastAsia="fr-FR"/>
        </w:rPr>
      </w:pPr>
      <w:r w:rsidRPr="007045A6">
        <w:rPr>
          <w:rFonts w:asciiTheme="majorBidi" w:eastAsia="Times New Roman" w:hAnsiTheme="majorBidi" w:cstheme="majorBidi"/>
          <w:b/>
          <w:bCs/>
          <w:color w:val="202124"/>
          <w:rtl/>
          <w:lang w:eastAsia="fr-FR"/>
        </w:rPr>
        <w:t>المصدر</w:t>
      </w:r>
      <w:r w:rsidRPr="007045A6">
        <w:rPr>
          <w:rFonts w:asciiTheme="majorBidi" w:eastAsia="Times New Roman" w:hAnsiTheme="majorBidi" w:cstheme="majorBidi"/>
          <w:b/>
          <w:bCs/>
          <w:color w:val="202124"/>
          <w:lang w:eastAsia="fr-FR"/>
        </w:rPr>
        <w:t xml:space="preserve">: </w:t>
      </w:r>
      <w:r w:rsidRPr="007045A6">
        <w:rPr>
          <w:rFonts w:asciiTheme="majorBidi" w:eastAsia="Times New Roman" w:hAnsiTheme="majorBidi" w:cstheme="majorBidi"/>
          <w:b/>
          <w:bCs/>
          <w:color w:val="202124"/>
          <w:rtl/>
          <w:lang w:eastAsia="fr-FR"/>
        </w:rPr>
        <w:t xml:space="preserve">المندوبية السامية للتخطيط، البحث الوطني للعنف ضد النساء والرجال لسنة </w:t>
      </w:r>
      <w:r w:rsidRPr="007045A6">
        <w:rPr>
          <w:rFonts w:asciiTheme="majorBidi" w:eastAsia="Times New Roman" w:hAnsiTheme="majorBidi" w:cstheme="majorBidi"/>
          <w:b/>
          <w:bCs/>
          <w:color w:val="202124"/>
          <w:lang w:eastAsia="fr-FR"/>
        </w:rPr>
        <w:t>2019</w:t>
      </w: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8"/>
          <w:szCs w:val="28"/>
          <w:rtl/>
          <w:lang w:eastAsia="en-US"/>
        </w:rPr>
      </w:pPr>
      <w:r w:rsidRPr="007045A6">
        <w:rPr>
          <w:rFonts w:asciiTheme="majorBidi" w:eastAsiaTheme="minorHAnsi" w:hAnsiTheme="majorBidi" w:cstheme="majorBidi"/>
          <w:b/>
          <w:bCs/>
          <w:i/>
          <w:iCs/>
          <w:color w:val="548DD4" w:themeColor="text2" w:themeTint="99"/>
          <w:sz w:val="28"/>
          <w:szCs w:val="28"/>
          <w:rtl/>
          <w:lang w:eastAsia="en-US"/>
        </w:rPr>
        <w:lastRenderedPageBreak/>
        <w:t>يعتبر سبعة رجال من كل عشرة أن العنف المنزلي مسألة خاصة ويفضل أكثر من ثلاثة من كل عشرة رجال عدم التدخل في حالة العنف بين زوجين</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تعكس ال</w:t>
      </w:r>
      <w:r w:rsidRPr="007045A6">
        <w:rPr>
          <w:rFonts w:asciiTheme="majorBidi" w:hAnsiTheme="majorBidi" w:cstheme="majorBidi"/>
          <w:color w:val="202124"/>
          <w:sz w:val="26"/>
          <w:szCs w:val="26"/>
          <w:rtl/>
          <w:lang w:bidi="ar-DZ"/>
        </w:rPr>
        <w:t>تصورات</w:t>
      </w:r>
      <w:r w:rsidRPr="007045A6">
        <w:rPr>
          <w:rFonts w:asciiTheme="majorBidi" w:hAnsiTheme="majorBidi" w:cstheme="majorBidi"/>
          <w:color w:val="202124"/>
          <w:sz w:val="26"/>
          <w:szCs w:val="26"/>
          <w:rtl/>
        </w:rPr>
        <w:t xml:space="preserve"> الأخيرة آراء متمركزةذات منظور ذكوري لا تزالمترسخة في المجتمع والتي يمكن توضيحها أيضًا من خلال تصورات الرجال لتقبل العنف الزوجي ومبرراته الاجتماعية، على وجه الخصوص، بعض التصريحات مثل" يجب على المرأة أن تتحمل العنف الذي يرتكبه الشريك للحفاظ على استقرار أسرتها" و"أن تعتبر هذا العنف أمرًا خاصًا لا ينبغي الكشف عنه للآخرين".</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وهكذا، يتفق 40٪ من الرجال على أن "</w:t>
      </w:r>
      <w:r w:rsidRPr="007045A6">
        <w:rPr>
          <w:rFonts w:asciiTheme="majorBidi" w:hAnsiTheme="majorBidi" w:cstheme="majorBidi"/>
          <w:b/>
          <w:bCs/>
          <w:color w:val="202124"/>
          <w:sz w:val="26"/>
          <w:szCs w:val="26"/>
          <w:rtl/>
        </w:rPr>
        <w:t>على المرأة أن تتحمل العنف الذي يمارسه الزوج للحفاظ على استقرار الأسرة</w:t>
      </w:r>
      <w:r w:rsidRPr="007045A6">
        <w:rPr>
          <w:rFonts w:asciiTheme="majorBidi" w:hAnsiTheme="majorBidi" w:cstheme="majorBidi"/>
          <w:color w:val="202124"/>
          <w:sz w:val="26"/>
          <w:szCs w:val="26"/>
          <w:rtl/>
        </w:rPr>
        <w:t xml:space="preserve">"، 15٪ منهم يتفقون بشكل قاطع </w:t>
      </w:r>
      <w:r w:rsidR="005729BF" w:rsidRPr="007045A6">
        <w:rPr>
          <w:rFonts w:asciiTheme="majorBidi" w:hAnsiTheme="majorBidi" w:cstheme="majorBidi" w:hint="cs"/>
          <w:color w:val="202124"/>
          <w:sz w:val="26"/>
          <w:szCs w:val="26"/>
          <w:rtl/>
        </w:rPr>
        <w:t>و25</w:t>
      </w:r>
      <w:r w:rsidRPr="007045A6">
        <w:rPr>
          <w:rFonts w:asciiTheme="majorBidi" w:hAnsiTheme="majorBidi" w:cstheme="majorBidi"/>
          <w:color w:val="202124"/>
          <w:sz w:val="26"/>
          <w:szCs w:val="26"/>
          <w:rtl/>
        </w:rPr>
        <w:t xml:space="preserve">٪ يتفقون إلى حد ما. ويبقى هذا التصور أعلى حدة لدى الرجال دون أي مستوى تعليمي (50٪ مقابل 22٪ من بين الحاصلين على تعليم عالٍ) </w:t>
      </w:r>
      <w:r w:rsidR="005729BF" w:rsidRPr="007045A6">
        <w:rPr>
          <w:rFonts w:asciiTheme="majorBidi" w:hAnsiTheme="majorBidi" w:cstheme="majorBidi" w:hint="cs"/>
          <w:color w:val="202124"/>
          <w:sz w:val="26"/>
          <w:szCs w:val="26"/>
          <w:rtl/>
        </w:rPr>
        <w:t>ولدى الرجال</w:t>
      </w:r>
      <w:r w:rsidRPr="007045A6">
        <w:rPr>
          <w:rFonts w:asciiTheme="majorBidi" w:hAnsiTheme="majorBidi" w:cstheme="majorBidi"/>
          <w:color w:val="202124"/>
          <w:sz w:val="26"/>
          <w:szCs w:val="26"/>
          <w:rtl/>
        </w:rPr>
        <w:t xml:space="preserve"> القرويين (48٪ مقابل 36٪ بين الرجال الحضريين) وكبار السن الذين تتراوح أعمارهم بين 60 </w:t>
      </w:r>
      <w:r w:rsidR="005729BF" w:rsidRPr="007045A6">
        <w:rPr>
          <w:rFonts w:asciiTheme="majorBidi" w:hAnsiTheme="majorBidi" w:cstheme="majorBidi" w:hint="cs"/>
          <w:color w:val="202124"/>
          <w:sz w:val="26"/>
          <w:szCs w:val="26"/>
          <w:rtl/>
        </w:rPr>
        <w:t>و74 سنة</w:t>
      </w:r>
      <w:r w:rsidRPr="007045A6">
        <w:rPr>
          <w:rFonts w:asciiTheme="majorBidi" w:hAnsiTheme="majorBidi" w:cstheme="majorBidi"/>
          <w:color w:val="202124"/>
          <w:sz w:val="26"/>
          <w:szCs w:val="26"/>
          <w:rtl/>
        </w:rPr>
        <w:t xml:space="preserve"> (46٪ مقابل 37٪ بين البالغين 15 إلى 34 سنة).</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وفي هذا </w:t>
      </w:r>
      <w:r w:rsidR="005729BF" w:rsidRPr="007045A6">
        <w:rPr>
          <w:rFonts w:asciiTheme="majorBidi" w:hAnsiTheme="majorBidi" w:cstheme="majorBidi" w:hint="cs"/>
          <w:color w:val="202124"/>
          <w:sz w:val="26"/>
          <w:szCs w:val="26"/>
          <w:rtl/>
        </w:rPr>
        <w:t>الصدد،</w:t>
      </w:r>
      <w:r w:rsidRPr="007045A6">
        <w:rPr>
          <w:rFonts w:asciiTheme="majorBidi" w:hAnsiTheme="majorBidi" w:cstheme="majorBidi"/>
          <w:color w:val="202124"/>
          <w:sz w:val="26"/>
          <w:szCs w:val="26"/>
          <w:rtl/>
        </w:rPr>
        <w:t xml:space="preserve"> طرح الرجال عمومًا أسبابًا اجتماعية لتبرير استمرار العلاقة الزوجية مع الشريك العنيف. 72٪ من الرجال يعزون ذلك بشكل رئيسي إلى وجود الأطفال لدى الزوجين </w:t>
      </w:r>
      <w:r w:rsidR="005729BF" w:rsidRPr="007045A6">
        <w:rPr>
          <w:rFonts w:asciiTheme="majorBidi" w:hAnsiTheme="majorBidi" w:cstheme="majorBidi" w:hint="cs"/>
          <w:color w:val="202124"/>
          <w:sz w:val="26"/>
          <w:szCs w:val="26"/>
          <w:rtl/>
        </w:rPr>
        <w:t>و6</w:t>
      </w:r>
      <w:r w:rsidRPr="007045A6">
        <w:rPr>
          <w:rFonts w:asciiTheme="majorBidi" w:hAnsiTheme="majorBidi" w:cstheme="majorBidi"/>
          <w:color w:val="202124"/>
          <w:sz w:val="26"/>
          <w:szCs w:val="26"/>
          <w:rtl/>
        </w:rPr>
        <w:t>٪ إلى وجود العلاقات العائلية و4٪ إلى نقص الموارد لدى المرأة.</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 xml:space="preserve">وبالإضافة إلى ذلك، اتفق 42٪ من المستجوبين (51٪ في الوسط القروي)، بشكل </w:t>
      </w:r>
      <w:r w:rsidR="005729BF" w:rsidRPr="007045A6">
        <w:rPr>
          <w:rFonts w:asciiTheme="majorBidi" w:hAnsiTheme="majorBidi" w:cstheme="majorBidi" w:hint="cs"/>
          <w:color w:val="202124"/>
          <w:sz w:val="26"/>
          <w:szCs w:val="26"/>
          <w:rtl/>
        </w:rPr>
        <w:t>قاطع</w:t>
      </w:r>
      <w:r w:rsidR="005729BF">
        <w:rPr>
          <w:rFonts w:asciiTheme="majorBidi" w:hAnsiTheme="majorBidi" w:cstheme="majorBidi"/>
          <w:color w:val="202124"/>
          <w:sz w:val="26"/>
          <w:szCs w:val="26"/>
          <w:rtl/>
        </w:rPr>
        <w:t>،على</w:t>
      </w:r>
      <w:r w:rsidRPr="007045A6">
        <w:rPr>
          <w:rFonts w:asciiTheme="majorBidi" w:hAnsiTheme="majorBidi" w:cstheme="majorBidi"/>
          <w:color w:val="202124"/>
          <w:sz w:val="26"/>
          <w:szCs w:val="26"/>
          <w:rtl/>
        </w:rPr>
        <w:t xml:space="preserve"> أن </w:t>
      </w:r>
      <w:r w:rsidRPr="007045A6">
        <w:rPr>
          <w:rFonts w:asciiTheme="majorBidi" w:hAnsiTheme="majorBidi" w:cstheme="majorBidi"/>
          <w:b/>
          <w:bCs/>
          <w:color w:val="202124"/>
          <w:sz w:val="26"/>
          <w:szCs w:val="26"/>
          <w:rtl/>
        </w:rPr>
        <w:t>العنف بين الزوجين هو مسألة خاصة لا ينبغي للزوجة الإفصاح عنها بأي شكل من الأشكال</w:t>
      </w:r>
      <w:r w:rsidRPr="007045A6">
        <w:rPr>
          <w:rFonts w:asciiTheme="majorBidi" w:hAnsiTheme="majorBidi" w:cstheme="majorBidi"/>
          <w:color w:val="202124"/>
          <w:sz w:val="26"/>
          <w:szCs w:val="26"/>
          <w:rtl/>
        </w:rPr>
        <w:t xml:space="preserve">، بالإضافة إلى 28٪ الذين اتفقوا إلى حد ما على ذلك. مما يمثل مجموع 70٪ من الرجال الذين يؤيدون هذه الفكرة (76٪ في الوسط القروي </w:t>
      </w:r>
      <w:r w:rsidR="005729BF" w:rsidRPr="007045A6">
        <w:rPr>
          <w:rFonts w:asciiTheme="majorBidi" w:hAnsiTheme="majorBidi" w:cstheme="majorBidi" w:hint="cs"/>
          <w:color w:val="202124"/>
          <w:sz w:val="26"/>
          <w:szCs w:val="26"/>
          <w:rtl/>
        </w:rPr>
        <w:t>و66</w:t>
      </w:r>
      <w:r w:rsidRPr="007045A6">
        <w:rPr>
          <w:rFonts w:asciiTheme="majorBidi" w:hAnsiTheme="majorBidi" w:cstheme="majorBidi"/>
          <w:color w:val="202124"/>
          <w:sz w:val="26"/>
          <w:szCs w:val="26"/>
          <w:rtl/>
        </w:rPr>
        <w:t>٪ في الوسط الحضري).</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وبترابط مع البعد الخاص للعنف الزوجي، تم استجواب الرجال أيضًا حول "ردود أفعالهم في حالة رؤيتهم لرجل يضرب زوجته". صرح أكثر من 36٪ منهم بأنهم "لن يفعلوا شيئًا" معتبرين أن هذا الوضع مسألة خاصة للمعنيين بالأمر. وتبقى هذه النسبة أعلى في الوسط الحضري (40٪) وبين العزاب (41٪).</w:t>
      </w: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6"/>
          <w:szCs w:val="26"/>
          <w:rtl/>
          <w:lang w:eastAsia="en-US"/>
        </w:rPr>
      </w:pP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8"/>
          <w:szCs w:val="28"/>
          <w:rtl/>
        </w:rPr>
      </w:pPr>
      <w:r w:rsidRPr="007045A6">
        <w:rPr>
          <w:rFonts w:asciiTheme="majorBidi" w:eastAsiaTheme="minorHAnsi" w:hAnsiTheme="majorBidi" w:cstheme="majorBidi"/>
          <w:b/>
          <w:bCs/>
          <w:i/>
          <w:iCs/>
          <w:color w:val="548DD4" w:themeColor="text2" w:themeTint="99"/>
          <w:sz w:val="28"/>
          <w:szCs w:val="28"/>
          <w:rtl/>
          <w:lang w:eastAsia="en-US"/>
        </w:rPr>
        <w:t>أكثر من نصف الرجال لا يعرفون القانون 103-13 المتعلق بمحاربة العنف ضد النساء</w:t>
      </w:r>
      <w:r w:rsidRPr="007045A6">
        <w:rPr>
          <w:rFonts w:asciiTheme="majorBidi" w:eastAsiaTheme="minorHAnsi" w:hAnsiTheme="majorBidi" w:cstheme="majorBidi"/>
          <w:b/>
          <w:bCs/>
          <w:i/>
          <w:iCs/>
          <w:color w:val="548DD4" w:themeColor="text2" w:themeTint="99"/>
          <w:sz w:val="28"/>
          <w:szCs w:val="28"/>
          <w:lang w:eastAsia="en-US"/>
        </w:rPr>
        <w:t> </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r w:rsidRPr="007045A6">
        <w:rPr>
          <w:rFonts w:asciiTheme="majorBidi" w:hAnsiTheme="majorBidi" w:cstheme="majorBidi"/>
          <w:color w:val="202124"/>
          <w:sz w:val="26"/>
          <w:szCs w:val="26"/>
          <w:rtl/>
        </w:rPr>
        <w:t>من ناحية أخرى، أكثر من نصف الرجال (57٪) ليسوا على علم بوجود القانون 103-13 المتعلق بمحاربة العنف ضد النساء. وتبقى هذه النسبة أعلى في الوسط القروي (69٪ مقابل 51٪ في الوسط الحضري) وبين الرجال دون أي مستوى تعليمي (74٪ مقابل 30٪ من ذوي المستوى التعليمي العالي).</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أما فيما يتعلق برضا الرجال عن هذا القانون، فإن 17٪ منهم يعتبرونه كافياً لضمان الحماية الكاملة للنساء من العنف مقابل 31٪ من الرجال الذين يعتبرونه غير كافٍ وخاصةً سكان المدن (35٪) وذوي المستوى التعليمي العالي (41 ٪).</w:t>
      </w:r>
    </w:p>
    <w:p w:rsid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6"/>
          <w:szCs w:val="26"/>
          <w:rtl/>
          <w:lang w:eastAsia="en-US"/>
        </w:rPr>
      </w:pP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6"/>
          <w:szCs w:val="26"/>
          <w:rtl/>
          <w:lang w:eastAsia="en-US"/>
        </w:rPr>
      </w:pPr>
    </w:p>
    <w:p w:rsidR="007045A6" w:rsidRPr="007045A6" w:rsidRDefault="007045A6" w:rsidP="007045A6">
      <w:pPr>
        <w:pStyle w:val="PrformatHTML"/>
        <w:shd w:val="clear" w:color="auto" w:fill="FFFFFF" w:themeFill="background1"/>
        <w:bidi/>
        <w:spacing w:line="360" w:lineRule="auto"/>
        <w:jc w:val="both"/>
        <w:rPr>
          <w:rFonts w:asciiTheme="majorBidi" w:eastAsiaTheme="minorHAnsi" w:hAnsiTheme="majorBidi" w:cstheme="majorBidi"/>
          <w:b/>
          <w:bCs/>
          <w:i/>
          <w:iCs/>
          <w:color w:val="548DD4" w:themeColor="text2" w:themeTint="99"/>
          <w:sz w:val="28"/>
          <w:szCs w:val="28"/>
          <w:rtl/>
          <w:lang w:eastAsia="en-US"/>
        </w:rPr>
      </w:pPr>
      <w:r w:rsidRPr="007045A6">
        <w:rPr>
          <w:rFonts w:asciiTheme="majorBidi" w:eastAsiaTheme="minorHAnsi" w:hAnsiTheme="majorBidi" w:cstheme="majorBidi"/>
          <w:b/>
          <w:bCs/>
          <w:i/>
          <w:iCs/>
          <w:color w:val="548DD4" w:themeColor="text2" w:themeTint="99"/>
          <w:sz w:val="28"/>
          <w:szCs w:val="28"/>
          <w:rtl/>
          <w:lang w:eastAsia="en-US"/>
        </w:rPr>
        <w:lastRenderedPageBreak/>
        <w:t>خلاصة</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Pr>
      </w:pPr>
      <w:r w:rsidRPr="007045A6">
        <w:rPr>
          <w:rFonts w:asciiTheme="majorBidi" w:hAnsiTheme="majorBidi" w:cstheme="majorBidi"/>
          <w:color w:val="202124"/>
          <w:sz w:val="26"/>
          <w:szCs w:val="26"/>
          <w:rtl/>
        </w:rPr>
        <w:t xml:space="preserve">يكشف تحليل تصورات الرجال للعنف بشكل عام عن </w:t>
      </w:r>
      <w:r w:rsidR="005729BF" w:rsidRPr="007045A6">
        <w:rPr>
          <w:rFonts w:asciiTheme="majorBidi" w:hAnsiTheme="majorBidi" w:cstheme="majorBidi" w:hint="cs"/>
          <w:color w:val="202124"/>
          <w:sz w:val="26"/>
          <w:szCs w:val="26"/>
          <w:rtl/>
        </w:rPr>
        <w:t>وجود فجوة</w:t>
      </w:r>
      <w:r w:rsidRPr="007045A6">
        <w:rPr>
          <w:rFonts w:asciiTheme="majorBidi" w:hAnsiTheme="majorBidi" w:cstheme="majorBidi"/>
          <w:color w:val="202124"/>
          <w:sz w:val="26"/>
          <w:szCs w:val="26"/>
          <w:rtl/>
        </w:rPr>
        <w:t xml:space="preserve"> بين تجربة </w:t>
      </w:r>
      <w:r w:rsidR="005729BF" w:rsidRPr="007045A6">
        <w:rPr>
          <w:rFonts w:asciiTheme="majorBidi" w:hAnsiTheme="majorBidi" w:cstheme="majorBidi" w:hint="cs"/>
          <w:color w:val="202124"/>
          <w:sz w:val="26"/>
          <w:szCs w:val="26"/>
          <w:rtl/>
        </w:rPr>
        <w:t>الرجال وتصورهم</w:t>
      </w:r>
      <w:r w:rsidRPr="007045A6">
        <w:rPr>
          <w:rFonts w:asciiTheme="majorBidi" w:hAnsiTheme="majorBidi" w:cstheme="majorBidi"/>
          <w:color w:val="202124"/>
          <w:sz w:val="26"/>
          <w:szCs w:val="26"/>
          <w:rtl/>
        </w:rPr>
        <w:t xml:space="preserve"> لفضاء العيش الأكثر اتساما بالعنف وشكل العنف الأكثر </w:t>
      </w:r>
      <w:r w:rsidR="005729BF" w:rsidRPr="007045A6">
        <w:rPr>
          <w:rFonts w:asciiTheme="majorBidi" w:hAnsiTheme="majorBidi" w:cstheme="majorBidi" w:hint="cs"/>
          <w:color w:val="202124"/>
          <w:sz w:val="26"/>
          <w:szCs w:val="26"/>
          <w:rtl/>
        </w:rPr>
        <w:t>انتشارًا،</w:t>
      </w:r>
      <w:r w:rsidRPr="007045A6">
        <w:rPr>
          <w:rFonts w:asciiTheme="majorBidi" w:hAnsiTheme="majorBidi" w:cstheme="majorBidi"/>
          <w:color w:val="202124"/>
          <w:sz w:val="26"/>
          <w:szCs w:val="26"/>
          <w:rtl/>
        </w:rPr>
        <w:t xml:space="preserve"> فإذا كان الفضاء الزوجي والشكل النفسي يسجلان أعلى معدلات لانتشار </w:t>
      </w:r>
      <w:r w:rsidR="005729BF" w:rsidRPr="007045A6">
        <w:rPr>
          <w:rFonts w:asciiTheme="majorBidi" w:hAnsiTheme="majorBidi" w:cstheme="majorBidi" w:hint="cs"/>
          <w:color w:val="202124"/>
          <w:sz w:val="26"/>
          <w:szCs w:val="26"/>
          <w:rtl/>
        </w:rPr>
        <w:t>العنف، فإنه</w:t>
      </w:r>
      <w:r w:rsidRPr="007045A6">
        <w:rPr>
          <w:rFonts w:asciiTheme="majorBidi" w:hAnsiTheme="majorBidi" w:cstheme="majorBidi"/>
          <w:color w:val="202124"/>
          <w:sz w:val="26"/>
          <w:szCs w:val="26"/>
          <w:rtl/>
        </w:rPr>
        <w:t xml:space="preserve"> يُنظر إلى الأماكن العامة كالمجال الأكثر تميزا بالعنف والعنف الجسدي كالشكل الأكثر شيوعا.</w:t>
      </w:r>
    </w:p>
    <w:p w:rsidR="007045A6" w:rsidRPr="007045A6" w:rsidRDefault="007045A6" w:rsidP="007045A6">
      <w:pPr>
        <w:pStyle w:val="PrformatHTML"/>
        <w:shd w:val="clear" w:color="auto" w:fill="FFFFFF" w:themeFill="background1"/>
        <w:bidi/>
        <w:spacing w:line="360" w:lineRule="auto"/>
        <w:jc w:val="both"/>
        <w:rPr>
          <w:rFonts w:asciiTheme="majorBidi" w:hAnsiTheme="majorBidi" w:cstheme="majorBidi"/>
          <w:color w:val="202124"/>
          <w:sz w:val="26"/>
          <w:szCs w:val="26"/>
          <w:rtl/>
          <w:lang w:bidi="ar-MA"/>
        </w:rPr>
      </w:pPr>
      <w:r w:rsidRPr="007045A6">
        <w:rPr>
          <w:rFonts w:asciiTheme="majorBidi" w:hAnsiTheme="majorBidi" w:cstheme="majorBidi"/>
          <w:color w:val="202124"/>
          <w:sz w:val="26"/>
          <w:szCs w:val="26"/>
          <w:rtl/>
        </w:rPr>
        <w:t xml:space="preserve">وبالإضافة لذلك، فعلى الرغم من الوعي الذكوري بتعرض المرأة للعنف، فإن تحليل تصورات الرجال للأدوار الاجتماعية وعلاقات السلطة بين الزوجين يعكس استمرار النموذج التقليدي لتقاسم الأدوار بين الرجل والمرأة في إطار الزواج، وحق الزوج في الإساءة و / أو ضرب زوجته لأي خطأ واعتبار العنف الزوجي شأنًا خاصا بين الزوجين لا يجب الإفصاح عنه، لاسيما بين الرجال القرويين والأقل تعليماً والأكبر سناً. وتمثل هذه التصورات الذكورية عامل خطر رئيسي للعنف الذي من شأنه أن يساعد على ارتكاب </w:t>
      </w:r>
      <w:r w:rsidR="005729BF" w:rsidRPr="007045A6">
        <w:rPr>
          <w:rFonts w:asciiTheme="majorBidi" w:hAnsiTheme="majorBidi" w:cstheme="majorBidi" w:hint="cs"/>
          <w:color w:val="202124"/>
          <w:sz w:val="26"/>
          <w:szCs w:val="26"/>
          <w:rtl/>
        </w:rPr>
        <w:t>واستمرار العنف</w:t>
      </w:r>
      <w:r w:rsidR="005729BF" w:rsidRPr="007045A6">
        <w:rPr>
          <w:rFonts w:asciiTheme="majorBidi" w:hAnsiTheme="majorBidi" w:cstheme="majorBidi" w:hint="cs"/>
          <w:color w:val="202124"/>
          <w:sz w:val="26"/>
          <w:szCs w:val="26"/>
          <w:rtl/>
          <w:lang w:bidi="ar-MA"/>
        </w:rPr>
        <w:t>ضد</w:t>
      </w:r>
      <w:r w:rsidRPr="007045A6">
        <w:rPr>
          <w:rFonts w:asciiTheme="majorBidi" w:hAnsiTheme="majorBidi" w:cstheme="majorBidi"/>
          <w:color w:val="202124"/>
          <w:sz w:val="26"/>
          <w:szCs w:val="26"/>
          <w:rtl/>
        </w:rPr>
        <w:t>المرأة.</w:t>
      </w:r>
    </w:p>
    <w:p w:rsidR="00963F94" w:rsidRPr="007045A6" w:rsidRDefault="00963F94" w:rsidP="007045A6">
      <w:pPr>
        <w:pStyle w:val="PrformatHTML"/>
        <w:shd w:val="clear" w:color="auto" w:fill="FFFFFF" w:themeFill="background1"/>
        <w:bidi/>
        <w:spacing w:line="360" w:lineRule="auto"/>
        <w:jc w:val="both"/>
        <w:rPr>
          <w:rFonts w:asciiTheme="majorBidi" w:hAnsiTheme="majorBidi" w:cstheme="majorBidi"/>
          <w:color w:val="202124"/>
          <w:sz w:val="26"/>
          <w:szCs w:val="26"/>
          <w:rtl/>
          <w:lang w:bidi="ar-MA"/>
        </w:rPr>
      </w:pPr>
    </w:p>
    <w:p w:rsidR="00590B10" w:rsidRPr="007045A6" w:rsidRDefault="00590B10"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413196" w:rsidRPr="007045A6" w:rsidRDefault="002E51A1" w:rsidP="002E51A1">
      <w:pPr>
        <w:pStyle w:val="PrformatHTML"/>
        <w:shd w:val="clear" w:color="auto" w:fill="FFFFFF" w:themeFill="background1"/>
        <w:bidi/>
        <w:spacing w:line="360" w:lineRule="auto"/>
        <w:jc w:val="center"/>
        <w:rPr>
          <w:rFonts w:asciiTheme="majorBidi" w:hAnsiTheme="majorBidi" w:cstheme="majorBidi"/>
          <w:color w:val="202124"/>
          <w:sz w:val="26"/>
          <w:szCs w:val="26"/>
          <w:rtl/>
        </w:rPr>
      </w:pPr>
      <w:r>
        <w:rPr>
          <w:rFonts w:asciiTheme="majorBidi" w:hAnsiTheme="majorBidi" w:cstheme="majorBidi"/>
          <w:color w:val="202124"/>
          <w:sz w:val="26"/>
          <w:szCs w:val="26"/>
        </w:rPr>
        <w:t xml:space="preserve">       </w:t>
      </w:r>
    </w:p>
    <w:p w:rsidR="00413196" w:rsidRPr="007045A6" w:rsidRDefault="0041319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413196" w:rsidRPr="007045A6" w:rsidRDefault="0041319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413196" w:rsidRPr="007045A6" w:rsidRDefault="0041319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413196" w:rsidRPr="007045A6" w:rsidRDefault="0041319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413196" w:rsidRPr="007045A6" w:rsidRDefault="0041319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413196" w:rsidRPr="007045A6" w:rsidRDefault="00413196" w:rsidP="007045A6">
      <w:pPr>
        <w:pStyle w:val="PrformatHTML"/>
        <w:shd w:val="clear" w:color="auto" w:fill="FFFFFF" w:themeFill="background1"/>
        <w:bidi/>
        <w:spacing w:line="360" w:lineRule="auto"/>
        <w:jc w:val="both"/>
        <w:rPr>
          <w:rFonts w:asciiTheme="majorBidi" w:hAnsiTheme="majorBidi" w:cstheme="majorBidi"/>
          <w:color w:val="202124"/>
          <w:sz w:val="26"/>
          <w:szCs w:val="26"/>
          <w:rtl/>
        </w:rPr>
      </w:pPr>
    </w:p>
    <w:p w:rsidR="00590B10" w:rsidRPr="007045A6" w:rsidRDefault="00590B10" w:rsidP="007045A6">
      <w:pPr>
        <w:pStyle w:val="PrformatHTML"/>
        <w:shd w:val="clear" w:color="auto" w:fill="FFFFFF" w:themeFill="background1"/>
        <w:bidi/>
        <w:spacing w:line="360" w:lineRule="auto"/>
        <w:rPr>
          <w:rFonts w:asciiTheme="majorBidi" w:hAnsiTheme="majorBidi" w:cstheme="majorBidi"/>
          <w:color w:val="202124"/>
          <w:sz w:val="26"/>
          <w:szCs w:val="26"/>
          <w:rtl/>
        </w:rPr>
      </w:pPr>
    </w:p>
    <w:sectPr w:rsidR="00590B10" w:rsidRPr="007045A6" w:rsidSect="00D118CA">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050" w:rsidRDefault="001B0050" w:rsidP="00211DA5">
      <w:pPr>
        <w:spacing w:after="0" w:line="240" w:lineRule="auto"/>
      </w:pPr>
      <w:r>
        <w:separator/>
      </w:r>
    </w:p>
  </w:endnote>
  <w:endnote w:type="continuationSeparator" w:id="0">
    <w:p w:rsidR="001B0050" w:rsidRDefault="001B0050" w:rsidP="00211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340902"/>
      <w:docPartObj>
        <w:docPartGallery w:val="Page Numbers (Bottom of Page)"/>
        <w:docPartUnique/>
      </w:docPartObj>
    </w:sdtPr>
    <w:sdtContent>
      <w:p w:rsidR="002A4ECC" w:rsidRDefault="00E2353F">
        <w:pPr>
          <w:pStyle w:val="Pieddepage"/>
          <w:jc w:val="right"/>
        </w:pPr>
        <w:r>
          <w:fldChar w:fldCharType="begin"/>
        </w:r>
        <w:r w:rsidR="00F17445">
          <w:instrText xml:space="preserve"> PAGE   \* MERGEFORMAT </w:instrText>
        </w:r>
        <w:r>
          <w:fldChar w:fldCharType="separate"/>
        </w:r>
        <w:r w:rsidR="002E51A1">
          <w:rPr>
            <w:noProof/>
          </w:rPr>
          <w:t>9</w:t>
        </w:r>
        <w:r>
          <w:rPr>
            <w:noProof/>
          </w:rPr>
          <w:fldChar w:fldCharType="end"/>
        </w:r>
      </w:p>
    </w:sdtContent>
  </w:sdt>
  <w:p w:rsidR="002A4ECC" w:rsidRDefault="002A4E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050" w:rsidRDefault="001B0050" w:rsidP="00211DA5">
      <w:pPr>
        <w:spacing w:after="0" w:line="240" w:lineRule="auto"/>
      </w:pPr>
      <w:r>
        <w:separator/>
      </w:r>
    </w:p>
  </w:footnote>
  <w:footnote w:type="continuationSeparator" w:id="0">
    <w:p w:rsidR="001B0050" w:rsidRDefault="001B0050" w:rsidP="00211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163AC"/>
    <w:multiLevelType w:val="hybridMultilevel"/>
    <w:tmpl w:val="6AACA7D0"/>
    <w:lvl w:ilvl="0" w:tplc="9B20C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C0DED"/>
    <w:multiLevelType w:val="hybridMultilevel"/>
    <w:tmpl w:val="DB8E7F04"/>
    <w:lvl w:ilvl="0" w:tplc="77687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rsids>
    <w:rsidRoot w:val="005C73BA"/>
    <w:rsid w:val="00012B10"/>
    <w:rsid w:val="00016F1E"/>
    <w:rsid w:val="00017BD6"/>
    <w:rsid w:val="00026550"/>
    <w:rsid w:val="00035B8A"/>
    <w:rsid w:val="00044CA1"/>
    <w:rsid w:val="00060C3E"/>
    <w:rsid w:val="000867AC"/>
    <w:rsid w:val="000B26C6"/>
    <w:rsid w:val="000C1996"/>
    <w:rsid w:val="000C74C2"/>
    <w:rsid w:val="000D2C88"/>
    <w:rsid w:val="000E6771"/>
    <w:rsid w:val="000F2A4F"/>
    <w:rsid w:val="000F779D"/>
    <w:rsid w:val="0010093F"/>
    <w:rsid w:val="00102C01"/>
    <w:rsid w:val="00116454"/>
    <w:rsid w:val="00122135"/>
    <w:rsid w:val="00130FD7"/>
    <w:rsid w:val="001319A0"/>
    <w:rsid w:val="00141820"/>
    <w:rsid w:val="00147140"/>
    <w:rsid w:val="00170B7E"/>
    <w:rsid w:val="0017296B"/>
    <w:rsid w:val="0018090D"/>
    <w:rsid w:val="001871AE"/>
    <w:rsid w:val="00192237"/>
    <w:rsid w:val="00192EE6"/>
    <w:rsid w:val="00195592"/>
    <w:rsid w:val="001B0050"/>
    <w:rsid w:val="001D5330"/>
    <w:rsid w:val="001E5D5D"/>
    <w:rsid w:val="00211DA5"/>
    <w:rsid w:val="00213289"/>
    <w:rsid w:val="00217425"/>
    <w:rsid w:val="0022213D"/>
    <w:rsid w:val="00234FBD"/>
    <w:rsid w:val="00237A6E"/>
    <w:rsid w:val="00240FFE"/>
    <w:rsid w:val="00242604"/>
    <w:rsid w:val="00253061"/>
    <w:rsid w:val="0029189B"/>
    <w:rsid w:val="002A126B"/>
    <w:rsid w:val="002A1DED"/>
    <w:rsid w:val="002A4ECC"/>
    <w:rsid w:val="002A59E1"/>
    <w:rsid w:val="002A6082"/>
    <w:rsid w:val="002C0D47"/>
    <w:rsid w:val="002D5EA4"/>
    <w:rsid w:val="002E51A1"/>
    <w:rsid w:val="002F132A"/>
    <w:rsid w:val="002F5E81"/>
    <w:rsid w:val="003051DB"/>
    <w:rsid w:val="00306F59"/>
    <w:rsid w:val="00313232"/>
    <w:rsid w:val="00316B7A"/>
    <w:rsid w:val="00324264"/>
    <w:rsid w:val="00330ADB"/>
    <w:rsid w:val="00330C65"/>
    <w:rsid w:val="00332F90"/>
    <w:rsid w:val="00346770"/>
    <w:rsid w:val="00356708"/>
    <w:rsid w:val="003601FA"/>
    <w:rsid w:val="00371BFD"/>
    <w:rsid w:val="00374E97"/>
    <w:rsid w:val="00391086"/>
    <w:rsid w:val="00397D1B"/>
    <w:rsid w:val="003B42F0"/>
    <w:rsid w:val="003C6370"/>
    <w:rsid w:val="003C6932"/>
    <w:rsid w:val="003C70C4"/>
    <w:rsid w:val="003E2091"/>
    <w:rsid w:val="00404ADB"/>
    <w:rsid w:val="004112C2"/>
    <w:rsid w:val="00411F54"/>
    <w:rsid w:val="00413196"/>
    <w:rsid w:val="004159FC"/>
    <w:rsid w:val="004222FB"/>
    <w:rsid w:val="00425B4C"/>
    <w:rsid w:val="00435ED7"/>
    <w:rsid w:val="00450D58"/>
    <w:rsid w:val="00451F0E"/>
    <w:rsid w:val="00460BD8"/>
    <w:rsid w:val="00461255"/>
    <w:rsid w:val="00466653"/>
    <w:rsid w:val="004810FB"/>
    <w:rsid w:val="00481449"/>
    <w:rsid w:val="00482ED5"/>
    <w:rsid w:val="004A4840"/>
    <w:rsid w:val="004A7223"/>
    <w:rsid w:val="004A7F78"/>
    <w:rsid w:val="004B011B"/>
    <w:rsid w:val="004B0B97"/>
    <w:rsid w:val="004B5DA9"/>
    <w:rsid w:val="004C5B87"/>
    <w:rsid w:val="004C7933"/>
    <w:rsid w:val="004D4C49"/>
    <w:rsid w:val="004E113B"/>
    <w:rsid w:val="00504B2D"/>
    <w:rsid w:val="00511D5B"/>
    <w:rsid w:val="00515FF7"/>
    <w:rsid w:val="00516423"/>
    <w:rsid w:val="00531BA3"/>
    <w:rsid w:val="00533B5B"/>
    <w:rsid w:val="00534EFB"/>
    <w:rsid w:val="005355A0"/>
    <w:rsid w:val="00541BF4"/>
    <w:rsid w:val="00547138"/>
    <w:rsid w:val="0055427E"/>
    <w:rsid w:val="005633F4"/>
    <w:rsid w:val="005668E1"/>
    <w:rsid w:val="005725F6"/>
    <w:rsid w:val="005729BF"/>
    <w:rsid w:val="0058220C"/>
    <w:rsid w:val="00582FF9"/>
    <w:rsid w:val="0058410B"/>
    <w:rsid w:val="00590B10"/>
    <w:rsid w:val="0059488E"/>
    <w:rsid w:val="005A16A7"/>
    <w:rsid w:val="005B4F1A"/>
    <w:rsid w:val="005B5DBC"/>
    <w:rsid w:val="005B6210"/>
    <w:rsid w:val="005B797E"/>
    <w:rsid w:val="005C73BA"/>
    <w:rsid w:val="005E19F4"/>
    <w:rsid w:val="005E6B8B"/>
    <w:rsid w:val="006067B6"/>
    <w:rsid w:val="00630716"/>
    <w:rsid w:val="00633111"/>
    <w:rsid w:val="00637E2B"/>
    <w:rsid w:val="00643DE2"/>
    <w:rsid w:val="00646040"/>
    <w:rsid w:val="00660936"/>
    <w:rsid w:val="006715A3"/>
    <w:rsid w:val="00681482"/>
    <w:rsid w:val="00683B13"/>
    <w:rsid w:val="00690C36"/>
    <w:rsid w:val="006B044D"/>
    <w:rsid w:val="006C16B8"/>
    <w:rsid w:val="006C2995"/>
    <w:rsid w:val="006C4C2D"/>
    <w:rsid w:val="006D534A"/>
    <w:rsid w:val="006E1FB3"/>
    <w:rsid w:val="006E2AAB"/>
    <w:rsid w:val="00702ED0"/>
    <w:rsid w:val="007045A6"/>
    <w:rsid w:val="00711BBB"/>
    <w:rsid w:val="007241AD"/>
    <w:rsid w:val="00731A0F"/>
    <w:rsid w:val="007374E0"/>
    <w:rsid w:val="007460FC"/>
    <w:rsid w:val="00751A4A"/>
    <w:rsid w:val="00765845"/>
    <w:rsid w:val="00795412"/>
    <w:rsid w:val="007A2966"/>
    <w:rsid w:val="007B0265"/>
    <w:rsid w:val="007B7A78"/>
    <w:rsid w:val="007C003C"/>
    <w:rsid w:val="007C1165"/>
    <w:rsid w:val="007F13EE"/>
    <w:rsid w:val="00800958"/>
    <w:rsid w:val="008010BD"/>
    <w:rsid w:val="00806F9E"/>
    <w:rsid w:val="008226BA"/>
    <w:rsid w:val="00840194"/>
    <w:rsid w:val="00842703"/>
    <w:rsid w:val="00854AAF"/>
    <w:rsid w:val="008737CB"/>
    <w:rsid w:val="0087618C"/>
    <w:rsid w:val="00884A03"/>
    <w:rsid w:val="008A00B3"/>
    <w:rsid w:val="008B2A83"/>
    <w:rsid w:val="008B5E9D"/>
    <w:rsid w:val="008C7369"/>
    <w:rsid w:val="008D3052"/>
    <w:rsid w:val="008D5D4B"/>
    <w:rsid w:val="008E2DAA"/>
    <w:rsid w:val="008F3ED7"/>
    <w:rsid w:val="008F7F56"/>
    <w:rsid w:val="00912554"/>
    <w:rsid w:val="00914779"/>
    <w:rsid w:val="00916A5C"/>
    <w:rsid w:val="00931FAE"/>
    <w:rsid w:val="00946C3A"/>
    <w:rsid w:val="00960752"/>
    <w:rsid w:val="00961624"/>
    <w:rsid w:val="0096255B"/>
    <w:rsid w:val="00963F94"/>
    <w:rsid w:val="00971C55"/>
    <w:rsid w:val="00995086"/>
    <w:rsid w:val="009B62D9"/>
    <w:rsid w:val="009E22D3"/>
    <w:rsid w:val="009F014E"/>
    <w:rsid w:val="009F420B"/>
    <w:rsid w:val="00A042A1"/>
    <w:rsid w:val="00A04D9A"/>
    <w:rsid w:val="00A13941"/>
    <w:rsid w:val="00A26549"/>
    <w:rsid w:val="00A26CA5"/>
    <w:rsid w:val="00A32B7C"/>
    <w:rsid w:val="00A35496"/>
    <w:rsid w:val="00A37DC6"/>
    <w:rsid w:val="00A413A1"/>
    <w:rsid w:val="00A47F6D"/>
    <w:rsid w:val="00A5294C"/>
    <w:rsid w:val="00A574A9"/>
    <w:rsid w:val="00A61531"/>
    <w:rsid w:val="00A77760"/>
    <w:rsid w:val="00A83C5C"/>
    <w:rsid w:val="00AA2196"/>
    <w:rsid w:val="00AC1741"/>
    <w:rsid w:val="00AC559B"/>
    <w:rsid w:val="00AD3A21"/>
    <w:rsid w:val="00AD65ED"/>
    <w:rsid w:val="00AE32DB"/>
    <w:rsid w:val="00AF47C1"/>
    <w:rsid w:val="00B06C79"/>
    <w:rsid w:val="00B06C95"/>
    <w:rsid w:val="00B10378"/>
    <w:rsid w:val="00B2126A"/>
    <w:rsid w:val="00B3156B"/>
    <w:rsid w:val="00B370D3"/>
    <w:rsid w:val="00B545FF"/>
    <w:rsid w:val="00B66BCE"/>
    <w:rsid w:val="00B846C2"/>
    <w:rsid w:val="00B871FA"/>
    <w:rsid w:val="00B93225"/>
    <w:rsid w:val="00B9333E"/>
    <w:rsid w:val="00B94C43"/>
    <w:rsid w:val="00BB70FF"/>
    <w:rsid w:val="00BC0077"/>
    <w:rsid w:val="00BD4C41"/>
    <w:rsid w:val="00BE08F4"/>
    <w:rsid w:val="00C04AA4"/>
    <w:rsid w:val="00C05B6D"/>
    <w:rsid w:val="00C05CAA"/>
    <w:rsid w:val="00C07050"/>
    <w:rsid w:val="00C35F50"/>
    <w:rsid w:val="00C36E4C"/>
    <w:rsid w:val="00C50C19"/>
    <w:rsid w:val="00C54F1A"/>
    <w:rsid w:val="00C5598F"/>
    <w:rsid w:val="00C672D8"/>
    <w:rsid w:val="00C71A7E"/>
    <w:rsid w:val="00C7571E"/>
    <w:rsid w:val="00C75E9E"/>
    <w:rsid w:val="00C7625C"/>
    <w:rsid w:val="00C90F69"/>
    <w:rsid w:val="00C96CB8"/>
    <w:rsid w:val="00CA4DE5"/>
    <w:rsid w:val="00CC10F0"/>
    <w:rsid w:val="00CC71C4"/>
    <w:rsid w:val="00CD3EFD"/>
    <w:rsid w:val="00CE3A8E"/>
    <w:rsid w:val="00D03637"/>
    <w:rsid w:val="00D045E3"/>
    <w:rsid w:val="00D118CA"/>
    <w:rsid w:val="00D20CDA"/>
    <w:rsid w:val="00D31620"/>
    <w:rsid w:val="00D32794"/>
    <w:rsid w:val="00D43B93"/>
    <w:rsid w:val="00D45656"/>
    <w:rsid w:val="00D45C79"/>
    <w:rsid w:val="00D46EEC"/>
    <w:rsid w:val="00D4730C"/>
    <w:rsid w:val="00D60CA3"/>
    <w:rsid w:val="00D70531"/>
    <w:rsid w:val="00D74B7E"/>
    <w:rsid w:val="00D76D77"/>
    <w:rsid w:val="00D76DB0"/>
    <w:rsid w:val="00D8171E"/>
    <w:rsid w:val="00D86939"/>
    <w:rsid w:val="00DB1EEF"/>
    <w:rsid w:val="00DB24A7"/>
    <w:rsid w:val="00DB5D9F"/>
    <w:rsid w:val="00DC1748"/>
    <w:rsid w:val="00DE66BC"/>
    <w:rsid w:val="00E2353F"/>
    <w:rsid w:val="00E23A35"/>
    <w:rsid w:val="00E3030B"/>
    <w:rsid w:val="00E33E3E"/>
    <w:rsid w:val="00E34C06"/>
    <w:rsid w:val="00E35739"/>
    <w:rsid w:val="00E42878"/>
    <w:rsid w:val="00E47D1A"/>
    <w:rsid w:val="00E509E3"/>
    <w:rsid w:val="00E51E65"/>
    <w:rsid w:val="00E71523"/>
    <w:rsid w:val="00E93843"/>
    <w:rsid w:val="00E94E26"/>
    <w:rsid w:val="00E95A53"/>
    <w:rsid w:val="00E95F7D"/>
    <w:rsid w:val="00E97152"/>
    <w:rsid w:val="00EA3AB9"/>
    <w:rsid w:val="00EA687E"/>
    <w:rsid w:val="00EA7F81"/>
    <w:rsid w:val="00EB279E"/>
    <w:rsid w:val="00EB7076"/>
    <w:rsid w:val="00EC44C3"/>
    <w:rsid w:val="00ED466B"/>
    <w:rsid w:val="00ED54E0"/>
    <w:rsid w:val="00EE2D35"/>
    <w:rsid w:val="00EF5897"/>
    <w:rsid w:val="00F00AFE"/>
    <w:rsid w:val="00F0688B"/>
    <w:rsid w:val="00F07090"/>
    <w:rsid w:val="00F121CC"/>
    <w:rsid w:val="00F17445"/>
    <w:rsid w:val="00F25715"/>
    <w:rsid w:val="00F30031"/>
    <w:rsid w:val="00F30253"/>
    <w:rsid w:val="00F32B6A"/>
    <w:rsid w:val="00F5182D"/>
    <w:rsid w:val="00F532A4"/>
    <w:rsid w:val="00F549D8"/>
    <w:rsid w:val="00F6275F"/>
    <w:rsid w:val="00F80A52"/>
    <w:rsid w:val="00F97EBB"/>
    <w:rsid w:val="00FA4A18"/>
    <w:rsid w:val="00FC4E0B"/>
    <w:rsid w:val="00FD6132"/>
    <w:rsid w:val="00FE67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5C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C73B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EA7F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7F81"/>
    <w:rPr>
      <w:rFonts w:ascii="Tahoma" w:hAnsi="Tahoma" w:cs="Tahoma"/>
      <w:sz w:val="16"/>
      <w:szCs w:val="16"/>
    </w:rPr>
  </w:style>
  <w:style w:type="paragraph" w:styleId="NormalWeb">
    <w:name w:val="Normal (Web)"/>
    <w:basedOn w:val="Normal"/>
    <w:uiPriority w:val="99"/>
    <w:unhideWhenUsed/>
    <w:rsid w:val="005B5D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B5DBC"/>
    <w:pPr>
      <w:ind w:left="720"/>
      <w:contextualSpacing/>
    </w:pPr>
  </w:style>
  <w:style w:type="paragraph" w:styleId="En-tte">
    <w:name w:val="header"/>
    <w:basedOn w:val="Normal"/>
    <w:link w:val="En-tteCar"/>
    <w:uiPriority w:val="99"/>
    <w:semiHidden/>
    <w:unhideWhenUsed/>
    <w:rsid w:val="00211D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1DA5"/>
  </w:style>
  <w:style w:type="paragraph" w:styleId="Pieddepage">
    <w:name w:val="footer"/>
    <w:basedOn w:val="Normal"/>
    <w:link w:val="PieddepageCar"/>
    <w:uiPriority w:val="99"/>
    <w:unhideWhenUsed/>
    <w:rsid w:val="00211D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DA5"/>
  </w:style>
  <w:style w:type="character" w:customStyle="1" w:styleId="y2iqfc">
    <w:name w:val="y2iqfc"/>
    <w:basedOn w:val="Policepardfaut"/>
    <w:rsid w:val="00413196"/>
  </w:style>
</w:styles>
</file>

<file path=word/webSettings.xml><?xml version="1.0" encoding="utf-8"?>
<w:webSettings xmlns:r="http://schemas.openxmlformats.org/officeDocument/2006/relationships" xmlns:w="http://schemas.openxmlformats.org/wordprocessingml/2006/main">
  <w:divs>
    <w:div w:id="67961777">
      <w:bodyDiv w:val="1"/>
      <w:marLeft w:val="0"/>
      <w:marRight w:val="0"/>
      <w:marTop w:val="0"/>
      <w:marBottom w:val="0"/>
      <w:divBdr>
        <w:top w:val="none" w:sz="0" w:space="0" w:color="auto"/>
        <w:left w:val="none" w:sz="0" w:space="0" w:color="auto"/>
        <w:bottom w:val="none" w:sz="0" w:space="0" w:color="auto"/>
        <w:right w:val="none" w:sz="0" w:space="0" w:color="auto"/>
      </w:divBdr>
    </w:div>
    <w:div w:id="113210413">
      <w:bodyDiv w:val="1"/>
      <w:marLeft w:val="0"/>
      <w:marRight w:val="0"/>
      <w:marTop w:val="0"/>
      <w:marBottom w:val="0"/>
      <w:divBdr>
        <w:top w:val="none" w:sz="0" w:space="0" w:color="auto"/>
        <w:left w:val="none" w:sz="0" w:space="0" w:color="auto"/>
        <w:bottom w:val="none" w:sz="0" w:space="0" w:color="auto"/>
        <w:right w:val="none" w:sz="0" w:space="0" w:color="auto"/>
      </w:divBdr>
    </w:div>
    <w:div w:id="258292750">
      <w:bodyDiv w:val="1"/>
      <w:marLeft w:val="0"/>
      <w:marRight w:val="0"/>
      <w:marTop w:val="0"/>
      <w:marBottom w:val="0"/>
      <w:divBdr>
        <w:top w:val="none" w:sz="0" w:space="0" w:color="auto"/>
        <w:left w:val="none" w:sz="0" w:space="0" w:color="auto"/>
        <w:bottom w:val="none" w:sz="0" w:space="0" w:color="auto"/>
        <w:right w:val="none" w:sz="0" w:space="0" w:color="auto"/>
      </w:divBdr>
    </w:div>
    <w:div w:id="290475407">
      <w:bodyDiv w:val="1"/>
      <w:marLeft w:val="0"/>
      <w:marRight w:val="0"/>
      <w:marTop w:val="0"/>
      <w:marBottom w:val="0"/>
      <w:divBdr>
        <w:top w:val="none" w:sz="0" w:space="0" w:color="auto"/>
        <w:left w:val="none" w:sz="0" w:space="0" w:color="auto"/>
        <w:bottom w:val="none" w:sz="0" w:space="0" w:color="auto"/>
        <w:right w:val="none" w:sz="0" w:space="0" w:color="auto"/>
      </w:divBdr>
    </w:div>
    <w:div w:id="342973325">
      <w:bodyDiv w:val="1"/>
      <w:marLeft w:val="0"/>
      <w:marRight w:val="0"/>
      <w:marTop w:val="0"/>
      <w:marBottom w:val="0"/>
      <w:divBdr>
        <w:top w:val="none" w:sz="0" w:space="0" w:color="auto"/>
        <w:left w:val="none" w:sz="0" w:space="0" w:color="auto"/>
        <w:bottom w:val="none" w:sz="0" w:space="0" w:color="auto"/>
        <w:right w:val="none" w:sz="0" w:space="0" w:color="auto"/>
      </w:divBdr>
    </w:div>
    <w:div w:id="343628033">
      <w:bodyDiv w:val="1"/>
      <w:marLeft w:val="0"/>
      <w:marRight w:val="0"/>
      <w:marTop w:val="0"/>
      <w:marBottom w:val="0"/>
      <w:divBdr>
        <w:top w:val="none" w:sz="0" w:space="0" w:color="auto"/>
        <w:left w:val="none" w:sz="0" w:space="0" w:color="auto"/>
        <w:bottom w:val="none" w:sz="0" w:space="0" w:color="auto"/>
        <w:right w:val="none" w:sz="0" w:space="0" w:color="auto"/>
      </w:divBdr>
    </w:div>
    <w:div w:id="349843755">
      <w:bodyDiv w:val="1"/>
      <w:marLeft w:val="0"/>
      <w:marRight w:val="0"/>
      <w:marTop w:val="0"/>
      <w:marBottom w:val="0"/>
      <w:divBdr>
        <w:top w:val="none" w:sz="0" w:space="0" w:color="auto"/>
        <w:left w:val="none" w:sz="0" w:space="0" w:color="auto"/>
        <w:bottom w:val="none" w:sz="0" w:space="0" w:color="auto"/>
        <w:right w:val="none" w:sz="0" w:space="0" w:color="auto"/>
      </w:divBdr>
    </w:div>
    <w:div w:id="375087446">
      <w:bodyDiv w:val="1"/>
      <w:marLeft w:val="0"/>
      <w:marRight w:val="0"/>
      <w:marTop w:val="0"/>
      <w:marBottom w:val="0"/>
      <w:divBdr>
        <w:top w:val="none" w:sz="0" w:space="0" w:color="auto"/>
        <w:left w:val="none" w:sz="0" w:space="0" w:color="auto"/>
        <w:bottom w:val="none" w:sz="0" w:space="0" w:color="auto"/>
        <w:right w:val="none" w:sz="0" w:space="0" w:color="auto"/>
      </w:divBdr>
    </w:div>
    <w:div w:id="379212470">
      <w:bodyDiv w:val="1"/>
      <w:marLeft w:val="0"/>
      <w:marRight w:val="0"/>
      <w:marTop w:val="0"/>
      <w:marBottom w:val="0"/>
      <w:divBdr>
        <w:top w:val="none" w:sz="0" w:space="0" w:color="auto"/>
        <w:left w:val="none" w:sz="0" w:space="0" w:color="auto"/>
        <w:bottom w:val="none" w:sz="0" w:space="0" w:color="auto"/>
        <w:right w:val="none" w:sz="0" w:space="0" w:color="auto"/>
      </w:divBdr>
    </w:div>
    <w:div w:id="388725515">
      <w:bodyDiv w:val="1"/>
      <w:marLeft w:val="0"/>
      <w:marRight w:val="0"/>
      <w:marTop w:val="0"/>
      <w:marBottom w:val="0"/>
      <w:divBdr>
        <w:top w:val="none" w:sz="0" w:space="0" w:color="auto"/>
        <w:left w:val="none" w:sz="0" w:space="0" w:color="auto"/>
        <w:bottom w:val="none" w:sz="0" w:space="0" w:color="auto"/>
        <w:right w:val="none" w:sz="0" w:space="0" w:color="auto"/>
      </w:divBdr>
    </w:div>
    <w:div w:id="422335965">
      <w:bodyDiv w:val="1"/>
      <w:marLeft w:val="0"/>
      <w:marRight w:val="0"/>
      <w:marTop w:val="0"/>
      <w:marBottom w:val="0"/>
      <w:divBdr>
        <w:top w:val="none" w:sz="0" w:space="0" w:color="auto"/>
        <w:left w:val="none" w:sz="0" w:space="0" w:color="auto"/>
        <w:bottom w:val="none" w:sz="0" w:space="0" w:color="auto"/>
        <w:right w:val="none" w:sz="0" w:space="0" w:color="auto"/>
      </w:divBdr>
    </w:div>
    <w:div w:id="438335356">
      <w:bodyDiv w:val="1"/>
      <w:marLeft w:val="0"/>
      <w:marRight w:val="0"/>
      <w:marTop w:val="0"/>
      <w:marBottom w:val="0"/>
      <w:divBdr>
        <w:top w:val="none" w:sz="0" w:space="0" w:color="auto"/>
        <w:left w:val="none" w:sz="0" w:space="0" w:color="auto"/>
        <w:bottom w:val="none" w:sz="0" w:space="0" w:color="auto"/>
        <w:right w:val="none" w:sz="0" w:space="0" w:color="auto"/>
      </w:divBdr>
    </w:div>
    <w:div w:id="586421549">
      <w:bodyDiv w:val="1"/>
      <w:marLeft w:val="0"/>
      <w:marRight w:val="0"/>
      <w:marTop w:val="0"/>
      <w:marBottom w:val="0"/>
      <w:divBdr>
        <w:top w:val="none" w:sz="0" w:space="0" w:color="auto"/>
        <w:left w:val="none" w:sz="0" w:space="0" w:color="auto"/>
        <w:bottom w:val="none" w:sz="0" w:space="0" w:color="auto"/>
        <w:right w:val="none" w:sz="0" w:space="0" w:color="auto"/>
      </w:divBdr>
    </w:div>
    <w:div w:id="612059361">
      <w:bodyDiv w:val="1"/>
      <w:marLeft w:val="0"/>
      <w:marRight w:val="0"/>
      <w:marTop w:val="0"/>
      <w:marBottom w:val="0"/>
      <w:divBdr>
        <w:top w:val="none" w:sz="0" w:space="0" w:color="auto"/>
        <w:left w:val="none" w:sz="0" w:space="0" w:color="auto"/>
        <w:bottom w:val="none" w:sz="0" w:space="0" w:color="auto"/>
        <w:right w:val="none" w:sz="0" w:space="0" w:color="auto"/>
      </w:divBdr>
    </w:div>
    <w:div w:id="652217623">
      <w:bodyDiv w:val="1"/>
      <w:marLeft w:val="0"/>
      <w:marRight w:val="0"/>
      <w:marTop w:val="0"/>
      <w:marBottom w:val="0"/>
      <w:divBdr>
        <w:top w:val="none" w:sz="0" w:space="0" w:color="auto"/>
        <w:left w:val="none" w:sz="0" w:space="0" w:color="auto"/>
        <w:bottom w:val="none" w:sz="0" w:space="0" w:color="auto"/>
        <w:right w:val="none" w:sz="0" w:space="0" w:color="auto"/>
      </w:divBdr>
    </w:div>
    <w:div w:id="662859029">
      <w:bodyDiv w:val="1"/>
      <w:marLeft w:val="0"/>
      <w:marRight w:val="0"/>
      <w:marTop w:val="0"/>
      <w:marBottom w:val="0"/>
      <w:divBdr>
        <w:top w:val="none" w:sz="0" w:space="0" w:color="auto"/>
        <w:left w:val="none" w:sz="0" w:space="0" w:color="auto"/>
        <w:bottom w:val="none" w:sz="0" w:space="0" w:color="auto"/>
        <w:right w:val="none" w:sz="0" w:space="0" w:color="auto"/>
      </w:divBdr>
    </w:div>
    <w:div w:id="744035549">
      <w:bodyDiv w:val="1"/>
      <w:marLeft w:val="0"/>
      <w:marRight w:val="0"/>
      <w:marTop w:val="0"/>
      <w:marBottom w:val="0"/>
      <w:divBdr>
        <w:top w:val="none" w:sz="0" w:space="0" w:color="auto"/>
        <w:left w:val="none" w:sz="0" w:space="0" w:color="auto"/>
        <w:bottom w:val="none" w:sz="0" w:space="0" w:color="auto"/>
        <w:right w:val="none" w:sz="0" w:space="0" w:color="auto"/>
      </w:divBdr>
    </w:div>
    <w:div w:id="759643400">
      <w:bodyDiv w:val="1"/>
      <w:marLeft w:val="0"/>
      <w:marRight w:val="0"/>
      <w:marTop w:val="0"/>
      <w:marBottom w:val="0"/>
      <w:divBdr>
        <w:top w:val="none" w:sz="0" w:space="0" w:color="auto"/>
        <w:left w:val="none" w:sz="0" w:space="0" w:color="auto"/>
        <w:bottom w:val="none" w:sz="0" w:space="0" w:color="auto"/>
        <w:right w:val="none" w:sz="0" w:space="0" w:color="auto"/>
      </w:divBdr>
    </w:div>
    <w:div w:id="848451519">
      <w:bodyDiv w:val="1"/>
      <w:marLeft w:val="0"/>
      <w:marRight w:val="0"/>
      <w:marTop w:val="0"/>
      <w:marBottom w:val="0"/>
      <w:divBdr>
        <w:top w:val="none" w:sz="0" w:space="0" w:color="auto"/>
        <w:left w:val="none" w:sz="0" w:space="0" w:color="auto"/>
        <w:bottom w:val="none" w:sz="0" w:space="0" w:color="auto"/>
        <w:right w:val="none" w:sz="0" w:space="0" w:color="auto"/>
      </w:divBdr>
    </w:div>
    <w:div w:id="960185317">
      <w:bodyDiv w:val="1"/>
      <w:marLeft w:val="0"/>
      <w:marRight w:val="0"/>
      <w:marTop w:val="0"/>
      <w:marBottom w:val="0"/>
      <w:divBdr>
        <w:top w:val="none" w:sz="0" w:space="0" w:color="auto"/>
        <w:left w:val="none" w:sz="0" w:space="0" w:color="auto"/>
        <w:bottom w:val="none" w:sz="0" w:space="0" w:color="auto"/>
        <w:right w:val="none" w:sz="0" w:space="0" w:color="auto"/>
      </w:divBdr>
    </w:div>
    <w:div w:id="986518139">
      <w:bodyDiv w:val="1"/>
      <w:marLeft w:val="0"/>
      <w:marRight w:val="0"/>
      <w:marTop w:val="0"/>
      <w:marBottom w:val="0"/>
      <w:divBdr>
        <w:top w:val="none" w:sz="0" w:space="0" w:color="auto"/>
        <w:left w:val="none" w:sz="0" w:space="0" w:color="auto"/>
        <w:bottom w:val="none" w:sz="0" w:space="0" w:color="auto"/>
        <w:right w:val="none" w:sz="0" w:space="0" w:color="auto"/>
      </w:divBdr>
    </w:div>
    <w:div w:id="1084648708">
      <w:bodyDiv w:val="1"/>
      <w:marLeft w:val="0"/>
      <w:marRight w:val="0"/>
      <w:marTop w:val="0"/>
      <w:marBottom w:val="0"/>
      <w:divBdr>
        <w:top w:val="none" w:sz="0" w:space="0" w:color="auto"/>
        <w:left w:val="none" w:sz="0" w:space="0" w:color="auto"/>
        <w:bottom w:val="none" w:sz="0" w:space="0" w:color="auto"/>
        <w:right w:val="none" w:sz="0" w:space="0" w:color="auto"/>
      </w:divBdr>
    </w:div>
    <w:div w:id="1132598535">
      <w:bodyDiv w:val="1"/>
      <w:marLeft w:val="0"/>
      <w:marRight w:val="0"/>
      <w:marTop w:val="0"/>
      <w:marBottom w:val="0"/>
      <w:divBdr>
        <w:top w:val="none" w:sz="0" w:space="0" w:color="auto"/>
        <w:left w:val="none" w:sz="0" w:space="0" w:color="auto"/>
        <w:bottom w:val="none" w:sz="0" w:space="0" w:color="auto"/>
        <w:right w:val="none" w:sz="0" w:space="0" w:color="auto"/>
      </w:divBdr>
    </w:div>
    <w:div w:id="1137916493">
      <w:bodyDiv w:val="1"/>
      <w:marLeft w:val="0"/>
      <w:marRight w:val="0"/>
      <w:marTop w:val="0"/>
      <w:marBottom w:val="0"/>
      <w:divBdr>
        <w:top w:val="none" w:sz="0" w:space="0" w:color="auto"/>
        <w:left w:val="none" w:sz="0" w:space="0" w:color="auto"/>
        <w:bottom w:val="none" w:sz="0" w:space="0" w:color="auto"/>
        <w:right w:val="none" w:sz="0" w:space="0" w:color="auto"/>
      </w:divBdr>
    </w:div>
    <w:div w:id="1162545152">
      <w:bodyDiv w:val="1"/>
      <w:marLeft w:val="0"/>
      <w:marRight w:val="0"/>
      <w:marTop w:val="0"/>
      <w:marBottom w:val="0"/>
      <w:divBdr>
        <w:top w:val="none" w:sz="0" w:space="0" w:color="auto"/>
        <w:left w:val="none" w:sz="0" w:space="0" w:color="auto"/>
        <w:bottom w:val="none" w:sz="0" w:space="0" w:color="auto"/>
        <w:right w:val="none" w:sz="0" w:space="0" w:color="auto"/>
      </w:divBdr>
    </w:div>
    <w:div w:id="1236546945">
      <w:bodyDiv w:val="1"/>
      <w:marLeft w:val="0"/>
      <w:marRight w:val="0"/>
      <w:marTop w:val="0"/>
      <w:marBottom w:val="0"/>
      <w:divBdr>
        <w:top w:val="none" w:sz="0" w:space="0" w:color="auto"/>
        <w:left w:val="none" w:sz="0" w:space="0" w:color="auto"/>
        <w:bottom w:val="none" w:sz="0" w:space="0" w:color="auto"/>
        <w:right w:val="none" w:sz="0" w:space="0" w:color="auto"/>
      </w:divBdr>
    </w:div>
    <w:div w:id="1281034728">
      <w:bodyDiv w:val="1"/>
      <w:marLeft w:val="0"/>
      <w:marRight w:val="0"/>
      <w:marTop w:val="0"/>
      <w:marBottom w:val="0"/>
      <w:divBdr>
        <w:top w:val="none" w:sz="0" w:space="0" w:color="auto"/>
        <w:left w:val="none" w:sz="0" w:space="0" w:color="auto"/>
        <w:bottom w:val="none" w:sz="0" w:space="0" w:color="auto"/>
        <w:right w:val="none" w:sz="0" w:space="0" w:color="auto"/>
      </w:divBdr>
    </w:div>
    <w:div w:id="1315453566">
      <w:bodyDiv w:val="1"/>
      <w:marLeft w:val="0"/>
      <w:marRight w:val="0"/>
      <w:marTop w:val="0"/>
      <w:marBottom w:val="0"/>
      <w:divBdr>
        <w:top w:val="none" w:sz="0" w:space="0" w:color="auto"/>
        <w:left w:val="none" w:sz="0" w:space="0" w:color="auto"/>
        <w:bottom w:val="none" w:sz="0" w:space="0" w:color="auto"/>
        <w:right w:val="none" w:sz="0" w:space="0" w:color="auto"/>
      </w:divBdr>
    </w:div>
    <w:div w:id="1376394673">
      <w:bodyDiv w:val="1"/>
      <w:marLeft w:val="0"/>
      <w:marRight w:val="0"/>
      <w:marTop w:val="0"/>
      <w:marBottom w:val="0"/>
      <w:divBdr>
        <w:top w:val="none" w:sz="0" w:space="0" w:color="auto"/>
        <w:left w:val="none" w:sz="0" w:space="0" w:color="auto"/>
        <w:bottom w:val="none" w:sz="0" w:space="0" w:color="auto"/>
        <w:right w:val="none" w:sz="0" w:space="0" w:color="auto"/>
      </w:divBdr>
    </w:div>
    <w:div w:id="1416974896">
      <w:bodyDiv w:val="1"/>
      <w:marLeft w:val="0"/>
      <w:marRight w:val="0"/>
      <w:marTop w:val="0"/>
      <w:marBottom w:val="0"/>
      <w:divBdr>
        <w:top w:val="none" w:sz="0" w:space="0" w:color="auto"/>
        <w:left w:val="none" w:sz="0" w:space="0" w:color="auto"/>
        <w:bottom w:val="none" w:sz="0" w:space="0" w:color="auto"/>
        <w:right w:val="none" w:sz="0" w:space="0" w:color="auto"/>
      </w:divBdr>
    </w:div>
    <w:div w:id="1421489575">
      <w:bodyDiv w:val="1"/>
      <w:marLeft w:val="0"/>
      <w:marRight w:val="0"/>
      <w:marTop w:val="0"/>
      <w:marBottom w:val="0"/>
      <w:divBdr>
        <w:top w:val="none" w:sz="0" w:space="0" w:color="auto"/>
        <w:left w:val="none" w:sz="0" w:space="0" w:color="auto"/>
        <w:bottom w:val="none" w:sz="0" w:space="0" w:color="auto"/>
        <w:right w:val="none" w:sz="0" w:space="0" w:color="auto"/>
      </w:divBdr>
    </w:div>
    <w:div w:id="1470050772">
      <w:bodyDiv w:val="1"/>
      <w:marLeft w:val="0"/>
      <w:marRight w:val="0"/>
      <w:marTop w:val="0"/>
      <w:marBottom w:val="0"/>
      <w:divBdr>
        <w:top w:val="none" w:sz="0" w:space="0" w:color="auto"/>
        <w:left w:val="none" w:sz="0" w:space="0" w:color="auto"/>
        <w:bottom w:val="none" w:sz="0" w:space="0" w:color="auto"/>
        <w:right w:val="none" w:sz="0" w:space="0" w:color="auto"/>
      </w:divBdr>
    </w:div>
    <w:div w:id="1483161457">
      <w:bodyDiv w:val="1"/>
      <w:marLeft w:val="0"/>
      <w:marRight w:val="0"/>
      <w:marTop w:val="0"/>
      <w:marBottom w:val="0"/>
      <w:divBdr>
        <w:top w:val="none" w:sz="0" w:space="0" w:color="auto"/>
        <w:left w:val="none" w:sz="0" w:space="0" w:color="auto"/>
        <w:bottom w:val="none" w:sz="0" w:space="0" w:color="auto"/>
        <w:right w:val="none" w:sz="0" w:space="0" w:color="auto"/>
      </w:divBdr>
    </w:div>
    <w:div w:id="1517038733">
      <w:bodyDiv w:val="1"/>
      <w:marLeft w:val="0"/>
      <w:marRight w:val="0"/>
      <w:marTop w:val="0"/>
      <w:marBottom w:val="0"/>
      <w:divBdr>
        <w:top w:val="none" w:sz="0" w:space="0" w:color="auto"/>
        <w:left w:val="none" w:sz="0" w:space="0" w:color="auto"/>
        <w:bottom w:val="none" w:sz="0" w:space="0" w:color="auto"/>
        <w:right w:val="none" w:sz="0" w:space="0" w:color="auto"/>
      </w:divBdr>
    </w:div>
    <w:div w:id="1542132206">
      <w:bodyDiv w:val="1"/>
      <w:marLeft w:val="0"/>
      <w:marRight w:val="0"/>
      <w:marTop w:val="0"/>
      <w:marBottom w:val="0"/>
      <w:divBdr>
        <w:top w:val="none" w:sz="0" w:space="0" w:color="auto"/>
        <w:left w:val="none" w:sz="0" w:space="0" w:color="auto"/>
        <w:bottom w:val="none" w:sz="0" w:space="0" w:color="auto"/>
        <w:right w:val="none" w:sz="0" w:space="0" w:color="auto"/>
      </w:divBdr>
    </w:div>
    <w:div w:id="1586918721">
      <w:bodyDiv w:val="1"/>
      <w:marLeft w:val="0"/>
      <w:marRight w:val="0"/>
      <w:marTop w:val="0"/>
      <w:marBottom w:val="0"/>
      <w:divBdr>
        <w:top w:val="none" w:sz="0" w:space="0" w:color="auto"/>
        <w:left w:val="none" w:sz="0" w:space="0" w:color="auto"/>
        <w:bottom w:val="none" w:sz="0" w:space="0" w:color="auto"/>
        <w:right w:val="none" w:sz="0" w:space="0" w:color="auto"/>
      </w:divBdr>
    </w:div>
    <w:div w:id="1661545553">
      <w:bodyDiv w:val="1"/>
      <w:marLeft w:val="0"/>
      <w:marRight w:val="0"/>
      <w:marTop w:val="0"/>
      <w:marBottom w:val="0"/>
      <w:divBdr>
        <w:top w:val="none" w:sz="0" w:space="0" w:color="auto"/>
        <w:left w:val="none" w:sz="0" w:space="0" w:color="auto"/>
        <w:bottom w:val="none" w:sz="0" w:space="0" w:color="auto"/>
        <w:right w:val="none" w:sz="0" w:space="0" w:color="auto"/>
      </w:divBdr>
    </w:div>
    <w:div w:id="1690717945">
      <w:bodyDiv w:val="1"/>
      <w:marLeft w:val="0"/>
      <w:marRight w:val="0"/>
      <w:marTop w:val="0"/>
      <w:marBottom w:val="0"/>
      <w:divBdr>
        <w:top w:val="none" w:sz="0" w:space="0" w:color="auto"/>
        <w:left w:val="none" w:sz="0" w:space="0" w:color="auto"/>
        <w:bottom w:val="none" w:sz="0" w:space="0" w:color="auto"/>
        <w:right w:val="none" w:sz="0" w:space="0" w:color="auto"/>
      </w:divBdr>
    </w:div>
    <w:div w:id="1708942903">
      <w:bodyDiv w:val="1"/>
      <w:marLeft w:val="0"/>
      <w:marRight w:val="0"/>
      <w:marTop w:val="0"/>
      <w:marBottom w:val="0"/>
      <w:divBdr>
        <w:top w:val="none" w:sz="0" w:space="0" w:color="auto"/>
        <w:left w:val="none" w:sz="0" w:space="0" w:color="auto"/>
        <w:bottom w:val="none" w:sz="0" w:space="0" w:color="auto"/>
        <w:right w:val="none" w:sz="0" w:space="0" w:color="auto"/>
      </w:divBdr>
    </w:div>
    <w:div w:id="1724254180">
      <w:bodyDiv w:val="1"/>
      <w:marLeft w:val="0"/>
      <w:marRight w:val="0"/>
      <w:marTop w:val="0"/>
      <w:marBottom w:val="0"/>
      <w:divBdr>
        <w:top w:val="none" w:sz="0" w:space="0" w:color="auto"/>
        <w:left w:val="none" w:sz="0" w:space="0" w:color="auto"/>
        <w:bottom w:val="none" w:sz="0" w:space="0" w:color="auto"/>
        <w:right w:val="none" w:sz="0" w:space="0" w:color="auto"/>
      </w:divBdr>
    </w:div>
    <w:div w:id="1737119615">
      <w:bodyDiv w:val="1"/>
      <w:marLeft w:val="0"/>
      <w:marRight w:val="0"/>
      <w:marTop w:val="0"/>
      <w:marBottom w:val="0"/>
      <w:divBdr>
        <w:top w:val="none" w:sz="0" w:space="0" w:color="auto"/>
        <w:left w:val="none" w:sz="0" w:space="0" w:color="auto"/>
        <w:bottom w:val="none" w:sz="0" w:space="0" w:color="auto"/>
        <w:right w:val="none" w:sz="0" w:space="0" w:color="auto"/>
      </w:divBdr>
    </w:div>
    <w:div w:id="1823420727">
      <w:bodyDiv w:val="1"/>
      <w:marLeft w:val="0"/>
      <w:marRight w:val="0"/>
      <w:marTop w:val="0"/>
      <w:marBottom w:val="0"/>
      <w:divBdr>
        <w:top w:val="none" w:sz="0" w:space="0" w:color="auto"/>
        <w:left w:val="none" w:sz="0" w:space="0" w:color="auto"/>
        <w:bottom w:val="none" w:sz="0" w:space="0" w:color="auto"/>
        <w:right w:val="none" w:sz="0" w:space="0" w:color="auto"/>
      </w:divBdr>
    </w:div>
    <w:div w:id="1884054342">
      <w:bodyDiv w:val="1"/>
      <w:marLeft w:val="0"/>
      <w:marRight w:val="0"/>
      <w:marTop w:val="0"/>
      <w:marBottom w:val="0"/>
      <w:divBdr>
        <w:top w:val="none" w:sz="0" w:space="0" w:color="auto"/>
        <w:left w:val="none" w:sz="0" w:space="0" w:color="auto"/>
        <w:bottom w:val="none" w:sz="0" w:space="0" w:color="auto"/>
        <w:right w:val="none" w:sz="0" w:space="0" w:color="auto"/>
      </w:divBdr>
    </w:div>
    <w:div w:id="1894846481">
      <w:bodyDiv w:val="1"/>
      <w:marLeft w:val="0"/>
      <w:marRight w:val="0"/>
      <w:marTop w:val="0"/>
      <w:marBottom w:val="0"/>
      <w:divBdr>
        <w:top w:val="none" w:sz="0" w:space="0" w:color="auto"/>
        <w:left w:val="none" w:sz="0" w:space="0" w:color="auto"/>
        <w:bottom w:val="none" w:sz="0" w:space="0" w:color="auto"/>
        <w:right w:val="none" w:sz="0" w:space="0" w:color="auto"/>
      </w:divBdr>
    </w:div>
    <w:div w:id="1918057461">
      <w:bodyDiv w:val="1"/>
      <w:marLeft w:val="0"/>
      <w:marRight w:val="0"/>
      <w:marTop w:val="0"/>
      <w:marBottom w:val="0"/>
      <w:divBdr>
        <w:top w:val="none" w:sz="0" w:space="0" w:color="auto"/>
        <w:left w:val="none" w:sz="0" w:space="0" w:color="auto"/>
        <w:bottom w:val="none" w:sz="0" w:space="0" w:color="auto"/>
        <w:right w:val="none" w:sz="0" w:space="0" w:color="auto"/>
      </w:divBdr>
    </w:div>
    <w:div w:id="1930118688">
      <w:bodyDiv w:val="1"/>
      <w:marLeft w:val="0"/>
      <w:marRight w:val="0"/>
      <w:marTop w:val="0"/>
      <w:marBottom w:val="0"/>
      <w:divBdr>
        <w:top w:val="none" w:sz="0" w:space="0" w:color="auto"/>
        <w:left w:val="none" w:sz="0" w:space="0" w:color="auto"/>
        <w:bottom w:val="none" w:sz="0" w:space="0" w:color="auto"/>
        <w:right w:val="none" w:sz="0" w:space="0" w:color="auto"/>
      </w:divBdr>
    </w:div>
    <w:div w:id="1963615490">
      <w:bodyDiv w:val="1"/>
      <w:marLeft w:val="0"/>
      <w:marRight w:val="0"/>
      <w:marTop w:val="0"/>
      <w:marBottom w:val="0"/>
      <w:divBdr>
        <w:top w:val="none" w:sz="0" w:space="0" w:color="auto"/>
        <w:left w:val="none" w:sz="0" w:space="0" w:color="auto"/>
        <w:bottom w:val="none" w:sz="0" w:space="0" w:color="auto"/>
        <w:right w:val="none" w:sz="0" w:space="0" w:color="auto"/>
      </w:divBdr>
    </w:div>
    <w:div w:id="1977564531">
      <w:bodyDiv w:val="1"/>
      <w:marLeft w:val="0"/>
      <w:marRight w:val="0"/>
      <w:marTop w:val="0"/>
      <w:marBottom w:val="0"/>
      <w:divBdr>
        <w:top w:val="none" w:sz="0" w:space="0" w:color="auto"/>
        <w:left w:val="none" w:sz="0" w:space="0" w:color="auto"/>
        <w:bottom w:val="none" w:sz="0" w:space="0" w:color="auto"/>
        <w:right w:val="none" w:sz="0" w:space="0" w:color="auto"/>
      </w:divBdr>
    </w:div>
    <w:div w:id="1983730299">
      <w:bodyDiv w:val="1"/>
      <w:marLeft w:val="0"/>
      <w:marRight w:val="0"/>
      <w:marTop w:val="0"/>
      <w:marBottom w:val="0"/>
      <w:divBdr>
        <w:top w:val="none" w:sz="0" w:space="0" w:color="auto"/>
        <w:left w:val="none" w:sz="0" w:space="0" w:color="auto"/>
        <w:bottom w:val="none" w:sz="0" w:space="0" w:color="auto"/>
        <w:right w:val="none" w:sz="0" w:space="0" w:color="auto"/>
      </w:divBdr>
    </w:div>
    <w:div w:id="2047749591">
      <w:bodyDiv w:val="1"/>
      <w:marLeft w:val="0"/>
      <w:marRight w:val="0"/>
      <w:marTop w:val="0"/>
      <w:marBottom w:val="0"/>
      <w:divBdr>
        <w:top w:val="none" w:sz="0" w:space="0" w:color="auto"/>
        <w:left w:val="none" w:sz="0" w:space="0" w:color="auto"/>
        <w:bottom w:val="none" w:sz="0" w:space="0" w:color="auto"/>
        <w:right w:val="none" w:sz="0" w:space="0" w:color="auto"/>
      </w:divBdr>
    </w:div>
    <w:div w:id="2105032052">
      <w:bodyDiv w:val="1"/>
      <w:marLeft w:val="0"/>
      <w:marRight w:val="0"/>
      <w:marTop w:val="0"/>
      <w:marBottom w:val="0"/>
      <w:divBdr>
        <w:top w:val="none" w:sz="0" w:space="0" w:color="auto"/>
        <w:left w:val="none" w:sz="0" w:space="0" w:color="auto"/>
        <w:bottom w:val="none" w:sz="0" w:space="0" w:color="auto"/>
        <w:right w:val="none" w:sz="0" w:space="0" w:color="auto"/>
      </w:divBdr>
    </w:div>
    <w:div w:id="21204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drissi\Desktop\VAW%202020\VAW%202020\vaw%20janvier%202021\comparaison%20H-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drissi\Desktop\VAW%202020\VAW%202020\vaw%20janvier%202021\Homme\FINAL\Tabulation_Violence_homme_sana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drissi\Desktop\VAW%202020\VAW%202020\vaw%20janvier%202021\Homme\FINAL\Tabulation_Violence_homme_sana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tx>
            <c:strRef>
              <c:f>Feuil4!$M$1</c:f>
              <c:strCache>
                <c:ptCount val="1"/>
                <c:pt idx="0">
                  <c:v>النساء</c:v>
                </c:pt>
              </c:strCache>
            </c:strRef>
          </c:tx>
          <c:spPr>
            <a:solidFill>
              <a:schemeClr val="accent1"/>
            </a:solidFill>
            <a:ln>
              <a:noFill/>
            </a:ln>
            <a:effectLst/>
          </c:spPr>
          <c:dLbls>
            <c:dLbl>
              <c:idx val="0"/>
              <c:layout>
                <c:manualLayout>
                  <c:x val="7.0175438596491351E-3"/>
                  <c:y val="-3.5070539089448263E-17"/>
                </c:manualLayout>
              </c:layout>
              <c:showVal val="1"/>
              <c:extLst>
                <c:ext xmlns:c15="http://schemas.microsoft.com/office/drawing/2012/chart" uri="{CE6537A1-D6FC-4f65-9D91-7224C49458BB}"/>
              </c:extLst>
            </c:dLbl>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Feuil4!$K$2:$L$10</c:f>
              <c:multiLvlStrCache>
                <c:ptCount val="9"/>
                <c:lvl>
                  <c:pt idx="0">
                    <c:v>الزوجي</c:v>
                  </c:pt>
                  <c:pt idx="1">
                    <c:v>العائلي</c:v>
                  </c:pt>
                  <c:pt idx="2">
                    <c:v>مكان العمل</c:v>
                  </c:pt>
                  <c:pt idx="3">
                    <c:v>مكان الدراسة</c:v>
                  </c:pt>
                  <c:pt idx="4">
                    <c:v>الأماكن العامة</c:v>
                  </c:pt>
                  <c:pt idx="5">
                    <c:v>عنف نفسي</c:v>
                  </c:pt>
                  <c:pt idx="6">
                    <c:v>عنف جسدي </c:v>
                  </c:pt>
                  <c:pt idx="7">
                    <c:v>عنف جنسي</c:v>
                  </c:pt>
                  <c:pt idx="8">
                    <c:v>عنف اقتصادي</c:v>
                  </c:pt>
                </c:lvl>
                <c:lvl>
                  <c:pt idx="0">
                    <c:v>مجالات العنف</c:v>
                  </c:pt>
                  <c:pt idx="5">
                    <c:v>أشكال العنف</c:v>
                  </c:pt>
                </c:lvl>
              </c:multiLvlStrCache>
            </c:multiLvlStrRef>
          </c:cat>
          <c:val>
            <c:numRef>
              <c:f>Feuil4!$M$2:$M$10</c:f>
              <c:numCache>
                <c:formatCode>###0.0%</c:formatCode>
                <c:ptCount val="9"/>
                <c:pt idx="0">
                  <c:v>0.46134055986163341</c:v>
                </c:pt>
                <c:pt idx="1">
                  <c:v>0.1856781802782532</c:v>
                </c:pt>
                <c:pt idx="2">
                  <c:v>0.1510822142034022</c:v>
                </c:pt>
                <c:pt idx="3">
                  <c:v>0.22448903716322516</c:v>
                </c:pt>
                <c:pt idx="4">
                  <c:v>0.12640594620234491</c:v>
                </c:pt>
                <c:pt idx="5">
                  <c:v>0.47450238355751012</c:v>
                </c:pt>
                <c:pt idx="6">
                  <c:v>0.12887950367393367</c:v>
                </c:pt>
                <c:pt idx="7">
                  <c:v>0.13590087411377572</c:v>
                </c:pt>
                <c:pt idx="8">
                  <c:v>0.14273167591209071</c:v>
                </c:pt>
              </c:numCache>
            </c:numRef>
          </c:val>
        </c:ser>
        <c:ser>
          <c:idx val="1"/>
          <c:order val="1"/>
          <c:tx>
            <c:strRef>
              <c:f>Feuil4!$N$1</c:f>
              <c:strCache>
                <c:ptCount val="1"/>
                <c:pt idx="0">
                  <c:v>الرجال</c:v>
                </c:pt>
              </c:strCache>
            </c:strRef>
          </c:tx>
          <c:spPr>
            <a:solidFill>
              <a:schemeClr val="accent2"/>
            </a:solidFill>
            <a:ln>
              <a:noFill/>
            </a:ln>
            <a:effectLst/>
          </c:spPr>
          <c:dLbls>
            <c:dLbl>
              <c:idx val="0"/>
              <c:layout>
                <c:manualLayout>
                  <c:x val="2.5730994152046788E-2"/>
                  <c:y val="0"/>
                </c:manualLayout>
              </c:layout>
              <c:showVal val="1"/>
              <c:extLst>
                <c:ext xmlns:c15="http://schemas.microsoft.com/office/drawing/2012/chart" uri="{CE6537A1-D6FC-4f65-9D91-7224C49458BB}"/>
              </c:extLst>
            </c:dLbl>
            <c:dLbl>
              <c:idx val="2"/>
              <c:layout>
                <c:manualLayout>
                  <c:x val="4.6783625730994014E-3"/>
                  <c:y val="-1.1477763565300642E-2"/>
                </c:manualLayout>
              </c:layout>
              <c:showVal val="1"/>
              <c:extLst>
                <c:ext xmlns:c15="http://schemas.microsoft.com/office/drawing/2012/chart" uri="{CE6537A1-D6FC-4f65-9D91-7224C49458BB}"/>
              </c:extLst>
            </c:dLbl>
            <c:dLbl>
              <c:idx val="5"/>
              <c:layout>
                <c:manualLayout>
                  <c:x val="2.8070175438596499E-2"/>
                  <c:y val="-3.5070539089448263E-17"/>
                </c:manualLayout>
              </c:layout>
              <c:showVal val="1"/>
              <c:extLst>
                <c:ext xmlns:c15="http://schemas.microsoft.com/office/drawing/2012/chart" uri="{CE6537A1-D6FC-4f65-9D91-7224C49458BB}"/>
              </c:extLst>
            </c:dLbl>
            <c:dLbl>
              <c:idx val="7"/>
              <c:layout>
                <c:manualLayout>
                  <c:x val="1.4035087719298333E-2"/>
                  <c:y val="0"/>
                </c:manualLayout>
              </c:layout>
              <c:showVal val="1"/>
              <c:extLst>
                <c:ext xmlns:c15="http://schemas.microsoft.com/office/drawing/2012/chart" uri="{CE6537A1-D6FC-4f65-9D91-7224C49458BB}"/>
              </c:extLst>
            </c:dLbl>
            <c:dLbl>
              <c:idx val="9"/>
              <c:layout>
                <c:manualLayout>
                  <c:x val="1.4035087719298249E-2"/>
                  <c:y val="0"/>
                </c:manualLayout>
              </c:layout>
              <c:showVal val="1"/>
              <c:extLst>
                <c:ext xmlns:c15="http://schemas.microsoft.com/office/drawing/2012/chart" uri="{CE6537A1-D6FC-4f65-9D91-7224C49458BB}"/>
              </c:extLst>
            </c:dLbl>
            <c:dLbl>
              <c:idx val="10"/>
              <c:layout>
                <c:manualLayout>
                  <c:x val="9.3567251461988341E-3"/>
                  <c:y val="-3.5070539089448263E-17"/>
                </c:manualLayout>
              </c:layout>
              <c:showVal val="1"/>
              <c:extLst>
                <c:ext xmlns:c15="http://schemas.microsoft.com/office/drawing/2012/chart" uri="{CE6537A1-D6FC-4f65-9D91-7224C49458BB}"/>
              </c:extLst>
            </c:dLbl>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Feuil4!$K$2:$L$10</c:f>
              <c:multiLvlStrCache>
                <c:ptCount val="9"/>
                <c:lvl>
                  <c:pt idx="0">
                    <c:v>الزوجي</c:v>
                  </c:pt>
                  <c:pt idx="1">
                    <c:v>العائلي</c:v>
                  </c:pt>
                  <c:pt idx="2">
                    <c:v>مكان العمل</c:v>
                  </c:pt>
                  <c:pt idx="3">
                    <c:v>مكان الدراسة</c:v>
                  </c:pt>
                  <c:pt idx="4">
                    <c:v>الأماكن العامة</c:v>
                  </c:pt>
                  <c:pt idx="5">
                    <c:v>عنف نفسي</c:v>
                  </c:pt>
                  <c:pt idx="6">
                    <c:v>عنف جسدي </c:v>
                  </c:pt>
                  <c:pt idx="7">
                    <c:v>عنف جنسي</c:v>
                  </c:pt>
                  <c:pt idx="8">
                    <c:v>عنف اقتصادي</c:v>
                  </c:pt>
                </c:lvl>
                <c:lvl>
                  <c:pt idx="0">
                    <c:v>مجالات العنف</c:v>
                  </c:pt>
                  <c:pt idx="5">
                    <c:v>أشكال العنف</c:v>
                  </c:pt>
                </c:lvl>
              </c:multiLvlStrCache>
            </c:multiLvlStrRef>
          </c:cat>
          <c:val>
            <c:numRef>
              <c:f>Feuil4!$N$2:$N$10</c:f>
              <c:numCache>
                <c:formatCode>###0.0%</c:formatCode>
                <c:ptCount val="9"/>
                <c:pt idx="0">
                  <c:v>0.3053077947050889</c:v>
                </c:pt>
                <c:pt idx="1">
                  <c:v>0.11541313360971495</c:v>
                </c:pt>
                <c:pt idx="2">
                  <c:v>0.15987638854758687</c:v>
                </c:pt>
                <c:pt idx="3">
                  <c:v>0.11980409229275885</c:v>
                </c:pt>
                <c:pt idx="4">
                  <c:v>9.8292411430857277E-2</c:v>
                </c:pt>
                <c:pt idx="5">
                  <c:v>0.37052085315817818</c:v>
                </c:pt>
                <c:pt idx="6">
                  <c:v>0.10469700473654472</c:v>
                </c:pt>
                <c:pt idx="7">
                  <c:v>1.9336312132703228E-2</c:v>
                </c:pt>
                <c:pt idx="8">
                  <c:v>1.3838146648402116E-2</c:v>
                </c:pt>
              </c:numCache>
            </c:numRef>
          </c:val>
        </c:ser>
        <c:gapWidth val="182"/>
        <c:axId val="99545856"/>
        <c:axId val="99547392"/>
      </c:barChart>
      <c:catAx>
        <c:axId val="995458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fr-FR"/>
          </a:p>
        </c:txPr>
        <c:crossAx val="99547392"/>
        <c:crosses val="autoZero"/>
        <c:auto val="1"/>
        <c:lblAlgn val="ctr"/>
        <c:lblOffset val="100"/>
      </c:catAx>
      <c:valAx>
        <c:axId val="99547392"/>
        <c:scaling>
          <c:orientation val="minMax"/>
        </c:scaling>
        <c:delete val="1"/>
        <c:axPos val="b"/>
        <c:numFmt formatCode="###0.0%" sourceLinked="1"/>
        <c:majorTickMark val="none"/>
        <c:tickLblPos val="none"/>
        <c:crossAx val="99545856"/>
        <c:crosses val="autoZero"/>
        <c:crossBetween val="between"/>
      </c:valAx>
      <c:spPr>
        <a:noFill/>
        <a:ln>
          <a:noFill/>
        </a:ln>
        <a:effectLst/>
      </c:spPr>
    </c:plotArea>
    <c:legend>
      <c:legendPos val="b"/>
      <c:layout>
        <c:manualLayout>
          <c:xMode val="edge"/>
          <c:yMode val="edge"/>
          <c:x val="0.19385992540406138"/>
          <c:y val="0.89409667541557736"/>
          <c:w val="0.65711606766285691"/>
          <c:h val="7.8125546806649168E-2"/>
        </c:manualLayout>
      </c:layout>
      <c:spPr>
        <a:noFill/>
        <a:ln>
          <a:noFill/>
        </a:ln>
        <a:effectLst/>
      </c:spPr>
      <c:txPr>
        <a:bodyPr rot="0" vert="horz"/>
        <a:lstStyle/>
        <a:p>
          <a:pPr>
            <a:defRPr sz="1400"/>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b="1"/>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percentStacked"/>
        <c:ser>
          <c:idx val="0"/>
          <c:order val="0"/>
          <c:tx>
            <c:strRef>
              <c:f>'graphiques note'!$R$127</c:f>
              <c:strCache>
                <c:ptCount val="1"/>
                <c:pt idx="0">
                  <c:v>لا أتفق بتاتا</c:v>
                </c:pt>
              </c:strCache>
            </c:strRef>
          </c:tx>
          <c:spPr>
            <a:solidFill>
              <a:schemeClr val="accent1"/>
            </a:solidFill>
            <a:ln>
              <a:noFill/>
            </a:ln>
            <a:effectLst/>
          </c:spPr>
          <c:dLbls>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'graphiques note'!$S$125:$Z$126</c:f>
              <c:multiLvlStrCache>
                <c:ptCount val="8"/>
                <c:lvl>
                  <c:pt idx="1">
                    <c:v>حضري</c:v>
                  </c:pt>
                  <c:pt idx="2">
                    <c:v>قروي</c:v>
                  </c:pt>
                  <c:pt idx="3">
                    <c:v>من 15 إلى 24 سنة</c:v>
                  </c:pt>
                  <c:pt idx="4">
                    <c:v>من 25 إلى 34 سنة</c:v>
                  </c:pt>
                  <c:pt idx="5">
                    <c:v>من 35 إلى 44 سنة</c:v>
                  </c:pt>
                  <c:pt idx="6">
                    <c:v>من 45 إلى 59 سنة</c:v>
                  </c:pt>
                  <c:pt idx="7">
                    <c:v>من 60 إلى 74 سنة</c:v>
                  </c:pt>
                </c:lvl>
                <c:lvl>
                  <c:pt idx="0">
                    <c:v>المجموع</c:v>
                  </c:pt>
                  <c:pt idx="1">
                    <c:v>وسط الإقامة</c:v>
                  </c:pt>
                  <c:pt idx="3">
                    <c:v>الفئات العمرية</c:v>
                  </c:pt>
                </c:lvl>
              </c:multiLvlStrCache>
            </c:multiLvlStrRef>
          </c:cat>
          <c:val>
            <c:numRef>
              <c:f>'graphiques note'!$S$127:$Z$127</c:f>
              <c:numCache>
                <c:formatCode>###0.0%</c:formatCode>
                <c:ptCount val="8"/>
                <c:pt idx="0" formatCode="0.0%">
                  <c:v>0.56799999999999995</c:v>
                </c:pt>
                <c:pt idx="1">
                  <c:v>0.59983984543207602</c:v>
                </c:pt>
                <c:pt idx="2">
                  <c:v>0.51226805928103558</c:v>
                </c:pt>
                <c:pt idx="3">
                  <c:v>0.5615626605666183</c:v>
                </c:pt>
                <c:pt idx="4">
                  <c:v>0.56279887941008666</c:v>
                </c:pt>
                <c:pt idx="5">
                  <c:v>0.56891925584590208</c:v>
                </c:pt>
                <c:pt idx="6">
                  <c:v>0.60005790455557229</c:v>
                </c:pt>
                <c:pt idx="7">
                  <c:v>0.54015247410171152</c:v>
                </c:pt>
              </c:numCache>
            </c:numRef>
          </c:val>
        </c:ser>
        <c:ser>
          <c:idx val="1"/>
          <c:order val="1"/>
          <c:tx>
            <c:strRef>
              <c:f>'graphiques note'!$R$128</c:f>
              <c:strCache>
                <c:ptCount val="1"/>
                <c:pt idx="0">
                  <c:v> في الغالب لا أتفق</c:v>
                </c:pt>
              </c:strCache>
            </c:strRef>
          </c:tx>
          <c:spPr>
            <a:solidFill>
              <a:schemeClr val="accent2"/>
            </a:solidFill>
            <a:ln>
              <a:noFill/>
            </a:ln>
            <a:effectLst/>
          </c:spPr>
          <c:dLbls>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'graphiques note'!$S$125:$Z$126</c:f>
              <c:multiLvlStrCache>
                <c:ptCount val="8"/>
                <c:lvl>
                  <c:pt idx="1">
                    <c:v>حضري</c:v>
                  </c:pt>
                  <c:pt idx="2">
                    <c:v>قروي</c:v>
                  </c:pt>
                  <c:pt idx="3">
                    <c:v>من 15 إلى 24 سنة</c:v>
                  </c:pt>
                  <c:pt idx="4">
                    <c:v>من 25 إلى 34 سنة</c:v>
                  </c:pt>
                  <c:pt idx="5">
                    <c:v>من 35 إلى 44 سنة</c:v>
                  </c:pt>
                  <c:pt idx="6">
                    <c:v>من 45 إلى 59 سنة</c:v>
                  </c:pt>
                  <c:pt idx="7">
                    <c:v>من 60 إلى 74 سنة</c:v>
                  </c:pt>
                </c:lvl>
                <c:lvl>
                  <c:pt idx="0">
                    <c:v>المجموع</c:v>
                  </c:pt>
                  <c:pt idx="1">
                    <c:v>وسط الإقامة</c:v>
                  </c:pt>
                  <c:pt idx="3">
                    <c:v>الفئات العمرية</c:v>
                  </c:pt>
                </c:lvl>
              </c:multiLvlStrCache>
            </c:multiLvlStrRef>
          </c:cat>
          <c:val>
            <c:numRef>
              <c:f>'graphiques note'!$S$128:$Z$128</c:f>
              <c:numCache>
                <c:formatCode>0.0%</c:formatCode>
                <c:ptCount val="8"/>
                <c:pt idx="0">
                  <c:v>0.221</c:v>
                </c:pt>
                <c:pt idx="1">
                  <c:v>0.22778930949930101</c:v>
                </c:pt>
                <c:pt idx="2">
                  <c:v>0.20884762093247194</c:v>
                </c:pt>
                <c:pt idx="3">
                  <c:v>0.21992887762778671</c:v>
                </c:pt>
                <c:pt idx="4">
                  <c:v>0.22827076242001537</c:v>
                </c:pt>
                <c:pt idx="5">
                  <c:v>0.23962133420657961</c:v>
                </c:pt>
                <c:pt idx="6">
                  <c:v>0.21121671973486217</c:v>
                </c:pt>
                <c:pt idx="7">
                  <c:v>0.20323355306640553</c:v>
                </c:pt>
              </c:numCache>
            </c:numRef>
          </c:val>
        </c:ser>
        <c:ser>
          <c:idx val="2"/>
          <c:order val="2"/>
          <c:tx>
            <c:strRef>
              <c:f>'graphiques note'!$R$129</c:f>
              <c:strCache>
                <c:ptCount val="1"/>
                <c:pt idx="0">
                  <c:v>أتفق إلى حد ما</c:v>
                </c:pt>
              </c:strCache>
            </c:strRef>
          </c:tx>
          <c:spPr>
            <a:solidFill>
              <a:schemeClr val="accent3"/>
            </a:solidFill>
            <a:ln>
              <a:noFill/>
            </a:ln>
            <a:effectLst/>
          </c:spPr>
          <c:dLbls>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'graphiques note'!$S$125:$Z$126</c:f>
              <c:multiLvlStrCache>
                <c:ptCount val="8"/>
                <c:lvl>
                  <c:pt idx="1">
                    <c:v>حضري</c:v>
                  </c:pt>
                  <c:pt idx="2">
                    <c:v>قروي</c:v>
                  </c:pt>
                  <c:pt idx="3">
                    <c:v>من 15 إلى 24 سنة</c:v>
                  </c:pt>
                  <c:pt idx="4">
                    <c:v>من 25 إلى 34 سنة</c:v>
                  </c:pt>
                  <c:pt idx="5">
                    <c:v>من 35 إلى 44 سنة</c:v>
                  </c:pt>
                  <c:pt idx="6">
                    <c:v>من 45 إلى 59 سنة</c:v>
                  </c:pt>
                  <c:pt idx="7">
                    <c:v>من 60 إلى 74 سنة</c:v>
                  </c:pt>
                </c:lvl>
                <c:lvl>
                  <c:pt idx="0">
                    <c:v>المجموع</c:v>
                  </c:pt>
                  <c:pt idx="1">
                    <c:v>وسط الإقامة</c:v>
                  </c:pt>
                  <c:pt idx="3">
                    <c:v>الفئات العمرية</c:v>
                  </c:pt>
                </c:lvl>
              </c:multiLvlStrCache>
            </c:multiLvlStrRef>
          </c:cat>
          <c:val>
            <c:numRef>
              <c:f>'graphiques note'!$S$129:$Z$129</c:f>
              <c:numCache>
                <c:formatCode>0.0%</c:formatCode>
                <c:ptCount val="8"/>
                <c:pt idx="0">
                  <c:v>0.10100000000000002</c:v>
                </c:pt>
                <c:pt idx="1">
                  <c:v>9.4972824629662528E-2</c:v>
                </c:pt>
                <c:pt idx="2">
                  <c:v>0.11284740491497405</c:v>
                </c:pt>
                <c:pt idx="3">
                  <c:v>8.2337234986569335E-2</c:v>
                </c:pt>
                <c:pt idx="4">
                  <c:v>0.11015321292683602</c:v>
                </c:pt>
                <c:pt idx="5">
                  <c:v>0.10238108930964392</c:v>
                </c:pt>
                <c:pt idx="6">
                  <c:v>0.10148352870963924</c:v>
                </c:pt>
                <c:pt idx="7">
                  <c:v>0.11656258053340048</c:v>
                </c:pt>
              </c:numCache>
            </c:numRef>
          </c:val>
        </c:ser>
        <c:ser>
          <c:idx val="3"/>
          <c:order val="3"/>
          <c:tx>
            <c:strRef>
              <c:f>'graphiques note'!$R$130</c:f>
              <c:strCache>
                <c:ptCount val="1"/>
                <c:pt idx="0">
                  <c:v> أتفق تماما</c:v>
                </c:pt>
              </c:strCache>
            </c:strRef>
          </c:tx>
          <c:spPr>
            <a:solidFill>
              <a:schemeClr val="accent4"/>
            </a:solidFill>
            <a:ln>
              <a:noFill/>
            </a:ln>
            <a:effectLst/>
          </c:spPr>
          <c:dLbls>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'graphiques note'!$S$125:$Z$126</c:f>
              <c:multiLvlStrCache>
                <c:ptCount val="8"/>
                <c:lvl>
                  <c:pt idx="1">
                    <c:v>حضري</c:v>
                  </c:pt>
                  <c:pt idx="2">
                    <c:v>قروي</c:v>
                  </c:pt>
                  <c:pt idx="3">
                    <c:v>من 15 إلى 24 سنة</c:v>
                  </c:pt>
                  <c:pt idx="4">
                    <c:v>من 25 إلى 34 سنة</c:v>
                  </c:pt>
                  <c:pt idx="5">
                    <c:v>من 35 إلى 44 سنة</c:v>
                  </c:pt>
                  <c:pt idx="6">
                    <c:v>من 45 إلى 59 سنة</c:v>
                  </c:pt>
                  <c:pt idx="7">
                    <c:v>من 60 إلى 74 سنة</c:v>
                  </c:pt>
                </c:lvl>
                <c:lvl>
                  <c:pt idx="0">
                    <c:v>المجموع</c:v>
                  </c:pt>
                  <c:pt idx="1">
                    <c:v>وسط الإقامة</c:v>
                  </c:pt>
                  <c:pt idx="3">
                    <c:v>الفئات العمرية</c:v>
                  </c:pt>
                </c:lvl>
              </c:multiLvlStrCache>
            </c:multiLvlStrRef>
          </c:cat>
          <c:val>
            <c:numRef>
              <c:f>'graphiques note'!$S$130:$Z$130</c:f>
              <c:numCache>
                <c:formatCode>0.0%</c:formatCode>
                <c:ptCount val="8"/>
                <c:pt idx="0">
                  <c:v>8.5000000000000006E-2</c:v>
                </c:pt>
                <c:pt idx="1">
                  <c:v>6.4141763526415721E-2</c:v>
                </c:pt>
                <c:pt idx="2">
                  <c:v>0.12111761126752803</c:v>
                </c:pt>
                <c:pt idx="3">
                  <c:v>7.5168402139362087E-2</c:v>
                </c:pt>
                <c:pt idx="4">
                  <c:v>8.3646842131500823E-2</c:v>
                </c:pt>
                <c:pt idx="5">
                  <c:v>8.0448043899659705E-2</c:v>
                </c:pt>
                <c:pt idx="6">
                  <c:v>7.3933139715347429E-2</c:v>
                </c:pt>
                <c:pt idx="7">
                  <c:v>0.12092706791459024</c:v>
                </c:pt>
              </c:numCache>
            </c:numRef>
          </c:val>
        </c:ser>
        <c:ser>
          <c:idx val="4"/>
          <c:order val="4"/>
          <c:tx>
            <c:strRef>
              <c:f>'graphiques note'!$R$131</c:f>
              <c:strCache>
                <c:ptCount val="1"/>
                <c:pt idx="0">
                  <c:v>لا أعرف أو أرفض الإجابة</c:v>
                </c:pt>
              </c:strCache>
            </c:strRef>
          </c:tx>
          <c:spPr>
            <a:solidFill>
              <a:schemeClr val="accent5"/>
            </a:solidFill>
            <a:ln>
              <a:noFill/>
            </a:ln>
            <a:effectLst/>
          </c:spPr>
          <c:cat>
            <c:multiLvlStrRef>
              <c:f>'graphiques note'!$S$125:$Z$126</c:f>
              <c:multiLvlStrCache>
                <c:ptCount val="8"/>
                <c:lvl>
                  <c:pt idx="1">
                    <c:v>حضري</c:v>
                  </c:pt>
                  <c:pt idx="2">
                    <c:v>قروي</c:v>
                  </c:pt>
                  <c:pt idx="3">
                    <c:v>من 15 إلى 24 سنة</c:v>
                  </c:pt>
                  <c:pt idx="4">
                    <c:v>من 25 إلى 34 سنة</c:v>
                  </c:pt>
                  <c:pt idx="5">
                    <c:v>من 35 إلى 44 سنة</c:v>
                  </c:pt>
                  <c:pt idx="6">
                    <c:v>من 45 إلى 59 سنة</c:v>
                  </c:pt>
                  <c:pt idx="7">
                    <c:v>من 60 إلى 74 سنة</c:v>
                  </c:pt>
                </c:lvl>
                <c:lvl>
                  <c:pt idx="0">
                    <c:v>المجموع</c:v>
                  </c:pt>
                  <c:pt idx="1">
                    <c:v>وسط الإقامة</c:v>
                  </c:pt>
                  <c:pt idx="3">
                    <c:v>الفئات العمرية</c:v>
                  </c:pt>
                </c:lvl>
              </c:multiLvlStrCache>
            </c:multiLvlStrRef>
          </c:cat>
          <c:val>
            <c:numRef>
              <c:f>'graphiques note'!$S$131:$Z$131</c:f>
              <c:numCache>
                <c:formatCode>0.0%</c:formatCode>
                <c:ptCount val="8"/>
                <c:pt idx="0">
                  <c:v>2.5000000000000001E-2</c:v>
                </c:pt>
                <c:pt idx="1">
                  <c:v>1.3256256912545299E-2</c:v>
                </c:pt>
                <c:pt idx="2">
                  <c:v>4.4919303603988624E-2</c:v>
                </c:pt>
                <c:pt idx="3">
                  <c:v>6.1002824679661144E-2</c:v>
                </c:pt>
                <c:pt idx="4">
                  <c:v>1.5130303111564113E-2</c:v>
                </c:pt>
                <c:pt idx="5">
                  <c:v>8.6302767382133005E-3</c:v>
                </c:pt>
                <c:pt idx="6">
                  <c:v>1.3308707284580399E-2</c:v>
                </c:pt>
                <c:pt idx="7">
                  <c:v>1.9124324383892614E-2</c:v>
                </c:pt>
              </c:numCache>
            </c:numRef>
          </c:val>
        </c:ser>
        <c:overlap val="100"/>
        <c:axId val="100043392"/>
        <c:axId val="100049280"/>
      </c:barChart>
      <c:catAx>
        <c:axId val="100043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b="1"/>
            </a:pPr>
            <a:endParaRPr lang="fr-FR"/>
          </a:p>
        </c:txPr>
        <c:crossAx val="100049280"/>
        <c:crosses val="autoZero"/>
        <c:auto val="1"/>
        <c:lblAlgn val="ctr"/>
        <c:lblOffset val="100"/>
      </c:catAx>
      <c:valAx>
        <c:axId val="100049280"/>
        <c:scaling>
          <c:orientation val="minMax"/>
        </c:scaling>
        <c:delete val="1"/>
        <c:axPos val="l"/>
        <c:numFmt formatCode="0%" sourceLinked="1"/>
        <c:majorTickMark val="none"/>
        <c:tickLblPos val="none"/>
        <c:crossAx val="100043392"/>
        <c:crosses val="autoZero"/>
        <c:crossBetween val="between"/>
      </c:valAx>
      <c:spPr>
        <a:noFill/>
        <a:ln>
          <a:noFill/>
        </a:ln>
        <a:effectLst/>
      </c:spPr>
    </c:plotArea>
    <c:legend>
      <c:legendPos val="b"/>
      <c:layout>
        <c:manualLayout>
          <c:xMode val="edge"/>
          <c:yMode val="edge"/>
          <c:x val="1.0033767486734206E-2"/>
          <c:y val="0.89911304836006856"/>
          <c:w val="0.95950106931078061"/>
          <c:h val="8.7575993613073763E-2"/>
        </c:manualLayout>
      </c:layout>
      <c:spPr>
        <a:noFill/>
        <a:ln>
          <a:noFill/>
        </a:ln>
        <a:effectLst/>
      </c:spPr>
      <c:txPr>
        <a:bodyPr rot="0" vert="horz"/>
        <a:lstStyle/>
        <a:p>
          <a:pPr>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600" b="0">
          <a:latin typeface="Times New Roman" pitchFamily="18" charset="0"/>
          <a:cs typeface="Times New Roman"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autoTitleDeleted val="1"/>
    <c:plotArea>
      <c:layout>
        <c:manualLayout>
          <c:layoutTarget val="inner"/>
          <c:xMode val="edge"/>
          <c:yMode val="edge"/>
          <c:x val="0.3462075009218889"/>
          <c:y val="4.0571697915393536E-2"/>
          <c:w val="0.65379249907811776"/>
          <c:h val="0.83448547855581512"/>
        </c:manualLayout>
      </c:layout>
      <c:barChart>
        <c:barDir val="bar"/>
        <c:grouping val="clustered"/>
        <c:ser>
          <c:idx val="0"/>
          <c:order val="0"/>
          <c:tx>
            <c:strRef>
              <c:f>'graphiques note'!$O$183</c:f>
              <c:strCache>
                <c:ptCount val="1"/>
                <c:pt idx="0">
                  <c:v>حضري</c:v>
                </c:pt>
              </c:strCache>
            </c:strRef>
          </c:tx>
          <c:spPr>
            <a:solidFill>
              <a:schemeClr val="accent1"/>
            </a:solidFill>
            <a:ln>
              <a:noFill/>
            </a:ln>
            <a:effectLst/>
          </c:spPr>
          <c:dLbls>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 note'!$N$184:$N$190</c:f>
              <c:strCache>
                <c:ptCount val="7"/>
                <c:pt idx="0">
                  <c:v>إذا أهملت / لا تقوم بالأعمال المنزلية</c:v>
                </c:pt>
                <c:pt idx="1">
                  <c:v>إذا أهملت رعاية أطفالها</c:v>
                </c:pt>
                <c:pt idx="2">
                  <c:v>إذا لم تقم بإعداد وجبات الطعام في الوقت المحدد / حرقت الطعام</c:v>
                </c:pt>
                <c:pt idx="3">
                  <c:v>إذا شكت فيه وتسأله باستمرار عن مكان وجوده</c:v>
                </c:pt>
                <c:pt idx="4">
                  <c:v>إذا رفضت ممارسة الجنس معه</c:v>
                </c:pt>
                <c:pt idx="5">
                  <c:v>إذا خالفته في الرأي أو عارضته </c:v>
                </c:pt>
                <c:pt idx="6">
                  <c:v>إذا خرجت بدون إذنه</c:v>
                </c:pt>
              </c:strCache>
            </c:strRef>
          </c:cat>
          <c:val>
            <c:numRef>
              <c:f>'graphiques note'!$O$184:$O$190</c:f>
              <c:numCache>
                <c:formatCode>0.0%</c:formatCode>
                <c:ptCount val="7"/>
                <c:pt idx="0">
                  <c:v>4.9589097698871973E-2</c:v>
                </c:pt>
                <c:pt idx="1">
                  <c:v>0.13083261915238076</c:v>
                </c:pt>
                <c:pt idx="2">
                  <c:v>3.9271789477124515E-2</c:v>
                </c:pt>
                <c:pt idx="3">
                  <c:v>6.3550754992074118E-2</c:v>
                </c:pt>
                <c:pt idx="4">
                  <c:v>6.0252243696195362E-2</c:v>
                </c:pt>
                <c:pt idx="5">
                  <c:v>4.4099120327712724E-2</c:v>
                </c:pt>
                <c:pt idx="6">
                  <c:v>0.22830913898765709</c:v>
                </c:pt>
              </c:numCache>
            </c:numRef>
          </c:val>
        </c:ser>
        <c:ser>
          <c:idx val="1"/>
          <c:order val="1"/>
          <c:tx>
            <c:strRef>
              <c:f>'graphiques note'!$P$183</c:f>
              <c:strCache>
                <c:ptCount val="1"/>
                <c:pt idx="0">
                  <c:v>قروي</c:v>
                </c:pt>
              </c:strCache>
            </c:strRef>
          </c:tx>
          <c:spPr>
            <a:solidFill>
              <a:schemeClr val="accent2"/>
            </a:solidFill>
            <a:ln>
              <a:noFill/>
            </a:ln>
            <a:effectLst/>
          </c:spPr>
          <c:dLbls>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 note'!$N$184:$N$190</c:f>
              <c:strCache>
                <c:ptCount val="7"/>
                <c:pt idx="0">
                  <c:v>إذا أهملت / لا تقوم بالأعمال المنزلية</c:v>
                </c:pt>
                <c:pt idx="1">
                  <c:v>إذا أهملت رعاية أطفالها</c:v>
                </c:pt>
                <c:pt idx="2">
                  <c:v>إذا لم تقم بإعداد وجبات الطعام في الوقت المحدد / حرقت الطعام</c:v>
                </c:pt>
                <c:pt idx="3">
                  <c:v>إذا شكت فيه وتسأله باستمرار عن مكان وجوده</c:v>
                </c:pt>
                <c:pt idx="4">
                  <c:v>إذا رفضت ممارسة الجنس معه</c:v>
                </c:pt>
                <c:pt idx="5">
                  <c:v>إذا خالفته في الرأي أو عارضته </c:v>
                </c:pt>
                <c:pt idx="6">
                  <c:v>إذا خرجت بدون إذنه</c:v>
                </c:pt>
              </c:strCache>
            </c:strRef>
          </c:cat>
          <c:val>
            <c:numRef>
              <c:f>'graphiques note'!$P$184:$P$190</c:f>
              <c:numCache>
                <c:formatCode>0.0%</c:formatCode>
                <c:ptCount val="7"/>
                <c:pt idx="0">
                  <c:v>8.6447359778829225E-2</c:v>
                </c:pt>
                <c:pt idx="1">
                  <c:v>0.1746677242673407</c:v>
                </c:pt>
                <c:pt idx="2">
                  <c:v>5.4688395064770398E-2</c:v>
                </c:pt>
                <c:pt idx="3">
                  <c:v>8.5737984541517501E-2</c:v>
                </c:pt>
                <c:pt idx="4">
                  <c:v>7.3403688617570559E-2</c:v>
                </c:pt>
                <c:pt idx="5">
                  <c:v>7.6340784244217114E-2</c:v>
                </c:pt>
                <c:pt idx="6">
                  <c:v>0.30089693163852682</c:v>
                </c:pt>
              </c:numCache>
            </c:numRef>
          </c:val>
        </c:ser>
        <c:ser>
          <c:idx val="2"/>
          <c:order val="2"/>
          <c:tx>
            <c:strRef>
              <c:f>'graphiques note'!$Q$183</c:f>
              <c:strCache>
                <c:ptCount val="1"/>
                <c:pt idx="0">
                  <c:v>المجموع</c:v>
                </c:pt>
              </c:strCache>
            </c:strRef>
          </c:tx>
          <c:spPr>
            <a:solidFill>
              <a:schemeClr val="accent3"/>
            </a:solidFill>
            <a:ln>
              <a:noFill/>
            </a:ln>
            <a:effectLst/>
          </c:spPr>
          <c:dLbls>
            <c:spPr>
              <a:noFill/>
              <a:ln>
                <a:noFill/>
              </a:ln>
              <a:effectLst/>
            </c:spPr>
            <c:txPr>
              <a:bodyPr rot="0" vert="horz"/>
              <a:lstStyle/>
              <a:p>
                <a:pPr>
                  <a:defRPr/>
                </a:pPr>
                <a:endParaRPr lang="fr-FR"/>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 note'!$N$184:$N$190</c:f>
              <c:strCache>
                <c:ptCount val="7"/>
                <c:pt idx="0">
                  <c:v>إذا أهملت / لا تقوم بالأعمال المنزلية</c:v>
                </c:pt>
                <c:pt idx="1">
                  <c:v>إذا أهملت رعاية أطفالها</c:v>
                </c:pt>
                <c:pt idx="2">
                  <c:v>إذا لم تقم بإعداد وجبات الطعام في الوقت المحدد / حرقت الطعام</c:v>
                </c:pt>
                <c:pt idx="3">
                  <c:v>إذا شكت فيه وتسأله باستمرار عن مكان وجوده</c:v>
                </c:pt>
                <c:pt idx="4">
                  <c:v>إذا رفضت ممارسة الجنس معه</c:v>
                </c:pt>
                <c:pt idx="5">
                  <c:v>إذا خالفته في الرأي أو عارضته </c:v>
                </c:pt>
                <c:pt idx="6">
                  <c:v>إذا خرجت بدون إذنه</c:v>
                </c:pt>
              </c:strCache>
            </c:strRef>
          </c:cat>
          <c:val>
            <c:numRef>
              <c:f>'graphiques note'!$Q$184:$Q$190</c:f>
              <c:numCache>
                <c:formatCode>0.0%</c:formatCode>
                <c:ptCount val="7"/>
                <c:pt idx="0">
                  <c:v>6.3E-2</c:v>
                </c:pt>
                <c:pt idx="1">
                  <c:v>0.14700000000000021</c:v>
                </c:pt>
                <c:pt idx="2">
                  <c:v>4.5000000000000012E-2</c:v>
                </c:pt>
                <c:pt idx="3">
                  <c:v>7.1999999999999995E-2</c:v>
                </c:pt>
                <c:pt idx="4">
                  <c:v>6.5000000000000002E-2</c:v>
                </c:pt>
                <c:pt idx="5">
                  <c:v>5.6000000000000001E-2</c:v>
                </c:pt>
                <c:pt idx="6">
                  <c:v>0.255</c:v>
                </c:pt>
              </c:numCache>
            </c:numRef>
          </c:val>
        </c:ser>
        <c:gapWidth val="182"/>
        <c:axId val="100071680"/>
        <c:axId val="100077568"/>
      </c:barChart>
      <c:catAx>
        <c:axId val="1000716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sz="800" b="1"/>
            </a:pPr>
            <a:endParaRPr lang="fr-FR"/>
          </a:p>
        </c:txPr>
        <c:crossAx val="100077568"/>
        <c:crosses val="autoZero"/>
        <c:auto val="1"/>
        <c:lblAlgn val="ctr"/>
        <c:lblOffset val="100"/>
      </c:catAx>
      <c:valAx>
        <c:axId val="100077568"/>
        <c:scaling>
          <c:orientation val="minMax"/>
        </c:scaling>
        <c:delete val="1"/>
        <c:axPos val="b"/>
        <c:numFmt formatCode="0.0%" sourceLinked="1"/>
        <c:majorTickMark val="none"/>
        <c:tickLblPos val="none"/>
        <c:crossAx val="100071680"/>
        <c:crosses val="autoZero"/>
        <c:crossBetween val="between"/>
      </c:valAx>
      <c:spPr>
        <a:noFill/>
        <a:ln>
          <a:noFill/>
        </a:ln>
        <a:effectLst/>
      </c:spPr>
    </c:plotArea>
    <c:legend>
      <c:legendPos val="b"/>
      <c:layout>
        <c:manualLayout>
          <c:xMode val="edge"/>
          <c:yMode val="edge"/>
          <c:x val="9.0339238845144179E-2"/>
          <c:y val="0.91635167827085862"/>
          <c:w val="0.82487707786526687"/>
          <c:h val="5.8372026026058933E-2"/>
        </c:manualLayout>
      </c:layout>
      <c:spPr>
        <a:noFill/>
        <a:ln>
          <a:noFill/>
        </a:ln>
        <a:effectLst/>
      </c:spPr>
      <c:txPr>
        <a:bodyPr rot="0" vert="horz"/>
        <a:lstStyle/>
        <a:p>
          <a:pPr>
            <a:defRPr sz="1050" b="1"/>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700">
          <a:latin typeface="Times New Roman" pitchFamily="18" charset="0"/>
          <a:cs typeface="Times New Roman"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E796-BB88-4A7F-B777-3A05F2FF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2170</Words>
  <Characters>11940</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sdrissi</dc:creator>
  <cp:lastModifiedBy>HCP</cp:lastModifiedBy>
  <cp:revision>3</cp:revision>
  <cp:lastPrinted>2021-02-24T09:58:00Z</cp:lastPrinted>
  <dcterms:created xsi:type="dcterms:W3CDTF">2021-04-20T12:14:00Z</dcterms:created>
  <dcterms:modified xsi:type="dcterms:W3CDTF">2021-04-21T08:44:00Z</dcterms:modified>
</cp:coreProperties>
</file>