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77" w:rsidRPr="00BA7EA7" w:rsidRDefault="00F34D65" w:rsidP="00BA7EA7">
      <w:pPr>
        <w:widowControl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        </w:t>
      </w:r>
    </w:p>
    <w:p w:rsidR="002E3CF2" w:rsidRPr="00BA7EA7" w:rsidRDefault="00F34D65" w:rsidP="00BA7EA7">
      <w:pPr>
        <w:widowControl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      </w:t>
      </w:r>
    </w:p>
    <w:p w:rsidR="003D25F5" w:rsidRPr="00BA7EA7" w:rsidRDefault="003D25F5" w:rsidP="00BA7EA7">
      <w:pPr>
        <w:widowControl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2E3CF2" w:rsidRPr="00BA7EA7" w:rsidRDefault="002E3CF2" w:rsidP="00BA7EA7">
      <w:pPr>
        <w:widowControl/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9E682C" w:rsidRPr="00BA7EA7" w:rsidRDefault="009E682C" w:rsidP="00BA7EA7">
      <w:pPr>
        <w:widowControl/>
        <w:spacing w:line="276" w:lineRule="auto"/>
        <w:jc w:val="center"/>
        <w:rPr>
          <w:rFonts w:asciiTheme="majorBidi" w:hAnsiTheme="majorBidi" w:cstheme="majorBidi"/>
          <w:b/>
          <w:bCs/>
          <w:color w:val="660033"/>
          <w:sz w:val="26"/>
          <w:szCs w:val="26"/>
        </w:rPr>
      </w:pPr>
    </w:p>
    <w:p w:rsidR="00912704" w:rsidRPr="00BA7EA7" w:rsidRDefault="00912704" w:rsidP="00BA7EA7">
      <w:pPr>
        <w:widowControl/>
        <w:spacing w:line="276" w:lineRule="auto"/>
        <w:jc w:val="center"/>
        <w:rPr>
          <w:rFonts w:asciiTheme="majorBidi" w:hAnsiTheme="majorBidi" w:cstheme="majorBidi"/>
          <w:b/>
          <w:bCs/>
          <w:color w:val="660033"/>
          <w:sz w:val="28"/>
          <w:szCs w:val="28"/>
        </w:rPr>
      </w:pPr>
      <w:r w:rsidRPr="00BA7EA7">
        <w:rPr>
          <w:rFonts w:asciiTheme="majorBidi" w:hAnsiTheme="majorBidi" w:cstheme="majorBidi"/>
          <w:b/>
          <w:bCs/>
          <w:color w:val="660033"/>
          <w:sz w:val="28"/>
          <w:szCs w:val="28"/>
        </w:rPr>
        <w:t>Note d’information</w:t>
      </w:r>
      <w:r w:rsidR="00636E2D" w:rsidRPr="00BA7EA7">
        <w:rPr>
          <w:rFonts w:asciiTheme="majorBidi" w:hAnsiTheme="majorBidi" w:cstheme="majorBidi"/>
          <w:b/>
          <w:bCs/>
          <w:color w:val="660033"/>
          <w:sz w:val="28"/>
          <w:szCs w:val="28"/>
        </w:rPr>
        <w:t xml:space="preserve"> du </w:t>
      </w:r>
      <w:r w:rsidR="00032B79" w:rsidRPr="00BA7EA7">
        <w:rPr>
          <w:rFonts w:asciiTheme="majorBidi" w:hAnsiTheme="majorBidi" w:cstheme="majorBidi"/>
          <w:b/>
          <w:bCs/>
          <w:color w:val="660033"/>
          <w:sz w:val="28"/>
          <w:szCs w:val="28"/>
        </w:rPr>
        <w:t>Haut-commissariat</w:t>
      </w:r>
      <w:r w:rsidR="0069792B" w:rsidRPr="00BA7EA7">
        <w:rPr>
          <w:rFonts w:asciiTheme="majorBidi" w:hAnsiTheme="majorBidi" w:cstheme="majorBidi"/>
          <w:b/>
          <w:bCs/>
          <w:color w:val="660033"/>
          <w:sz w:val="28"/>
          <w:szCs w:val="28"/>
        </w:rPr>
        <w:t xml:space="preserve"> au Plan</w:t>
      </w:r>
    </w:p>
    <w:p w:rsidR="00912704" w:rsidRPr="00BA7EA7" w:rsidRDefault="00097300" w:rsidP="00BA7EA7">
      <w:pPr>
        <w:widowControl/>
        <w:spacing w:line="276" w:lineRule="auto"/>
        <w:jc w:val="center"/>
        <w:rPr>
          <w:rFonts w:asciiTheme="majorBidi" w:hAnsiTheme="majorBidi" w:cstheme="majorBidi"/>
          <w:b/>
          <w:bCs/>
          <w:color w:val="660033"/>
          <w:sz w:val="28"/>
          <w:szCs w:val="28"/>
        </w:rPr>
      </w:pPr>
      <w:r w:rsidRPr="00BA7EA7">
        <w:rPr>
          <w:rFonts w:asciiTheme="majorBidi" w:hAnsiTheme="majorBidi" w:cstheme="majorBidi"/>
          <w:b/>
          <w:bCs/>
          <w:color w:val="660033"/>
          <w:sz w:val="28"/>
          <w:szCs w:val="28"/>
        </w:rPr>
        <w:t>R</w:t>
      </w:r>
      <w:r w:rsidR="00912704" w:rsidRPr="00BA7EA7">
        <w:rPr>
          <w:rFonts w:asciiTheme="majorBidi" w:hAnsiTheme="majorBidi" w:cstheme="majorBidi"/>
          <w:b/>
          <w:bCs/>
          <w:color w:val="660033"/>
          <w:sz w:val="28"/>
          <w:szCs w:val="28"/>
        </w:rPr>
        <w:t xml:space="preserve">ésultats de l’enquête de conjoncture auprès des ménages </w:t>
      </w:r>
    </w:p>
    <w:p w:rsidR="00912704" w:rsidRPr="00BA7EA7" w:rsidRDefault="00E22192" w:rsidP="00BA7EA7">
      <w:pPr>
        <w:widowControl/>
        <w:spacing w:line="276" w:lineRule="auto"/>
        <w:jc w:val="center"/>
        <w:rPr>
          <w:rFonts w:asciiTheme="majorBidi" w:hAnsiTheme="majorBidi" w:cstheme="majorBidi"/>
          <w:b/>
          <w:bCs/>
          <w:color w:val="660033"/>
          <w:sz w:val="28"/>
          <w:szCs w:val="28"/>
        </w:rPr>
      </w:pPr>
      <w:r w:rsidRPr="00BA7EA7">
        <w:rPr>
          <w:rFonts w:asciiTheme="majorBidi" w:hAnsiTheme="majorBidi" w:cstheme="majorBidi"/>
          <w:b/>
          <w:bCs/>
          <w:color w:val="660033"/>
          <w:sz w:val="28"/>
          <w:szCs w:val="28"/>
        </w:rPr>
        <w:t>Premier trimestre de</w:t>
      </w:r>
      <w:r w:rsidR="00546559" w:rsidRPr="00BA7EA7">
        <w:rPr>
          <w:rFonts w:asciiTheme="majorBidi" w:hAnsiTheme="majorBidi" w:cstheme="majorBidi"/>
          <w:b/>
          <w:bCs/>
          <w:color w:val="660033"/>
          <w:sz w:val="28"/>
          <w:szCs w:val="28"/>
        </w:rPr>
        <w:t xml:space="preserve"> l’année</w:t>
      </w:r>
      <w:r w:rsidR="00636E2D" w:rsidRPr="00BA7EA7">
        <w:rPr>
          <w:rFonts w:asciiTheme="majorBidi" w:hAnsiTheme="majorBidi" w:cstheme="majorBidi"/>
          <w:b/>
          <w:bCs/>
          <w:color w:val="660033"/>
          <w:sz w:val="28"/>
          <w:szCs w:val="28"/>
        </w:rPr>
        <w:t xml:space="preserve"> </w:t>
      </w:r>
      <w:r w:rsidR="00DA1780" w:rsidRPr="00BA7EA7">
        <w:rPr>
          <w:rFonts w:asciiTheme="majorBidi" w:hAnsiTheme="majorBidi" w:cstheme="majorBidi"/>
          <w:b/>
          <w:bCs/>
          <w:color w:val="660033"/>
          <w:sz w:val="28"/>
          <w:szCs w:val="28"/>
        </w:rPr>
        <w:t>20</w:t>
      </w:r>
      <w:r w:rsidRPr="00BA7EA7">
        <w:rPr>
          <w:rFonts w:asciiTheme="majorBidi" w:hAnsiTheme="majorBidi" w:cstheme="majorBidi"/>
          <w:b/>
          <w:bCs/>
          <w:color w:val="660033"/>
          <w:sz w:val="28"/>
          <w:szCs w:val="28"/>
        </w:rPr>
        <w:t>2</w:t>
      </w:r>
      <w:r w:rsidR="006A6B2C" w:rsidRPr="00BA7EA7">
        <w:rPr>
          <w:rFonts w:asciiTheme="majorBidi" w:hAnsiTheme="majorBidi" w:cstheme="majorBidi"/>
          <w:b/>
          <w:bCs/>
          <w:color w:val="660033"/>
          <w:sz w:val="28"/>
          <w:szCs w:val="28"/>
        </w:rPr>
        <w:t>1</w:t>
      </w:r>
    </w:p>
    <w:p w:rsidR="004105E0" w:rsidRPr="00BA7EA7" w:rsidRDefault="004105E0" w:rsidP="00BA7EA7">
      <w:pPr>
        <w:widowControl/>
        <w:spacing w:before="240"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F80F35" w:rsidRPr="00BA7EA7" w:rsidRDefault="005E2815" w:rsidP="00A74B79">
      <w:pPr>
        <w:widowControl/>
        <w:spacing w:line="276" w:lineRule="auto"/>
        <w:jc w:val="both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b/>
          <w:color w:val="000000" w:themeColor="text1"/>
          <w:sz w:val="26"/>
          <w:szCs w:val="26"/>
        </w:rPr>
        <w:t xml:space="preserve">Les </w:t>
      </w:r>
      <w:r w:rsidR="00A45128" w:rsidRPr="00BA7EA7">
        <w:rPr>
          <w:rFonts w:asciiTheme="majorBidi" w:hAnsiTheme="majorBidi" w:cstheme="majorBidi"/>
          <w:b/>
          <w:color w:val="000000" w:themeColor="text1"/>
          <w:sz w:val="26"/>
          <w:szCs w:val="26"/>
        </w:rPr>
        <w:t xml:space="preserve">résultats de l’enquête permanente de conjoncture auprès des ménages, menée par le HCP, </w:t>
      </w:r>
      <w:r w:rsidRPr="00BA7EA7">
        <w:rPr>
          <w:rFonts w:asciiTheme="majorBidi" w:hAnsiTheme="majorBidi" w:cstheme="majorBidi"/>
          <w:b/>
          <w:color w:val="000000" w:themeColor="text1"/>
          <w:sz w:val="26"/>
          <w:szCs w:val="26"/>
        </w:rPr>
        <w:t>montrent</w:t>
      </w:r>
      <w:r w:rsidR="002A5928" w:rsidRPr="00BA7EA7">
        <w:rPr>
          <w:rFonts w:asciiTheme="majorBidi" w:hAnsiTheme="majorBidi" w:cstheme="majorBidi"/>
          <w:b/>
          <w:color w:val="000000" w:themeColor="text1"/>
          <w:sz w:val="26"/>
          <w:szCs w:val="26"/>
        </w:rPr>
        <w:t xml:space="preserve"> qu’au </w:t>
      </w:r>
      <w:r w:rsidR="00D55501" w:rsidRPr="00BA7EA7">
        <w:rPr>
          <w:rFonts w:asciiTheme="majorBidi" w:hAnsiTheme="majorBidi" w:cstheme="majorBidi"/>
          <w:b/>
          <w:color w:val="000000" w:themeColor="text1"/>
          <w:sz w:val="26"/>
          <w:szCs w:val="26"/>
        </w:rPr>
        <w:t>premier trimestre</w:t>
      </w:r>
      <w:r w:rsidR="002A5928" w:rsidRPr="00BA7EA7">
        <w:rPr>
          <w:rFonts w:asciiTheme="majorBidi" w:hAnsiTheme="majorBidi" w:cstheme="majorBidi"/>
          <w:b/>
          <w:color w:val="000000" w:themeColor="text1"/>
          <w:sz w:val="26"/>
          <w:szCs w:val="26"/>
        </w:rPr>
        <w:t xml:space="preserve"> de 20</w:t>
      </w:r>
      <w:r w:rsidR="00D55501" w:rsidRPr="00BA7EA7">
        <w:rPr>
          <w:rFonts w:asciiTheme="majorBidi" w:hAnsiTheme="majorBidi" w:cstheme="majorBidi"/>
          <w:b/>
          <w:color w:val="000000" w:themeColor="text1"/>
          <w:sz w:val="26"/>
          <w:szCs w:val="26"/>
        </w:rPr>
        <w:t>2</w:t>
      </w:r>
      <w:r w:rsidR="006A6B2C" w:rsidRPr="00BA7EA7">
        <w:rPr>
          <w:rFonts w:asciiTheme="majorBidi" w:hAnsiTheme="majorBidi" w:cstheme="majorBidi"/>
          <w:b/>
          <w:color w:val="000000" w:themeColor="text1"/>
          <w:sz w:val="26"/>
          <w:szCs w:val="26"/>
        </w:rPr>
        <w:t>1</w:t>
      </w:r>
      <w:r w:rsidR="00761D08" w:rsidRPr="00BA7EA7">
        <w:rPr>
          <w:rFonts w:asciiTheme="majorBidi" w:hAnsiTheme="majorBidi" w:cstheme="majorBidi"/>
          <w:b/>
          <w:color w:val="000000" w:themeColor="text1"/>
          <w:sz w:val="26"/>
          <w:szCs w:val="26"/>
        </w:rPr>
        <w:t>,</w:t>
      </w:r>
      <w:r w:rsidR="002A5928" w:rsidRPr="00BA7EA7">
        <w:rPr>
          <w:rFonts w:asciiTheme="majorBidi" w:hAnsiTheme="majorBidi" w:cstheme="majorBidi"/>
          <w:b/>
          <w:color w:val="000000" w:themeColor="text1"/>
          <w:sz w:val="26"/>
          <w:szCs w:val="26"/>
        </w:rPr>
        <w:t xml:space="preserve"> le moral des ménages enregistre une </w:t>
      </w:r>
      <w:r w:rsidR="006A6B2C" w:rsidRPr="00BA7EA7">
        <w:rPr>
          <w:rFonts w:asciiTheme="majorBidi" w:hAnsiTheme="majorBidi" w:cstheme="majorBidi"/>
          <w:b/>
          <w:color w:val="000000" w:themeColor="text1"/>
          <w:sz w:val="26"/>
          <w:szCs w:val="26"/>
        </w:rPr>
        <w:t xml:space="preserve">amélioration </w:t>
      </w:r>
      <w:r w:rsidR="002A5928" w:rsidRPr="00BA7EA7">
        <w:rPr>
          <w:rFonts w:asciiTheme="majorBidi" w:hAnsiTheme="majorBidi" w:cstheme="majorBidi"/>
          <w:b/>
          <w:color w:val="000000" w:themeColor="text1"/>
          <w:sz w:val="26"/>
          <w:szCs w:val="26"/>
        </w:rPr>
        <w:t>par rapport au trimestre précédent</w:t>
      </w:r>
      <w:r w:rsidR="00007426" w:rsidRPr="00BA7EA7">
        <w:rPr>
          <w:rFonts w:asciiTheme="majorBidi" w:hAnsiTheme="majorBidi" w:cstheme="majorBidi"/>
          <w:b/>
          <w:color w:val="000000" w:themeColor="text1"/>
          <w:sz w:val="26"/>
          <w:szCs w:val="26"/>
        </w:rPr>
        <w:t xml:space="preserve"> </w:t>
      </w:r>
      <w:r w:rsidR="00A74B79">
        <w:rPr>
          <w:rFonts w:asciiTheme="majorBidi" w:hAnsiTheme="majorBidi" w:cstheme="majorBidi"/>
          <w:b/>
          <w:color w:val="000000" w:themeColor="text1"/>
          <w:sz w:val="26"/>
          <w:szCs w:val="26"/>
        </w:rPr>
        <w:t>et une dégradation par rapport a</w:t>
      </w:r>
      <w:r w:rsidR="002A5928" w:rsidRPr="00BA7EA7">
        <w:rPr>
          <w:rFonts w:asciiTheme="majorBidi" w:hAnsiTheme="majorBidi" w:cstheme="majorBidi"/>
          <w:b/>
          <w:color w:val="000000" w:themeColor="text1"/>
          <w:sz w:val="26"/>
          <w:szCs w:val="26"/>
        </w:rPr>
        <w:t>u même trimestre de l’année p</w:t>
      </w:r>
      <w:r w:rsidR="00A74B79">
        <w:rPr>
          <w:rFonts w:asciiTheme="majorBidi" w:hAnsiTheme="majorBidi" w:cstheme="majorBidi"/>
          <w:b/>
          <w:color w:val="000000" w:themeColor="text1"/>
          <w:sz w:val="26"/>
          <w:szCs w:val="26"/>
        </w:rPr>
        <w:t>assée</w:t>
      </w:r>
      <w:r w:rsidR="000A07A7" w:rsidRPr="00BA7EA7">
        <w:rPr>
          <w:rFonts w:asciiTheme="majorBidi" w:hAnsiTheme="majorBidi" w:cstheme="majorBidi"/>
          <w:b/>
          <w:color w:val="000000" w:themeColor="text1"/>
          <w:sz w:val="26"/>
          <w:szCs w:val="26"/>
        </w:rPr>
        <w:t xml:space="preserve">. </w:t>
      </w:r>
    </w:p>
    <w:p w:rsidR="001930B7" w:rsidRPr="00BA7EA7" w:rsidRDefault="001930B7" w:rsidP="00BA7EA7">
      <w:pPr>
        <w:widowControl/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838BF" w:rsidRPr="00BA7EA7" w:rsidRDefault="00580123" w:rsidP="00BA7EA7">
      <w:pPr>
        <w:widowControl/>
        <w:tabs>
          <w:tab w:val="left" w:pos="709"/>
        </w:tabs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L'indice de confiance des ménages (ICM) s’est ainsi établi à </w:t>
      </w:r>
      <w:r w:rsidR="00F87851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68</w:t>
      </w:r>
      <w:r w:rsidR="000838BF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F87851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3</w:t>
      </w:r>
      <w:r w:rsidR="000838BF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points, au lieu de </w:t>
      </w:r>
      <w:r w:rsidR="004728D6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61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4728D6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 enregistrés le trimestre </w:t>
      </w:r>
      <w:r w:rsidR="000838BF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précédent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et </w:t>
      </w:r>
      <w:r w:rsidR="00735048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7</w:t>
      </w:r>
      <w:r w:rsidR="004728D6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5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4728D6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7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 une année auparavant.</w:t>
      </w:r>
    </w:p>
    <w:p w:rsidR="003E7898" w:rsidRPr="00BA7EA7" w:rsidRDefault="003E7898" w:rsidP="00BA7EA7">
      <w:pPr>
        <w:widowControl/>
        <w:tabs>
          <w:tab w:val="left" w:pos="709"/>
        </w:tabs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686CA3" w:rsidRPr="00BA7EA7" w:rsidRDefault="003E7898" w:rsidP="00CA6DED">
      <w:pPr>
        <w:tabs>
          <w:tab w:val="left" w:pos="709"/>
        </w:tabs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Graphique 1 : Evolution de l'indice de confiance des ménages </w:t>
      </w:r>
    </w:p>
    <w:p w:rsidR="009B0DDF" w:rsidRPr="00BA7EA7" w:rsidRDefault="008F271B" w:rsidP="00BA7EA7">
      <w:pPr>
        <w:widowControl/>
        <w:tabs>
          <w:tab w:val="left" w:pos="709"/>
        </w:tabs>
        <w:spacing w:line="276" w:lineRule="auto"/>
        <w:jc w:val="center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6402457" cy="3403159"/>
            <wp:effectExtent l="19050" t="0" r="17393" b="6791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25D5" w:rsidRPr="00BA7EA7" w:rsidRDefault="003E7898" w:rsidP="00BA7EA7">
      <w:pPr>
        <w:widowControl/>
        <w:tabs>
          <w:tab w:val="left" w:pos="709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Source : HCP, Enquête permanente de conjoncture auprès des ménages</w:t>
      </w:r>
    </w:p>
    <w:p w:rsidR="00DE4509" w:rsidRPr="00BA7EA7" w:rsidRDefault="00DE4509" w:rsidP="00BA7EA7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8D3806" w:rsidRPr="00BA7EA7" w:rsidRDefault="006F1D72" w:rsidP="00BA7EA7">
      <w:pPr>
        <w:pStyle w:val="Paragraphedeliste"/>
        <w:numPr>
          <w:ilvl w:val="0"/>
          <w:numId w:val="9"/>
        </w:numPr>
        <w:ind w:left="284" w:hanging="284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bookmarkStart w:id="0" w:name="_Ref379209308"/>
      <w:r w:rsidRPr="00BA7EA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Evolution des </w:t>
      </w:r>
      <w:r w:rsidR="00860E86" w:rsidRPr="00BA7EA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composantes de</w:t>
      </w:r>
      <w:r w:rsidRPr="00BA7EA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l'ICM</w:t>
      </w:r>
      <w:bookmarkEnd w:id="0"/>
    </w:p>
    <w:p w:rsidR="00C07FB5" w:rsidRPr="00BA7EA7" w:rsidRDefault="00722F6F" w:rsidP="00BA7EA7">
      <w:pPr>
        <w:widowControl/>
        <w:tabs>
          <w:tab w:val="left" w:pos="709"/>
        </w:tabs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L</w:t>
      </w:r>
      <w:r w:rsidR="00560ED1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es composantes 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 l’ICM </w:t>
      </w:r>
      <w:r w:rsidR="00560ED1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portent sur la perception par les ménages de l’évolution du niveau de vie</w:t>
      </w:r>
      <w:r w:rsidR="005C2ED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560ED1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du chômage, de </w:t>
      </w:r>
      <w:r w:rsidR="008F33D5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l’opportunité</w:t>
      </w:r>
      <w:r w:rsidR="00560ED1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à </w:t>
      </w:r>
      <w:r w:rsidR="008F33D5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effectuer des achats de</w:t>
      </w:r>
      <w:r w:rsidR="00560ED1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biens</w:t>
      </w:r>
      <w:r w:rsidR="00C07FB5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durables et de </w:t>
      </w:r>
      <w:r w:rsidR="00560ED1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leur situation financière.</w:t>
      </w:r>
    </w:p>
    <w:p w:rsidR="007B1D47" w:rsidRPr="00BA7EA7" w:rsidRDefault="007B1D47" w:rsidP="00BA7EA7">
      <w:pPr>
        <w:widowControl/>
        <w:tabs>
          <w:tab w:val="left" w:pos="709"/>
        </w:tabs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A71494" w:rsidRPr="00BA7EA7" w:rsidRDefault="004D6730" w:rsidP="00A74B79">
      <w:pPr>
        <w:pStyle w:val="Paragraphedeliste"/>
        <w:numPr>
          <w:ilvl w:val="0"/>
          <w:numId w:val="8"/>
        </w:numPr>
        <w:spacing w:before="240"/>
        <w:ind w:left="0" w:hanging="142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CA6DE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</w:t>
      </w:r>
      <w:r w:rsidR="006E7EE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entiment d’une dégradation</w:t>
      </w:r>
      <w:r w:rsidR="00A74B79" w:rsidRPr="00A74B7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A74B7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et attente d’une amélioration </w:t>
      </w:r>
      <w:r w:rsidR="0030598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du n</w:t>
      </w:r>
      <w:r w:rsidR="00305983" w:rsidRPr="00BA7EA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iveau de vie</w:t>
      </w:r>
      <w:r w:rsidR="00A74B7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selon les perceptions des ménages</w:t>
      </w:r>
      <w:r w:rsidR="0030598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A71494" w:rsidRPr="00BA7EA7" w:rsidRDefault="00A71494" w:rsidP="00BA7EA7">
      <w:pPr>
        <w:pStyle w:val="Paragraphedeliste"/>
        <w:spacing w:before="240"/>
        <w:ind w:left="0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rtl/>
          <w:lang w:eastAsia="fr-FR"/>
        </w:rPr>
      </w:pPr>
    </w:p>
    <w:p w:rsidR="00164979" w:rsidRPr="00BA7EA7" w:rsidRDefault="00580123" w:rsidP="00BA7EA7">
      <w:pPr>
        <w:pStyle w:val="Paragraphedeliste"/>
        <w:spacing w:before="240"/>
        <w:ind w:left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Au </w:t>
      </w:r>
      <w:r w:rsidR="00D55501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premier trimestre</w:t>
      </w:r>
      <w:r w:rsidR="00007426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707360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de</w:t>
      </w:r>
      <w:r w:rsidR="00DA1780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20</w:t>
      </w:r>
      <w:r w:rsidR="00E061AE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5802BF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, </w:t>
      </w:r>
      <w:r w:rsidR="00252BB9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64</w:t>
      </w:r>
      <w:r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,</w:t>
      </w:r>
      <w:r w:rsidR="00252BB9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8</w:t>
      </w:r>
      <w:r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% des ménages déclarent une dégradation du niveau de vie au cours des 12 derniers mois, </w:t>
      </w:r>
      <w:r w:rsidR="00252BB9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20</w:t>
      </w:r>
      <w:r w:rsidR="00DA786A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,</w:t>
      </w:r>
      <w:r w:rsidR="00326909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9</w:t>
      </w:r>
      <w:r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% un maintien au même niveau et </w:t>
      </w:r>
      <w:r w:rsidR="00252BB9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14</w:t>
      </w:r>
      <w:r w:rsidR="00DA786A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,</w:t>
      </w:r>
      <w:r w:rsidR="00326909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3</w:t>
      </w:r>
      <w:r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% une amélioration. Le solde d’opinion sur l’évolution passée du niveau de vie 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est resté négatif, à moins </w:t>
      </w:r>
      <w:r w:rsidR="007A24BB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50</w:t>
      </w:r>
      <w:r w:rsidR="00CD5F53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7A24BB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5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</w:t>
      </w:r>
      <w:r w:rsidR="00CD5F53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contre moins </w:t>
      </w:r>
      <w:r w:rsidR="000E0128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46,6</w:t>
      </w:r>
      <w:r w:rsidR="00CD5F53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 </w:t>
      </w:r>
      <w:r w:rsidR="00A74B79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au trimestre</w:t>
      </w:r>
      <w:r w:rsidR="00CD5F53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061AE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précédent</w:t>
      </w:r>
      <w:r w:rsidR="00CD5F53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74B79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et moins</w:t>
      </w:r>
      <w:r w:rsidR="00CD5F53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901E11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="000E0128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9</w:t>
      </w:r>
      <w:r w:rsidR="00CD5F53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0E0128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8</w:t>
      </w:r>
      <w:r w:rsidR="00CD5F53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 au même trimestre de l’année passée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580123" w:rsidRPr="00BA7EA7" w:rsidRDefault="00580123" w:rsidP="00BA7EA7">
      <w:pPr>
        <w:pStyle w:val="Paragraphedeliste"/>
        <w:spacing w:before="240"/>
        <w:ind w:left="0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</w:p>
    <w:p w:rsidR="009A3BC1" w:rsidRPr="00BA7EA7" w:rsidRDefault="00580123" w:rsidP="00BA7EA7">
      <w:pPr>
        <w:pStyle w:val="Paragraphedeliste"/>
        <w:spacing w:before="240"/>
        <w:ind w:left="0"/>
        <w:jc w:val="both"/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</w:pPr>
      <w:r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Au cours des 12 prochains mois, </w:t>
      </w:r>
      <w:r w:rsidR="00901E11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2</w:t>
      </w:r>
      <w:r w:rsidR="00C43C9E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6</w:t>
      </w:r>
      <w:r w:rsidR="00DA786A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,</w:t>
      </w:r>
      <w:r w:rsidR="00C43C9E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0</w:t>
      </w:r>
      <w:r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% des ménages s’attendent à une dégradation du niveau de vie, </w:t>
      </w:r>
      <w:r w:rsidR="00313C10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34</w:t>
      </w:r>
      <w:r w:rsidR="00DA786A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,</w:t>
      </w:r>
      <w:r w:rsidR="00313C10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8</w:t>
      </w:r>
      <w:r w:rsidR="000F2E6E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% à un maintien au même nive</w:t>
      </w:r>
      <w:r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au et </w:t>
      </w:r>
      <w:r w:rsidR="00313C10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39</w:t>
      </w:r>
      <w:r w:rsidR="00E061AE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,</w:t>
      </w:r>
      <w:r w:rsidR="00313C10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2</w:t>
      </w:r>
      <w:r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% à une amélioration. Le solde d’opinion relatif à cet indicateur</w:t>
      </w:r>
      <w:r w:rsidR="00326909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</w:t>
      </w:r>
      <w:r w:rsidR="00EE43E3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s’établit à</w:t>
      </w:r>
      <w:r w:rsidR="00326909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</w:t>
      </w:r>
      <w:r w:rsidR="00EE43E3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13,2 points</w:t>
      </w:r>
      <w:r w:rsidR="00326909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en</w:t>
      </w:r>
      <w:r w:rsidR="00313C10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amélioration</w:t>
      </w:r>
      <w:r w:rsidR="00164979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aussi bien par rapport au trimestre </w:t>
      </w:r>
      <w:r w:rsidR="000F2E6E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précédent</w:t>
      </w:r>
      <w:r w:rsidR="00164979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que par rapport </w:t>
      </w:r>
      <w:r w:rsidR="0082003B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au même trimestre de l’année précédente</w:t>
      </w:r>
      <w:r w:rsidR="00164979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où il </w:t>
      </w:r>
      <w:r w:rsidR="00427977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était à</w:t>
      </w:r>
      <w:r w:rsidR="00164979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moins </w:t>
      </w:r>
      <w:r w:rsidR="00313C10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17</w:t>
      </w:r>
      <w:r w:rsidR="00901E11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,</w:t>
      </w:r>
      <w:r w:rsidR="00313C10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4</w:t>
      </w:r>
      <w:r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points et </w:t>
      </w:r>
      <w:r w:rsidR="00427977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à</w:t>
      </w:r>
      <w:r w:rsidR="00313C10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moins</w:t>
      </w:r>
      <w:r w:rsidR="00326909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</w:t>
      </w:r>
      <w:r w:rsidR="00313C10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4,6</w:t>
      </w:r>
      <w:r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 points </w:t>
      </w:r>
      <w:r w:rsidR="00164979" w:rsidRPr="00BA7EA7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 xml:space="preserve">respectivement. </w:t>
      </w:r>
    </w:p>
    <w:p w:rsidR="003E7898" w:rsidRPr="00BA7EA7" w:rsidRDefault="003E7898" w:rsidP="00BA7EA7">
      <w:pPr>
        <w:spacing w:before="240"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Graphique 2 : Perception par les ménages de l'évolution passée et future du niveau de vie (soldes d'opinions) </w:t>
      </w:r>
    </w:p>
    <w:p w:rsidR="00FE6357" w:rsidRPr="00BA7EA7" w:rsidRDefault="00345C8E" w:rsidP="00BA7EA7">
      <w:pPr>
        <w:widowControl/>
        <w:spacing w:line="276" w:lineRule="auto"/>
        <w:ind w:left="-426"/>
        <w:jc w:val="center"/>
        <w:rPr>
          <w:rFonts w:asciiTheme="majorBidi" w:hAnsiTheme="majorBidi" w:cstheme="majorBidi"/>
          <w:color w:val="000000" w:themeColor="text1"/>
          <w:sz w:val="26"/>
          <w:szCs w:val="26"/>
          <w:rtl/>
          <w:lang w:bidi="ar-MA"/>
        </w:rPr>
      </w:pPr>
      <w:r w:rsidRPr="00BA7EA7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6084101" cy="3570136"/>
            <wp:effectExtent l="19050" t="0" r="11899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7898" w:rsidRPr="00BA7EA7" w:rsidRDefault="003E7898" w:rsidP="00BA7EA7">
      <w:pPr>
        <w:widowControl/>
        <w:tabs>
          <w:tab w:val="left" w:pos="709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Source : HCP, Enquête permanente de conjoncture auprès des ménages</w:t>
      </w:r>
    </w:p>
    <w:p w:rsidR="00EC2700" w:rsidRPr="00BA7EA7" w:rsidRDefault="00A33336" w:rsidP="00CA6DED">
      <w:pPr>
        <w:pStyle w:val="Paragraphedeliste"/>
        <w:numPr>
          <w:ilvl w:val="0"/>
          <w:numId w:val="8"/>
        </w:numPr>
        <w:spacing w:before="24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Evolution du chômage :</w:t>
      </w:r>
      <w:r w:rsidR="00CA6DE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perceptions moins négatives</w:t>
      </w:r>
    </w:p>
    <w:p w:rsidR="00164979" w:rsidRPr="00BA7EA7" w:rsidRDefault="00580123" w:rsidP="00BA7EA7">
      <w:pPr>
        <w:tabs>
          <w:tab w:val="left" w:pos="709"/>
        </w:tabs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 </w:t>
      </w:r>
      <w:r w:rsidR="00D55501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premier trimestre</w:t>
      </w:r>
      <w:r w:rsidR="00161D6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707360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de</w:t>
      </w:r>
      <w:r w:rsidR="00DA1780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20</w:t>
      </w:r>
      <w:r w:rsidR="00357B7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0B206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C142AB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7</w:t>
      </w:r>
      <w:r w:rsidR="000B206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6</w:t>
      </w:r>
      <w:r w:rsidR="00C142AB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0B206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contre </w:t>
      </w:r>
      <w:r w:rsidR="00050460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13</w:t>
      </w:r>
      <w:r w:rsidR="00E13405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050460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9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des ménages s’attendent à une hausse du chômage au cours des 12 prochains mois. Le solde d’opinion est resté ainsi négatif à moins </w:t>
      </w:r>
      <w:r w:rsidR="00050460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62</w:t>
      </w:r>
      <w:r w:rsidR="00E13405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050460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</w:t>
      </w:r>
      <w:r w:rsidR="00C142AB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contre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moins </w:t>
      </w:r>
      <w:r w:rsidR="00525DF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7</w:t>
      </w:r>
      <w:r w:rsidR="00C46F5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8</w:t>
      </w:r>
      <w:r w:rsidR="00E13405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C46F5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3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 </w:t>
      </w:r>
      <w:r w:rsidR="00C142AB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un trimestre auparavant et moins </w:t>
      </w:r>
      <w:r w:rsidR="00464102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7</w:t>
      </w:r>
      <w:r w:rsidR="00C46F5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0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C46F5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8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</w:t>
      </w:r>
      <w:r w:rsidR="00C142AB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un an auparavant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BA3B9E" w:rsidRPr="00BA7EA7" w:rsidRDefault="00161D6D" w:rsidP="00A74B79">
      <w:pPr>
        <w:tabs>
          <w:tab w:val="left" w:pos="709"/>
        </w:tabs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lastRenderedPageBreak/>
        <w:t>Graphique 3 : Perception par les ménages de l'évolution du nombre de chômeurs (soldes d'opinions)</w:t>
      </w:r>
    </w:p>
    <w:p w:rsidR="00184134" w:rsidRPr="00BA7EA7" w:rsidRDefault="00B13D51" w:rsidP="00BA7EA7">
      <w:pPr>
        <w:widowControl/>
        <w:tabs>
          <w:tab w:val="left" w:pos="709"/>
        </w:tabs>
        <w:spacing w:line="276" w:lineRule="auto"/>
        <w:jc w:val="center"/>
        <w:rPr>
          <w:rFonts w:asciiTheme="majorBidi" w:hAnsiTheme="majorBidi" w:cstheme="majorBidi"/>
          <w:noProof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6042992" cy="3299791"/>
            <wp:effectExtent l="19050" t="0" r="14908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7898" w:rsidRPr="00BA7EA7" w:rsidRDefault="003E7898" w:rsidP="00BA7EA7">
      <w:pPr>
        <w:pStyle w:val="Paragraphedeliste"/>
        <w:tabs>
          <w:tab w:val="left" w:pos="709"/>
        </w:tabs>
        <w:ind w:left="360"/>
        <w:rPr>
          <w:rFonts w:asciiTheme="majorBidi" w:hAnsiTheme="majorBidi" w:cstheme="majorBidi"/>
          <w:b/>
          <w:bCs/>
          <w:color w:val="000000" w:themeColor="text1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</w:rPr>
        <w:t>Source : HCP, Enquête permanente de conjoncture auprès des ménages</w:t>
      </w:r>
    </w:p>
    <w:p w:rsidR="003E7898" w:rsidRPr="00BA7EA7" w:rsidRDefault="003E7898" w:rsidP="00BA7EA7">
      <w:pPr>
        <w:pStyle w:val="Paragraphedeliste"/>
        <w:tabs>
          <w:tab w:val="left" w:pos="709"/>
        </w:tabs>
        <w:ind w:left="360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E01FA1" w:rsidRPr="00BA7EA7" w:rsidRDefault="00A33336" w:rsidP="00BA7EA7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BA7EA7">
        <w:rPr>
          <w:rFonts w:asciiTheme="majorBidi" w:hAnsiTheme="majorBidi" w:cstheme="majorBidi"/>
          <w:b/>
          <w:bCs/>
          <w:color w:val="000000"/>
          <w:sz w:val="28"/>
          <w:szCs w:val="28"/>
        </w:rPr>
        <w:t>Une c</w:t>
      </w:r>
      <w:r w:rsidR="003541C4" w:rsidRPr="00BA7EA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onjoncture </w:t>
      </w:r>
      <w:r w:rsidR="00051A04" w:rsidRPr="00BA7EA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perçue comme peu favorable à </w:t>
      </w:r>
      <w:r w:rsidR="00051A04" w:rsidRPr="00BA7EA7">
        <w:rPr>
          <w:rFonts w:asciiTheme="majorBidi" w:hAnsiTheme="majorBidi" w:cstheme="majorBidi"/>
          <w:b/>
          <w:bCs/>
          <w:color w:val="000000"/>
          <w:sz w:val="28"/>
          <w:szCs w:val="28"/>
        </w:rPr>
        <w:t>l</w:t>
      </w:r>
      <w:r w:rsidR="00051A04" w:rsidRPr="00BA7EA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’achat des biens durables </w:t>
      </w:r>
    </w:p>
    <w:p w:rsidR="00357B74" w:rsidRPr="00BA7EA7" w:rsidRDefault="00580123" w:rsidP="00BA7EA7">
      <w:pPr>
        <w:widowControl/>
        <w:tabs>
          <w:tab w:val="left" w:pos="709"/>
        </w:tabs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 </w:t>
      </w:r>
      <w:r w:rsidR="00D55501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premier trimestre</w:t>
      </w:r>
      <w:r w:rsidR="00161D6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707360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de</w:t>
      </w:r>
      <w:r w:rsidR="00DA1780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20</w:t>
      </w:r>
      <w:r w:rsidR="00357B7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172005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172005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73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926B60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contre </w:t>
      </w:r>
      <w:r w:rsidR="00172005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11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172005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7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des ménages considèrent que le moment n’est pas opportun pour effectuer des achats de biens durables. </w:t>
      </w:r>
      <w:r w:rsidR="00AF3E95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L</w:t>
      </w:r>
      <w:r w:rsidR="007933D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e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solde d’opinion </w:t>
      </w:r>
      <w:r w:rsidR="00AF3E95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 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cet indicateur est resté négatif</w:t>
      </w:r>
      <w:r w:rsidR="001E5372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avec moins 61,</w:t>
      </w:r>
      <w:r w:rsidR="00161D6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5 points </w:t>
      </w:r>
      <w:r w:rsidR="00A74B79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contre moins</w:t>
      </w:r>
      <w:r w:rsidR="00161D6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61,2 points </w:t>
      </w:r>
      <w:r w:rsidR="001E5372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 trimestre précédent </w:t>
      </w:r>
      <w:r w:rsidR="00161D6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et moins 32,6 points </w:t>
      </w:r>
      <w:r w:rsidR="001E5372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au même trimestre de l’année précédente</w:t>
      </w:r>
      <w:r w:rsidR="00161D6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DA60E1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</w:p>
    <w:p w:rsidR="00D326DA" w:rsidRPr="00BA7EA7" w:rsidRDefault="00D326DA" w:rsidP="00BA7EA7">
      <w:pPr>
        <w:widowControl/>
        <w:tabs>
          <w:tab w:val="left" w:pos="709"/>
        </w:tabs>
        <w:spacing w:line="276" w:lineRule="auto"/>
        <w:jc w:val="both"/>
        <w:rPr>
          <w:rFonts w:asciiTheme="majorBidi" w:hAnsiTheme="majorBidi" w:cstheme="majorBidi"/>
          <w:noProof/>
          <w:color w:val="000000" w:themeColor="text1"/>
          <w:sz w:val="26"/>
          <w:szCs w:val="26"/>
        </w:rPr>
      </w:pPr>
    </w:p>
    <w:p w:rsidR="00161D6D" w:rsidRPr="00BA7EA7" w:rsidRDefault="00161D6D" w:rsidP="00BA7EA7">
      <w:pPr>
        <w:tabs>
          <w:tab w:val="left" w:pos="709"/>
        </w:tabs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Graphique 4 : Perception par les ménages de l'opportunité d'achat des biens </w:t>
      </w:r>
      <w:r w:rsidR="00A74B79"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durables (</w:t>
      </w:r>
      <w:r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soldes d'opinions)</w:t>
      </w:r>
    </w:p>
    <w:p w:rsidR="00D326DA" w:rsidRPr="00BA7EA7" w:rsidRDefault="00BB3BBC" w:rsidP="00BA7EA7">
      <w:pPr>
        <w:widowControl/>
        <w:tabs>
          <w:tab w:val="left" w:pos="709"/>
        </w:tabs>
        <w:spacing w:line="276" w:lineRule="auto"/>
        <w:jc w:val="center"/>
        <w:rPr>
          <w:rFonts w:asciiTheme="majorBidi" w:hAnsiTheme="majorBidi" w:cstheme="majorBidi"/>
          <w:noProof/>
          <w:color w:val="000000" w:themeColor="text1"/>
          <w:sz w:val="26"/>
          <w:szCs w:val="26"/>
          <w:lang w:val="fr-MA"/>
        </w:rPr>
      </w:pPr>
      <w:r w:rsidRPr="00BA7EA7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6232608" cy="2751151"/>
            <wp:effectExtent l="19050" t="0" r="15792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7898" w:rsidRPr="00BA7EA7" w:rsidRDefault="00161D6D" w:rsidP="00BA7EA7">
      <w:pPr>
        <w:widowControl/>
        <w:tabs>
          <w:tab w:val="left" w:pos="709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  </w:t>
      </w:r>
      <w:r w:rsidR="003E7898" w:rsidRPr="00BA7EA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Source : HCP, Enquête permanente de conjoncture auprès des ménages</w:t>
      </w:r>
    </w:p>
    <w:p w:rsidR="009B3682" w:rsidRPr="00CA6DED" w:rsidRDefault="00CA6DED" w:rsidP="004665E2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CA6DE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Les ménages pré</w:t>
      </w:r>
      <w:r w:rsidR="004665E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voient</w:t>
      </w:r>
      <w:bookmarkStart w:id="1" w:name="_GoBack"/>
      <w:bookmarkEnd w:id="1"/>
      <w:r w:rsidRPr="00CA6DE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une amélioration de leur s</w:t>
      </w:r>
      <w:r w:rsidR="00EC2700" w:rsidRPr="00CA6DE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ituation financière </w:t>
      </w:r>
    </w:p>
    <w:p w:rsidR="00CA6DED" w:rsidRPr="00CA6DED" w:rsidRDefault="00CA6DED" w:rsidP="00CA6DED">
      <w:pPr>
        <w:pStyle w:val="Paragraphedeliste"/>
        <w:tabs>
          <w:tab w:val="left" w:pos="709"/>
        </w:tabs>
        <w:spacing w:before="240"/>
        <w:ind w:left="284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8C7E44" w:rsidRPr="00BA7EA7" w:rsidRDefault="00516548" w:rsidP="00AD0F13">
      <w:pPr>
        <w:pStyle w:val="Paragraphedeliste"/>
        <w:spacing w:before="240"/>
        <w:ind w:left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 </w:t>
      </w:r>
      <w:r w:rsidR="00D55501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premier trimestre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707360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de</w:t>
      </w:r>
      <w:r w:rsidR="00DA1780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20</w:t>
      </w:r>
      <w:r w:rsidR="0005351F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4B3E3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="00E03B6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4B3E3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55</w:t>
      </w:r>
      <w:r w:rsidR="006F045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AD0F1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8</w:t>
      </w:r>
      <w:r w:rsidR="00E03B6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% des ménages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03B6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estiment que leurs revenus couvrent leurs dépenses, </w:t>
      </w:r>
      <w:r w:rsidR="000F641A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3</w:t>
      </w:r>
      <w:r w:rsidR="004B3E3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9</w:t>
      </w:r>
      <w:r w:rsidR="00065DD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4B3E3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3</w:t>
      </w:r>
      <w:r w:rsidR="00E03B6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déclarent s’endetter ou puiser dans leur épargne et </w:t>
      </w:r>
      <w:r w:rsidR="00AD0F1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4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AD0F1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9</w:t>
      </w:r>
      <w:r w:rsidR="00E03B6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% affirment épargner une partie de leur revenu.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03B6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Le solde d’opinion </w:t>
      </w:r>
      <w:r w:rsidR="007A29D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relatif à</w:t>
      </w:r>
      <w:r w:rsidR="00E03B6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la situation financière actuelle des ménages est resté ainsi négatif, à moins </w:t>
      </w:r>
      <w:r w:rsidR="004B3E3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34</w:t>
      </w:r>
      <w:r w:rsidR="008A2B76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4B3E3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4</w:t>
      </w:r>
      <w:r w:rsidR="00E03B6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D90C0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contre </w:t>
      </w:r>
      <w:r w:rsidR="00A5425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moins </w:t>
      </w:r>
      <w:r w:rsidR="008A2B76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4B3E3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9</w:t>
      </w:r>
      <w:r w:rsidR="008A2B76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4B3E3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5B09C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points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5425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le trimestre </w:t>
      </w:r>
      <w:r w:rsidR="0005351F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précédent</w:t>
      </w:r>
      <w:r w:rsidR="00A5425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et moins </w:t>
      </w:r>
      <w:r w:rsidR="008A2B76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4B3E3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7</w:t>
      </w:r>
      <w:r w:rsidR="00A5425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4B3E3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7</w:t>
      </w:r>
      <w:r w:rsidR="005B09C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5425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une année auparavant.</w:t>
      </w:r>
    </w:p>
    <w:p w:rsidR="00BA7EA7" w:rsidRPr="00BA7EA7" w:rsidRDefault="00035053" w:rsidP="00BA7EA7">
      <w:pPr>
        <w:pStyle w:val="Paragraphedeliste"/>
        <w:spacing w:before="240"/>
        <w:ind w:left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Quant à</w:t>
      </w:r>
      <w:r w:rsidR="002B7C12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l’évolution de</w:t>
      </w:r>
      <w:r w:rsidR="00F45C72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leur </w:t>
      </w:r>
      <w:r w:rsidR="0016780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situation financière</w:t>
      </w:r>
      <w:r w:rsidR="00F45C72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au cours des 12 derniers mois</w:t>
      </w:r>
      <w:r w:rsidR="0016780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54,4</w:t>
      </w:r>
      <w:r w:rsidR="00540BE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%</w:t>
      </w:r>
      <w:r w:rsidR="005D3956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contre </w:t>
      </w:r>
      <w:r w:rsidR="001A292A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7</w:t>
      </w:r>
      <w:r w:rsidR="006F045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1A292A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0</w:t>
      </w:r>
      <w:r w:rsidR="005D3956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%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16780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des ménages considèrent qu’elle </w:t>
      </w:r>
      <w:r w:rsidR="00540BE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s’est dégradée</w:t>
      </w:r>
      <w:r w:rsidR="0016780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Cette perception reste </w:t>
      </w:r>
      <w:r w:rsidR="00F45C72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ainsi </w:t>
      </w:r>
      <w:r w:rsidR="0016780D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négative, </w:t>
      </w:r>
      <w:r w:rsidR="00F45C72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avec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F45C72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un solde d’opinion de </w:t>
      </w:r>
      <w:r w:rsidR="006617C3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moins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1A292A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47</w:t>
      </w:r>
      <w:r w:rsidR="008A2B76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1A292A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4</w:t>
      </w:r>
      <w:r w:rsidR="006617C3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E624F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contre </w:t>
      </w:r>
      <w:r w:rsidR="005B09C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moins </w:t>
      </w:r>
      <w:r w:rsidR="001A292A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39</w:t>
      </w:r>
      <w:r w:rsidR="00BE624F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1A292A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9</w:t>
      </w:r>
      <w:r w:rsidR="005B09C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 </w:t>
      </w:r>
      <w:r w:rsidR="001143FE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 </w:t>
      </w:r>
      <w:r w:rsidR="00BE624F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trimestre précèdent et moins 2</w:t>
      </w:r>
      <w:r w:rsidR="001A292A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BE624F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1A292A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9</w:t>
      </w:r>
      <w:r w:rsidR="00BE624F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 au </w:t>
      </w:r>
      <w:r w:rsidR="001143FE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même trimestre de l’année précédente</w:t>
      </w:r>
      <w:r w:rsidR="00BE624F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</w:t>
      </w:r>
    </w:p>
    <w:p w:rsidR="001A4A45" w:rsidRPr="00BA7EA7" w:rsidRDefault="00491FB6" w:rsidP="00AD0F13">
      <w:pPr>
        <w:pStyle w:val="Paragraphedeliste"/>
        <w:spacing w:before="240"/>
        <w:ind w:left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S’agissant </w:t>
      </w:r>
      <w:r w:rsidR="00B5676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de l’évolution</w:t>
      </w:r>
      <w:r w:rsidR="0037589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375898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au cours des 12 prochains mois</w:t>
      </w:r>
      <w:r w:rsidR="0037589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D41CA0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de leur situation financière</w:t>
      </w:r>
      <w:r w:rsidR="00B5676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013329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35</w:t>
      </w:r>
      <w:r w:rsidR="008A2B76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013329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="00F45C72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%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37589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des </w:t>
      </w:r>
      <w:r w:rsidR="00375898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ménages s’attendent à </w:t>
      </w:r>
      <w:r w:rsidR="00375898">
        <w:rPr>
          <w:rFonts w:asciiTheme="majorBidi" w:hAnsiTheme="majorBidi" w:cstheme="majorBidi"/>
          <w:color w:val="000000" w:themeColor="text1"/>
          <w:sz w:val="26"/>
          <w:szCs w:val="26"/>
        </w:rPr>
        <w:t>son</w:t>
      </w:r>
      <w:r w:rsidR="00375898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amélioration</w:t>
      </w:r>
      <w:r w:rsidR="0037589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6F0457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="00013329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3</w:t>
      </w:r>
      <w:r w:rsidR="006F0457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013329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8</w:t>
      </w:r>
      <w:r w:rsidR="005D3956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%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37589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à sa dégradation </w:t>
      </w:r>
      <w:r w:rsidR="00A74B79">
        <w:rPr>
          <w:rFonts w:asciiTheme="majorBidi" w:hAnsiTheme="majorBidi" w:cstheme="majorBidi"/>
          <w:color w:val="000000" w:themeColor="text1"/>
          <w:sz w:val="26"/>
          <w:szCs w:val="26"/>
        </w:rPr>
        <w:t>et 51,1</w:t>
      </w:r>
      <w:r w:rsidR="00BA7EA7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% à son</w:t>
      </w:r>
      <w:r w:rsidR="00BA7EA7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maintien au même niveau</w:t>
      </w:r>
      <w:r w:rsidR="00F45C72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. Le solde d’opinion</w:t>
      </w:r>
      <w:r w:rsidR="0037589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01E00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 cet indicateur </w:t>
      </w:r>
      <w:r w:rsidR="00375898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s’est ainsi établit </w:t>
      </w:r>
      <w:r w:rsidR="00F933F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à</w:t>
      </w:r>
      <w:r w:rsidR="0037589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150681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21</w:t>
      </w:r>
      <w:r w:rsidR="00BE624F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375898">
        <w:rPr>
          <w:rFonts w:asciiTheme="majorBidi" w:hAnsiTheme="majorBidi" w:cstheme="majorBidi"/>
          <w:color w:val="000000" w:themeColor="text1"/>
          <w:sz w:val="26"/>
          <w:szCs w:val="26"/>
        </w:rPr>
        <w:t>3</w:t>
      </w:r>
      <w:r w:rsidR="00B5676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 </w:t>
      </w:r>
      <w:r w:rsidR="008C7E4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contre</w:t>
      </w:r>
      <w:r w:rsidR="0037589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150681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0</w:t>
      </w:r>
      <w:r w:rsidR="001C14A6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150681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6</w:t>
      </w:r>
      <w:r w:rsidR="0037589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5676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points un trimestre auparavant et </w:t>
      </w:r>
      <w:r w:rsidR="00150681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8</w:t>
      </w:r>
      <w:r w:rsidR="008A2B76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150681" w:rsidRPr="00375898">
        <w:rPr>
          <w:rFonts w:asciiTheme="majorBidi" w:hAnsiTheme="majorBidi" w:cstheme="majorBidi"/>
          <w:color w:val="000000" w:themeColor="text1"/>
          <w:sz w:val="26"/>
          <w:szCs w:val="26"/>
        </w:rPr>
        <w:t>5</w:t>
      </w:r>
      <w:r w:rsidR="00B5676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</w:t>
      </w:r>
      <w:r w:rsidR="0037589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5676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un an auparavant.</w:t>
      </w:r>
    </w:p>
    <w:p w:rsidR="001A4A45" w:rsidRPr="00BA7EA7" w:rsidRDefault="001A4A45" w:rsidP="00A74B79">
      <w:pPr>
        <w:tabs>
          <w:tab w:val="left" w:pos="709"/>
        </w:tabs>
        <w:spacing w:line="276" w:lineRule="auto"/>
        <w:jc w:val="both"/>
        <w:rPr>
          <w:rFonts w:asciiTheme="majorBidi" w:eastAsia="Calibri" w:hAnsiTheme="majorBidi" w:cstheme="majorBidi"/>
          <w:color w:val="000000" w:themeColor="text1"/>
          <w:sz w:val="26"/>
          <w:szCs w:val="26"/>
          <w:lang w:eastAsia="en-US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Graphique 5 : Perception par les ménages de leurs situations financières </w:t>
      </w:r>
      <w:r w:rsidR="00A74B79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(</w:t>
      </w:r>
      <w:r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soldes d'opinions) </w:t>
      </w:r>
    </w:p>
    <w:p w:rsidR="002125D5" w:rsidRPr="00BA7EA7" w:rsidRDefault="00CC555C" w:rsidP="00BA7EA7">
      <w:pPr>
        <w:widowControl/>
        <w:spacing w:before="240" w:line="276" w:lineRule="auto"/>
        <w:jc w:val="center"/>
        <w:rPr>
          <w:rFonts w:asciiTheme="majorBidi" w:hAnsiTheme="majorBidi" w:cstheme="majorBidi"/>
          <w:noProof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6322309" cy="3896139"/>
            <wp:effectExtent l="19050" t="0" r="21341" b="9111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E7898" w:rsidRPr="00BA7EA7" w:rsidRDefault="003E7898" w:rsidP="00BA7EA7">
      <w:pPr>
        <w:widowControl/>
        <w:tabs>
          <w:tab w:val="left" w:pos="709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Source : HCP, Enquête permanente de conjoncture auprès des ménages</w:t>
      </w:r>
    </w:p>
    <w:p w:rsidR="000151DD" w:rsidRDefault="000151DD" w:rsidP="00BA7EA7">
      <w:pPr>
        <w:widowControl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BA7EA7" w:rsidRDefault="00BA7EA7" w:rsidP="00BA7EA7">
      <w:pPr>
        <w:widowControl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BA7EA7" w:rsidRDefault="00BA7EA7" w:rsidP="00BA7EA7">
      <w:pPr>
        <w:widowControl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250C4C" w:rsidRDefault="00250C4C" w:rsidP="00BA7EA7">
      <w:pPr>
        <w:widowControl/>
        <w:spacing w:line="276" w:lineRule="auto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0E21A1" w:rsidRPr="00BA7EA7" w:rsidRDefault="000E21A1" w:rsidP="00BA7EA7">
      <w:pPr>
        <w:pStyle w:val="Paragraphedeliste"/>
        <w:numPr>
          <w:ilvl w:val="0"/>
          <w:numId w:val="9"/>
        </w:numPr>
        <w:ind w:left="284" w:hanging="284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 xml:space="preserve">Evolution d’autres indicateurs </w:t>
      </w:r>
      <w:r w:rsidR="005D5DB2" w:rsidRPr="00BA7EA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trimestriels </w:t>
      </w:r>
      <w:r w:rsidR="00D75C4F" w:rsidRPr="00BA7EA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 la conjoncture</w:t>
      </w:r>
    </w:p>
    <w:p w:rsidR="00345EE0" w:rsidRPr="00BA7EA7" w:rsidRDefault="00D52D57" w:rsidP="00BA7EA7">
      <w:pPr>
        <w:widowControl/>
        <w:tabs>
          <w:tab w:val="left" w:pos="709"/>
        </w:tabs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  <w:rtl/>
          <w:lang w:bidi="ar-MA"/>
        </w:rPr>
      </w:pP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L’enquête fournit également des données trimestrielles sur l</w:t>
      </w:r>
      <w:r w:rsidR="001F7D3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 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perception des ménages relatives à d’autres aspects des conditions de vie. Il s’agit en particulier de la </w:t>
      </w:r>
      <w:r w:rsidR="001F7D3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capacité des ménages à épargner et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74B79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de l’évolution</w:t>
      </w:r>
      <w:r w:rsidR="001F7D34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des prix des produits alimentaires</w:t>
      </w:r>
      <w:r w:rsidR="0071373B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</w:t>
      </w:r>
    </w:p>
    <w:p w:rsidR="00BA7EA7" w:rsidRPr="00BA7EA7" w:rsidRDefault="00BA7EA7" w:rsidP="00BA7EA7">
      <w:pPr>
        <w:widowControl/>
        <w:tabs>
          <w:tab w:val="left" w:pos="709"/>
        </w:tabs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EC2700" w:rsidRPr="00BA7EA7" w:rsidRDefault="00261ED7" w:rsidP="00CA6DED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A7EA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Perception </w:t>
      </w:r>
      <w:r w:rsidR="00CA6DED">
        <w:rPr>
          <w:rFonts w:asciiTheme="majorBidi" w:hAnsiTheme="majorBidi" w:cstheme="majorBidi"/>
          <w:b/>
          <w:bCs/>
          <w:color w:val="000000"/>
          <w:sz w:val="28"/>
          <w:szCs w:val="28"/>
        </w:rPr>
        <w:t>moins</w:t>
      </w:r>
      <w:r w:rsidR="004C592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BA7EA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pessimiste de la capacité future des </w:t>
      </w:r>
      <w:r w:rsidR="00EC2700" w:rsidRPr="00BA7EA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ménages </w:t>
      </w:r>
      <w:r w:rsidRPr="00BA7EA7">
        <w:rPr>
          <w:rFonts w:asciiTheme="majorBidi" w:hAnsiTheme="majorBidi" w:cstheme="majorBidi"/>
          <w:b/>
          <w:bCs/>
          <w:color w:val="000000"/>
          <w:sz w:val="28"/>
          <w:szCs w:val="28"/>
        </w:rPr>
        <w:t>à épargner</w:t>
      </w:r>
      <w:r w:rsidR="00EC2700" w:rsidRPr="00BA7EA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  </w:t>
      </w:r>
    </w:p>
    <w:p w:rsidR="006821CC" w:rsidRPr="00912930" w:rsidRDefault="00AE5641" w:rsidP="00CA6DED">
      <w:pPr>
        <w:widowControl/>
        <w:tabs>
          <w:tab w:val="left" w:pos="709"/>
        </w:tabs>
        <w:spacing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  <w:rtl/>
          <w:lang w:bidi="ar-MA"/>
        </w:rPr>
      </w:pPr>
      <w:r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 </w:t>
      </w:r>
      <w:r w:rsidR="00D55501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premier trimestre</w:t>
      </w:r>
      <w:r w:rsidR="00BF6A79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707360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de</w:t>
      </w:r>
      <w:r w:rsidR="00DA1780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20</w:t>
      </w:r>
      <w:r w:rsidR="00C96AEA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2B7F41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="00D72CF7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912930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26FDF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="002B7F41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9</w:t>
      </w:r>
      <w:r w:rsidR="00626FDF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2B7F41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6</w:t>
      </w:r>
      <w:r w:rsidR="00932455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%</w:t>
      </w:r>
      <w:r w:rsidR="00912930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256C03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contre </w:t>
      </w:r>
      <w:r w:rsidR="001D58BD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8</w:t>
      </w:r>
      <w:r w:rsidR="002B7F41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0</w:t>
      </w:r>
      <w:r w:rsidR="00256C03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2B7F41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4</w:t>
      </w:r>
      <w:r w:rsidR="00256C03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%</w:t>
      </w:r>
      <w:r w:rsidR="00962AD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DE048F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des ménages</w:t>
      </w:r>
      <w:r w:rsidR="00912930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4153FC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s’attendent à </w:t>
      </w:r>
      <w:r w:rsidR="00511C57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épargner au cours des 12 prochains </w:t>
      </w:r>
      <w:r w:rsidR="0005706F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mois</w:t>
      </w:r>
      <w:r w:rsidR="00507FF6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4153FC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Le </w:t>
      </w:r>
      <w:r w:rsidR="00EA79FB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solde d’opinion</w:t>
      </w:r>
      <w:r w:rsidR="00B14A37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relatif à cet indicateur </w:t>
      </w:r>
      <w:r w:rsidR="00626FDF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est resté négatif, à moins 6</w:t>
      </w:r>
      <w:r w:rsidR="002B7F41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0</w:t>
      </w:r>
      <w:r w:rsidR="00626FDF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B36B99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8</w:t>
      </w:r>
      <w:r w:rsidR="00626FDF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</w:t>
      </w:r>
      <w:r w:rsidR="00A01B7C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au lieu de</w:t>
      </w:r>
      <w:r w:rsidR="00912930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01B7C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moins 6</w:t>
      </w:r>
      <w:r w:rsidR="002B7F41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5</w:t>
      </w:r>
      <w:r w:rsidR="005F3BED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2B7F41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8</w:t>
      </w:r>
      <w:r w:rsidR="00A01B7C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 au trimestre </w:t>
      </w:r>
      <w:r w:rsidR="00B36B99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précédent</w:t>
      </w:r>
      <w:r w:rsidR="00A01B7C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A6DED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et </w:t>
      </w:r>
      <w:r w:rsidR="00912930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au</w:t>
      </w:r>
      <w:r w:rsidR="00EC4A64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01B7C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même trimestre de l’année passée</w:t>
      </w:r>
      <w:r w:rsidR="00626FDF" w:rsidRPr="00912930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837999" w:rsidRPr="00BA7EA7" w:rsidRDefault="007B2888" w:rsidP="00BC7C39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Prix</w:t>
      </w:r>
      <w:r w:rsidR="00261ED7" w:rsidRPr="00BA7EA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des produits </w:t>
      </w:r>
      <w:r w:rsidR="00A74B79" w:rsidRPr="00BA7EA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alimentaires</w:t>
      </w:r>
      <w:r w:rsidR="00A74B7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:</w:t>
      </w:r>
      <w:r w:rsidR="00BC7C3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Attente d’une hausse moins prononcée</w:t>
      </w:r>
    </w:p>
    <w:p w:rsidR="00EA79FB" w:rsidRPr="00BA7EA7" w:rsidRDefault="00CE443B" w:rsidP="008A49DB">
      <w:pPr>
        <w:spacing w:before="240"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 </w:t>
      </w:r>
      <w:r w:rsidR="00D55501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premier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D55501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trimestre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707360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de</w:t>
      </w:r>
      <w:r w:rsidR="00DA1780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20</w:t>
      </w:r>
      <w:r w:rsidR="00C96AEA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EC4A64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="00985AB3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1052EC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74</w:t>
      </w:r>
      <w:r w:rsidR="00C96AEA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,9</w:t>
      </w:r>
      <w:r w:rsidR="00563170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%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742AC3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des ménages</w:t>
      </w:r>
      <w:r w:rsidR="00912930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5F72D8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déclarent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644C5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que les prix des produits alimentaires ont augmenté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A013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 cours des </w:t>
      </w:r>
      <w:r w:rsidR="00E009EE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12 derniers mois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727BBA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contre 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0,8% seulement qui </w:t>
      </w:r>
      <w:r w:rsidR="005F72D8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ressentent leur</w:t>
      </w:r>
      <w:r w:rsidR="00932455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diminution</w:t>
      </w:r>
      <w:r w:rsidR="00D77F2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</w:t>
      </w:r>
      <w:r w:rsidR="00EA79F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Le solde d’opinion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540BE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est </w:t>
      </w:r>
      <w:r w:rsidR="00807B58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ainsi </w:t>
      </w:r>
      <w:r w:rsidR="004153FC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resté </w:t>
      </w:r>
      <w:r w:rsidR="00540BE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négatif, </w:t>
      </w:r>
      <w:r w:rsidR="00EA79F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à moins </w:t>
      </w:r>
      <w:r w:rsidR="001052EC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74</w:t>
      </w:r>
      <w:r w:rsidR="00C96AEA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="00EA79F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points, après avoir été </w:t>
      </w:r>
      <w:r w:rsidR="00B633E3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de</w:t>
      </w:r>
      <w:r w:rsidR="00EA79F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moins </w:t>
      </w:r>
      <w:r w:rsidR="001052EC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74</w:t>
      </w:r>
      <w:r w:rsidR="00727BBA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1052EC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7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A79F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points 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un trimestre auparavant </w:t>
      </w:r>
      <w:r w:rsidR="00EA79F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et </w:t>
      </w:r>
      <w:r w:rsidR="00146EDA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moins </w:t>
      </w:r>
      <w:r w:rsidR="00C96AEA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8</w:t>
      </w:r>
      <w:r w:rsidR="001052EC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C96AEA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1052EC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8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A79F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points une année auparavant.</w:t>
      </w:r>
    </w:p>
    <w:p w:rsidR="00DF62C2" w:rsidRPr="00BA7EA7" w:rsidRDefault="004153FC" w:rsidP="008A49DB">
      <w:pPr>
        <w:spacing w:before="240"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Au cours des 12 prochains mois, </w:t>
      </w:r>
      <w:r w:rsidR="00B633E3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l</w:t>
      </w:r>
      <w:r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es prix </w:t>
      </w:r>
      <w:r w:rsidR="00B633E3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des produits alimentaires </w:t>
      </w:r>
      <w:r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devraient continuer à augmenter selon </w:t>
      </w:r>
      <w:r w:rsidR="00EC1BE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64</w:t>
      </w:r>
      <w:r w:rsidR="00C96AEA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EC1BE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0</w:t>
      </w:r>
      <w:r w:rsidR="00F77135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%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2A7E5D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des ménages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0A6135" w:rsidRPr="008A49DB">
        <w:rPr>
          <w:rFonts w:asciiTheme="majorBidi" w:hAnsiTheme="majorBidi" w:cstheme="majorBidi"/>
          <w:color w:val="000000" w:themeColor="text1"/>
          <w:sz w:val="26"/>
          <w:szCs w:val="26"/>
          <w:lang w:bidi="ar-DZ"/>
        </w:rPr>
        <w:t>contre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  <w:lang w:bidi="ar-DZ"/>
        </w:rPr>
        <w:t xml:space="preserve"> </w:t>
      </w:r>
      <w:r w:rsidR="00EC1BE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3</w:t>
      </w:r>
      <w:r w:rsidR="00C96AEA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EC1BE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9</w:t>
      </w:r>
      <w:r w:rsidR="006E2B29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%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0A6135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seulement qui </w:t>
      </w:r>
      <w:r w:rsidR="006E2B29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s’attendent à leur baisse. </w:t>
      </w:r>
      <w:r w:rsidR="00540BE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L</w:t>
      </w:r>
      <w:r w:rsidR="00376AC0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 </w:t>
      </w:r>
      <w:r w:rsidR="00EA013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solde d’opinion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2A1529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est </w:t>
      </w:r>
      <w:r w:rsidR="00807B58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ainsi </w:t>
      </w:r>
      <w:r w:rsidR="002A1529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resté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2A1529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négatif, </w:t>
      </w:r>
      <w:r w:rsidR="00580F2D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se situant </w:t>
      </w:r>
      <w:r w:rsidR="002A1529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à</w:t>
      </w:r>
      <w:r w:rsidR="00EA79F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moins </w:t>
      </w:r>
      <w:r w:rsidR="00EC1BE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60</w:t>
      </w:r>
      <w:r w:rsidR="008A1F00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="00511BC9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</w:t>
      </w:r>
      <w:r w:rsidR="00F933F4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E1790A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au lieu de</w:t>
      </w:r>
      <w:r w:rsidR="00540BE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moins </w:t>
      </w:r>
      <w:r w:rsidR="00EC1BE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64</w:t>
      </w:r>
      <w:r w:rsidR="008A1F00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EC1BE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6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540BE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points enregistré</w:t>
      </w:r>
      <w:r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s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1790A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un trimestre</w:t>
      </w:r>
      <w:r w:rsidR="008A49DB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FA52FF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auparavant</w:t>
      </w:r>
      <w:r w:rsidR="00CB5DC1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et moins </w:t>
      </w:r>
      <w:r w:rsidR="008A1F00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8</w:t>
      </w:r>
      <w:r w:rsidR="00EC1BE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8A1F00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EC1BE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6</w:t>
      </w:r>
      <w:r w:rsidR="00CB5DC1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points une année passée</w:t>
      </w:r>
      <w:r w:rsidR="00540BE7" w:rsidRPr="008A49DB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527651" w:rsidRPr="00BA7EA7" w:rsidRDefault="00912930" w:rsidP="00912930">
      <w:pPr>
        <w:spacing w:before="240" w:line="276" w:lineRule="auto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Graphique 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6</w:t>
      </w:r>
      <w:r w:rsidRPr="00BA7EA7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 :</w:t>
      </w:r>
      <w:r w:rsidRPr="0091293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912930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Perception par les ménages des évolutions passée et future des prix des produits </w:t>
      </w:r>
      <w:r w:rsidR="00A74B79" w:rsidRPr="00912930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alimentaires (</w:t>
      </w:r>
      <w:r w:rsidRPr="00912930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soldes d'opinions) </w:t>
      </w:r>
    </w:p>
    <w:p w:rsidR="003E7898" w:rsidRPr="00912930" w:rsidRDefault="00012F82" w:rsidP="00912930">
      <w:pPr>
        <w:widowControl/>
        <w:autoSpaceDE/>
        <w:autoSpaceDN/>
        <w:adjustRightInd/>
        <w:spacing w:before="100" w:after="240" w:line="276" w:lineRule="auto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BA7EA7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>
            <wp:extent cx="6353810" cy="2981739"/>
            <wp:effectExtent l="19050" t="0" r="27940" b="9111"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E7898" w:rsidRPr="0091293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Source : HCP, Enquête permanente de conjoncture auprès des ménages</w:t>
      </w:r>
    </w:p>
    <w:p w:rsidR="00B67B3D" w:rsidRPr="00BA7EA7" w:rsidRDefault="00B67B3D" w:rsidP="00BA7EA7">
      <w:pPr>
        <w:tabs>
          <w:tab w:val="left" w:pos="9214"/>
        </w:tabs>
        <w:spacing w:line="276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3A0725" w:rsidRPr="00BA7EA7" w:rsidRDefault="00C72318" w:rsidP="00BA7EA7">
      <w:pPr>
        <w:spacing w:line="276" w:lineRule="auto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lastRenderedPageBreak/>
        <w:t>Ci-</w:t>
      </w:r>
      <w:r w:rsidR="00A74B79" w:rsidRPr="00BA7EA7">
        <w:rPr>
          <w:rFonts w:asciiTheme="majorBidi" w:hAnsiTheme="majorBidi" w:cstheme="majorBidi"/>
          <w:color w:val="000000" w:themeColor="text1"/>
          <w:sz w:val="26"/>
          <w:szCs w:val="26"/>
        </w:rPr>
        <w:t>joint les</w:t>
      </w:r>
      <w:r w:rsidRPr="00BA7EA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détails des différents indicateurs et un rappel des principaux concepts.</w:t>
      </w:r>
    </w:p>
    <w:tbl>
      <w:tblPr>
        <w:tblpPr w:leftFromText="141" w:rightFromText="141" w:vertAnchor="text" w:horzAnchor="margin" w:tblpY="289"/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0"/>
      </w:tblGrid>
      <w:tr w:rsidR="003A0725" w:rsidRPr="00BA7EA7" w:rsidTr="00287AFB">
        <w:trPr>
          <w:trHeight w:val="8046"/>
        </w:trPr>
        <w:tc>
          <w:tcPr>
            <w:tcW w:w="9910" w:type="dxa"/>
          </w:tcPr>
          <w:p w:rsidR="000013E4" w:rsidRPr="00BA7EA7" w:rsidRDefault="000013E4" w:rsidP="00BA7EA7">
            <w:pPr>
              <w:spacing w:line="276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</w:p>
          <w:p w:rsidR="00C51B7C" w:rsidRPr="00BA7EA7" w:rsidRDefault="00C51B7C" w:rsidP="00BA7EA7">
            <w:pPr>
              <w:spacing w:line="276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BA7EA7" w:rsidRDefault="000013E4" w:rsidP="00BA7EA7">
            <w:pPr>
              <w:spacing w:line="276" w:lineRule="auto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  <w:p w:rsidR="003A0725" w:rsidRPr="00BA7EA7" w:rsidRDefault="003A0725" w:rsidP="00BA7EA7">
            <w:pPr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br w:type="page"/>
              <w:t xml:space="preserve"> Rappelons</w:t>
            </w:r>
            <w:r w:rsidR="00C51B7C"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, par ailleurs</w:t>
            </w:r>
            <w:r w:rsidR="00A74B79"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, que</w:t>
            </w: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 :</w:t>
            </w:r>
          </w:p>
          <w:p w:rsidR="003A0725" w:rsidRPr="00BA7EA7" w:rsidRDefault="003A0725" w:rsidP="00BA7EA7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les questions abordées sont qualitatives à 3 modalités (amélioratio</w:t>
            </w:r>
            <w:r w:rsidR="00D72CF7"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n, stagnation et</w:t>
            </w: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détérioration). </w:t>
            </w:r>
            <w:r w:rsidR="00A74B79"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Les évolutions</w:t>
            </w: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se réfèrent à une période de 12 mois. Les résultats sont présentés sous </w:t>
            </w:r>
            <w:r w:rsidR="00A74B79"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forme de</w:t>
            </w: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soldes (différence entre les pourcentages des réponses « amélioration » </w:t>
            </w:r>
            <w:r w:rsidR="00A74B79"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et des</w:t>
            </w: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réponses «détérioration»). Le niveau des soldes n’est pas directement interprétable, c’est leur évolution qui est analysée. </w:t>
            </w:r>
          </w:p>
          <w:p w:rsidR="003A0725" w:rsidRPr="00BA7EA7" w:rsidRDefault="003A0725" w:rsidP="00BA7EA7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BA7EA7" w:rsidRDefault="00A74B79" w:rsidP="00BA7EA7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évolution passée</w:t>
            </w:r>
            <w:r w:rsidR="003A0725"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du niveau de vie ;</w:t>
            </w:r>
          </w:p>
          <w:p w:rsidR="003A0725" w:rsidRPr="00BA7EA7" w:rsidRDefault="003A0725" w:rsidP="00BA7EA7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perspective d'évolution du niveau de vie ;</w:t>
            </w:r>
          </w:p>
          <w:p w:rsidR="003A0725" w:rsidRPr="00BA7EA7" w:rsidRDefault="003A0725" w:rsidP="00BA7EA7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perspective d'évolution du nombre de chômeurs ;</w:t>
            </w:r>
          </w:p>
          <w:p w:rsidR="003A0725" w:rsidRPr="00BA7EA7" w:rsidRDefault="003A0725" w:rsidP="00BA7EA7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opportunité d'achat de biens </w:t>
            </w:r>
            <w:r w:rsidR="00A74B79"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durables ;</w:t>
            </w:r>
          </w:p>
          <w:p w:rsidR="003A0725" w:rsidRPr="00BA7EA7" w:rsidRDefault="003A0725" w:rsidP="00BA7EA7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situation financière actuelle des ménages ;</w:t>
            </w:r>
          </w:p>
          <w:p w:rsidR="003A0725" w:rsidRPr="00BA7EA7" w:rsidRDefault="00A74B79" w:rsidP="00BA7EA7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évolution passée</w:t>
            </w:r>
            <w:r w:rsidR="003A0725"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de la situation financière des ménages ;</w:t>
            </w:r>
          </w:p>
          <w:p w:rsidR="003A0725" w:rsidRPr="00BA7EA7" w:rsidRDefault="00A74B79" w:rsidP="00BA7EA7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évolution future</w:t>
            </w:r>
            <w:r w:rsidR="003A0725"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de la situation financière des ménages.</w:t>
            </w:r>
          </w:p>
          <w:p w:rsidR="003A0725" w:rsidRPr="00BA7EA7" w:rsidRDefault="003A0725" w:rsidP="00BA7EA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L’ICM est </w:t>
            </w:r>
            <w:r w:rsidR="00A74B79"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la moyenne</w:t>
            </w: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arithmétique simple </w:t>
            </w:r>
            <w:r w:rsidR="00A74B79"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des soldes</w:t>
            </w: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des 7 indicateurs, augmentée de 100, sa valeur varie ainsi de 0 à 200.</w:t>
            </w:r>
          </w:p>
          <w:p w:rsidR="003A0725" w:rsidRPr="00BA7EA7" w:rsidRDefault="003A0725" w:rsidP="00BC7C3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Des tests statistiques de Fisher sur la série de l’indice de confiance des ménages</w:t>
            </w:r>
            <w:r w:rsidR="00B67B3D"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durant</w:t>
            </w: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la période allant de 2008 à </w:t>
            </w:r>
            <w:r w:rsidR="00BC7C39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2019</w:t>
            </w: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, ont confirmé l’absence des variations saisonnières stables et mobiles.</w:t>
            </w:r>
          </w:p>
          <w:p w:rsidR="003A0725" w:rsidRPr="00BA7EA7" w:rsidRDefault="003A0725" w:rsidP="00BA7EA7">
            <w:pPr>
              <w:spacing w:line="276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Pour plus d’informations sur les aspects méthodologiques de cette enquête, consulter le site web du HCP </w:t>
            </w:r>
            <w:r w:rsidR="00A74B79" w:rsidRPr="00BA7EA7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au </w:t>
            </w:r>
            <w:hyperlink r:id="rId14" w:history="1">
              <w:r w:rsidRPr="00BA7EA7">
                <w:rPr>
                  <w:rStyle w:val="Lienhypertexte"/>
                  <w:rFonts w:asciiTheme="majorBidi" w:hAnsiTheme="majorBidi" w:cstheme="majorBidi"/>
                  <w:color w:val="000000" w:themeColor="text1"/>
                  <w:sz w:val="26"/>
                  <w:szCs w:val="26"/>
                </w:rPr>
                <w:t>www.hcp.ma</w:t>
              </w:r>
            </w:hyperlink>
          </w:p>
        </w:tc>
      </w:tr>
    </w:tbl>
    <w:p w:rsidR="001F5970" w:rsidRPr="00BA7EA7" w:rsidRDefault="001F5970" w:rsidP="00BA7EA7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:rsidR="001F5970" w:rsidRPr="00BA7EA7" w:rsidRDefault="003B45B1" w:rsidP="00BA7EA7">
      <w:pPr>
        <w:spacing w:line="276" w:lineRule="auto"/>
        <w:ind w:left="-142"/>
        <w:rPr>
          <w:rFonts w:asciiTheme="majorBidi" w:hAnsiTheme="majorBidi" w:cstheme="majorBidi"/>
          <w:b/>
          <w:color w:val="000000" w:themeColor="text1"/>
          <w:sz w:val="26"/>
          <w:szCs w:val="26"/>
        </w:rPr>
        <w:sectPr w:rsidR="001F5970" w:rsidRPr="00BA7EA7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  <w:r>
        <w:rPr>
          <w:rFonts w:asciiTheme="majorBidi" w:hAnsiTheme="majorBidi" w:cstheme="majorBidi"/>
          <w:b/>
          <w:color w:val="000000" w:themeColor="text1"/>
          <w:sz w:val="26"/>
          <w:szCs w:val="26"/>
        </w:rPr>
        <w:t xml:space="preserve">          </w:t>
      </w:r>
    </w:p>
    <w:p w:rsidR="00FD508C" w:rsidRPr="007450B8" w:rsidRDefault="00F80338" w:rsidP="00250C4C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450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Evolution</w:t>
      </w:r>
      <w:r w:rsidR="005D5B33" w:rsidRPr="007450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de l’I</w:t>
      </w:r>
      <w:r w:rsidR="00C35BF2" w:rsidRPr="007450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ndice de </w:t>
      </w:r>
      <w:r w:rsidR="005D5B33" w:rsidRPr="007450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</w:t>
      </w:r>
      <w:r w:rsidR="00C35BF2" w:rsidRPr="007450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onfiance des </w:t>
      </w:r>
      <w:r w:rsidR="005D5B33" w:rsidRPr="007450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</w:t>
      </w:r>
      <w:r w:rsidR="00C35BF2" w:rsidRPr="007450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énages (ICM) </w:t>
      </w:r>
      <w:r w:rsidR="005D5B33" w:rsidRPr="007450B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et de ses composantes</w:t>
      </w:r>
      <w:r w:rsidR="00AA634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</w:t>
      </w:r>
    </w:p>
    <w:p w:rsidR="00AC4978" w:rsidRPr="00BA7EA7" w:rsidRDefault="00AC4978" w:rsidP="00BA7EA7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tbl>
      <w:tblPr>
        <w:tblW w:w="16067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2767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9323ED" w:rsidRPr="00BA7EA7" w:rsidTr="002671FD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3ED" w:rsidRPr="009323ED" w:rsidRDefault="009323ED" w:rsidP="009323E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bookmarkStart w:id="2" w:name="OLE_LINK1"/>
          </w:p>
          <w:p w:rsidR="009323ED" w:rsidRPr="009323ED" w:rsidRDefault="009323ED" w:rsidP="009323ED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323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Indice de Confiance des Ménages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T1/15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T2/15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T3/15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T4/15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T1/16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T2/16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T3/16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T4/16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T1/17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T2/17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T3/17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T4/17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T1/18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T2/18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T3/18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T4/18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T1/19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T2/19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T3/19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T4/19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T1/20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T2/20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T3/20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T4/20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3ED" w:rsidRPr="00935CCF" w:rsidRDefault="009323ED" w:rsidP="002671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T1/21</w:t>
            </w:r>
          </w:p>
        </w:tc>
      </w:tr>
      <w:tr w:rsidR="009323ED" w:rsidRPr="00BA7EA7" w:rsidTr="00305983">
        <w:trPr>
          <w:trHeight w:val="3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3ED" w:rsidRPr="009323E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2671F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2671F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2671F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2671F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2671F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2671F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2671F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2671F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2671F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2671F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2671F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2671F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2671F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2671F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2671F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23ED" w:rsidRPr="002671FD" w:rsidRDefault="009323ED" w:rsidP="00BA7EA7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ED" w:rsidRPr="002671FD" w:rsidRDefault="009323ED" w:rsidP="00BA7EA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3ED" w:rsidRPr="002671FD" w:rsidRDefault="009323ED" w:rsidP="00BA7EA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ED" w:rsidRPr="002671FD" w:rsidRDefault="009323ED" w:rsidP="00BA7EA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3ED" w:rsidRPr="002671FD" w:rsidRDefault="009323ED" w:rsidP="00BA7EA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3ED" w:rsidRPr="002671FD" w:rsidRDefault="009323ED" w:rsidP="00BA7EA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3ED" w:rsidRPr="002671FD" w:rsidRDefault="009323ED" w:rsidP="00BA7EA7">
            <w:pPr>
              <w:spacing w:before="240" w:line="276" w:lineRule="auto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3ED" w:rsidRPr="002671FD" w:rsidRDefault="009323ED" w:rsidP="00BA7EA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60 ,6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3ED" w:rsidRPr="002671FD" w:rsidRDefault="009323ED" w:rsidP="00BA7EA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3ED" w:rsidRPr="002671FD" w:rsidRDefault="009323ED" w:rsidP="00BA7EA7">
            <w:pPr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671FD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68,3</w:t>
            </w:r>
          </w:p>
        </w:tc>
      </w:tr>
      <w:tr w:rsidR="00935CCF" w:rsidRPr="00BA7EA7" w:rsidTr="00935CCF">
        <w:trPr>
          <w:trHeight w:val="7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23ED" w:rsidRDefault="00AC4978" w:rsidP="00BA7EA7">
            <w:pPr>
              <w:widowControl/>
              <w:autoSpaceDE/>
              <w:autoSpaceDN/>
              <w:adjustRightInd/>
              <w:spacing w:before="240" w:line="276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323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Perspective d'évolution du nombre de chômeur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  <w:t>-70,8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sz w:val="16"/>
                <w:szCs w:val="16"/>
              </w:rPr>
              <w:t>-82,0</w:t>
            </w:r>
          </w:p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255396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-62,2</w:t>
            </w:r>
          </w:p>
        </w:tc>
      </w:tr>
      <w:tr w:rsidR="00935CCF" w:rsidRPr="00BA7EA7" w:rsidTr="00935CC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23ED" w:rsidRDefault="009B46B1" w:rsidP="00BA7EA7">
            <w:pPr>
              <w:widowControl/>
              <w:autoSpaceDE/>
              <w:autoSpaceDN/>
              <w:adjustRightInd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323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Evolution passée</w:t>
            </w:r>
            <w:r w:rsidR="00AC4978" w:rsidRPr="009323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du niveau de vie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  <w:t>-19,8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255396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-50,5</w:t>
            </w:r>
          </w:p>
        </w:tc>
      </w:tr>
      <w:tr w:rsidR="00935CCF" w:rsidRPr="00BA7EA7" w:rsidTr="00935CCF">
        <w:trPr>
          <w:trHeight w:val="7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23ED" w:rsidRDefault="00AC4978" w:rsidP="00BA7EA7">
            <w:pPr>
              <w:widowControl/>
              <w:autoSpaceDE/>
              <w:autoSpaceDN/>
              <w:adjustRightInd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323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Perspective d'évolution du niveau de vie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  <w:t>-4,6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255396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13,2</w:t>
            </w:r>
          </w:p>
        </w:tc>
      </w:tr>
      <w:tr w:rsidR="00935CCF" w:rsidRPr="00BA7EA7" w:rsidTr="00935CCF">
        <w:trPr>
          <w:trHeight w:val="3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23ED" w:rsidRDefault="00AC4978" w:rsidP="00BA7EA7">
            <w:pPr>
              <w:widowControl/>
              <w:autoSpaceDE/>
              <w:autoSpaceDN/>
              <w:adjustRightInd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323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Opportunité d'achat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  <w:t>-32,6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255396" w:rsidP="009323ED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-61,</w:t>
            </w:r>
            <w:r w:rsidR="009323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</w:tr>
      <w:tr w:rsidR="00935CCF" w:rsidRPr="00BA7EA7" w:rsidTr="00935CCF">
        <w:trPr>
          <w:trHeight w:val="7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23ED" w:rsidRDefault="00AC4978" w:rsidP="00BA7EA7">
            <w:pPr>
              <w:widowControl/>
              <w:autoSpaceDE/>
              <w:autoSpaceDN/>
              <w:adjustRightInd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323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Situation financière actuelle des ménages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  <w:t>-27,7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255396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-34,4</w:t>
            </w:r>
          </w:p>
        </w:tc>
      </w:tr>
      <w:tr w:rsidR="00935CCF" w:rsidRPr="00BA7EA7" w:rsidTr="00935CCF">
        <w:trPr>
          <w:trHeight w:val="9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23ED" w:rsidRDefault="009B46B1" w:rsidP="00BA7EA7">
            <w:pPr>
              <w:widowControl/>
              <w:autoSpaceDE/>
              <w:autoSpaceDN/>
              <w:adjustRightInd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323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Evolution passée</w:t>
            </w:r>
            <w:r w:rsidR="00AC4978" w:rsidRPr="009323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de la situation financière des ménages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  <w:t>-22,9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255396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-47,4</w:t>
            </w:r>
          </w:p>
        </w:tc>
      </w:tr>
      <w:tr w:rsidR="00935CCF" w:rsidRPr="00BA7EA7" w:rsidTr="00935CCF">
        <w:trPr>
          <w:trHeight w:val="9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23ED" w:rsidRDefault="009B46B1" w:rsidP="00BA7EA7">
            <w:pPr>
              <w:widowControl/>
              <w:autoSpaceDE/>
              <w:autoSpaceDN/>
              <w:adjustRightInd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323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Evolution future</w:t>
            </w:r>
            <w:r w:rsidR="00AC4978" w:rsidRPr="009323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de la situation financière des ménages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bCs/>
                <w:color w:val="000000"/>
                <w:sz w:val="16"/>
                <w:szCs w:val="16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255396" w:rsidP="009323ED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21,</w:t>
            </w:r>
            <w:r w:rsidR="009323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</w:tr>
      <w:tr w:rsidR="00250C4C" w:rsidRPr="00BA7EA7" w:rsidTr="00305983">
        <w:trPr>
          <w:trHeight w:val="224"/>
        </w:trPr>
        <w:tc>
          <w:tcPr>
            <w:tcW w:w="0" w:type="auto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C4C" w:rsidRPr="00935CCF" w:rsidRDefault="00250C4C" w:rsidP="00BA7EA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323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Autres soldes</w:t>
            </w:r>
          </w:p>
        </w:tc>
      </w:tr>
      <w:tr w:rsidR="00935CCF" w:rsidRPr="00BA7EA7" w:rsidTr="00935CCF">
        <w:trPr>
          <w:trHeight w:val="9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23ED" w:rsidRDefault="00AC4978" w:rsidP="00BA7EA7">
            <w:pPr>
              <w:widowControl/>
              <w:autoSpaceDE/>
              <w:autoSpaceDN/>
              <w:adjustRightInd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323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Evolution future des prix des produits alimentaires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255396" w:rsidP="009323ED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-60,</w:t>
            </w:r>
            <w:r w:rsidR="009323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</w:tr>
      <w:tr w:rsidR="00935CCF" w:rsidRPr="00BA7EA7" w:rsidTr="00935CCF">
        <w:trPr>
          <w:trHeight w:val="9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23ED" w:rsidRDefault="009B46B1" w:rsidP="00BA7EA7">
            <w:pPr>
              <w:widowControl/>
              <w:autoSpaceDE/>
              <w:autoSpaceDN/>
              <w:adjustRightInd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323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Evolution passée</w:t>
            </w:r>
            <w:r w:rsidR="00AC4978" w:rsidRPr="009323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des prix des produits alimentaires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255396" w:rsidP="009323ED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</w:t>
            </w:r>
            <w:r w:rsidR="009323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</w:tr>
      <w:tr w:rsidR="00935CCF" w:rsidRPr="00BA7EA7" w:rsidTr="00935CCF">
        <w:trPr>
          <w:trHeight w:val="9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23ED" w:rsidRDefault="00AC4978" w:rsidP="00BA7EA7">
            <w:pPr>
              <w:widowControl/>
              <w:autoSpaceDE/>
              <w:autoSpaceDN/>
              <w:adjustRightInd/>
              <w:spacing w:line="276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9323E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Capacité à épargner des ménages dans les mois à venir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78" w:rsidRPr="00935CCF" w:rsidRDefault="00AC4978" w:rsidP="00BA7EA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AC4978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978" w:rsidRPr="00935CCF" w:rsidRDefault="00255396" w:rsidP="00BA7E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35C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-60,8</w:t>
            </w:r>
          </w:p>
        </w:tc>
      </w:tr>
      <w:bookmarkEnd w:id="2"/>
    </w:tbl>
    <w:p w:rsidR="00FD508C" w:rsidRPr="00BA7EA7" w:rsidRDefault="00FD508C" w:rsidP="00250C4C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sectPr w:rsidR="00FD508C" w:rsidRPr="00BA7EA7" w:rsidSect="00A7149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FC8" w:rsidRDefault="004C1FC8" w:rsidP="00460705">
      <w:r>
        <w:separator/>
      </w:r>
    </w:p>
  </w:endnote>
  <w:endnote w:type="continuationSeparator" w:id="0">
    <w:p w:rsidR="004C1FC8" w:rsidRDefault="004C1FC8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305983" w:rsidRDefault="00E41CBD">
        <w:pPr>
          <w:pStyle w:val="Pieddepage"/>
          <w:jc w:val="center"/>
        </w:pPr>
        <w:r>
          <w:fldChar w:fldCharType="begin"/>
        </w:r>
        <w:r w:rsidR="00EA2953">
          <w:instrText xml:space="preserve"> PAGE   \* MERGEFORMAT </w:instrText>
        </w:r>
        <w:r>
          <w:fldChar w:fldCharType="separate"/>
        </w:r>
        <w:r w:rsidR="00AA634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05983" w:rsidRDefault="0030598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FC8" w:rsidRDefault="004C1FC8" w:rsidP="00460705">
      <w:r>
        <w:separator/>
      </w:r>
    </w:p>
  </w:footnote>
  <w:footnote w:type="continuationSeparator" w:id="0">
    <w:p w:rsidR="004C1FC8" w:rsidRDefault="004C1FC8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32AC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212"/>
    <w:multiLevelType w:val="hybridMultilevel"/>
    <w:tmpl w:val="30024A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704"/>
    <w:rsid w:val="000013E4"/>
    <w:rsid w:val="00001624"/>
    <w:rsid w:val="000016A1"/>
    <w:rsid w:val="000023E0"/>
    <w:rsid w:val="00002B11"/>
    <w:rsid w:val="00002F9B"/>
    <w:rsid w:val="00003F54"/>
    <w:rsid w:val="00004B1E"/>
    <w:rsid w:val="00005381"/>
    <w:rsid w:val="000060F8"/>
    <w:rsid w:val="000069AE"/>
    <w:rsid w:val="0000713A"/>
    <w:rsid w:val="00007426"/>
    <w:rsid w:val="000100F3"/>
    <w:rsid w:val="00011A0E"/>
    <w:rsid w:val="00011BC4"/>
    <w:rsid w:val="00011F4E"/>
    <w:rsid w:val="00012970"/>
    <w:rsid w:val="00012F82"/>
    <w:rsid w:val="00013016"/>
    <w:rsid w:val="00013329"/>
    <w:rsid w:val="00014530"/>
    <w:rsid w:val="00014940"/>
    <w:rsid w:val="00014F59"/>
    <w:rsid w:val="00015112"/>
    <w:rsid w:val="000151DD"/>
    <w:rsid w:val="00015EF3"/>
    <w:rsid w:val="00016F90"/>
    <w:rsid w:val="0001722E"/>
    <w:rsid w:val="000174FE"/>
    <w:rsid w:val="00017526"/>
    <w:rsid w:val="0001754D"/>
    <w:rsid w:val="000213FC"/>
    <w:rsid w:val="00022644"/>
    <w:rsid w:val="00023DE5"/>
    <w:rsid w:val="00024686"/>
    <w:rsid w:val="00024B04"/>
    <w:rsid w:val="0002532B"/>
    <w:rsid w:val="00025CE4"/>
    <w:rsid w:val="00025F15"/>
    <w:rsid w:val="000265CF"/>
    <w:rsid w:val="00027300"/>
    <w:rsid w:val="00027461"/>
    <w:rsid w:val="000274C4"/>
    <w:rsid w:val="000315FD"/>
    <w:rsid w:val="00031CFB"/>
    <w:rsid w:val="000324B4"/>
    <w:rsid w:val="00032619"/>
    <w:rsid w:val="00032AF9"/>
    <w:rsid w:val="00032B79"/>
    <w:rsid w:val="00032ECD"/>
    <w:rsid w:val="00034F42"/>
    <w:rsid w:val="00035053"/>
    <w:rsid w:val="000356C1"/>
    <w:rsid w:val="00035819"/>
    <w:rsid w:val="000360E1"/>
    <w:rsid w:val="000364EF"/>
    <w:rsid w:val="00036F7C"/>
    <w:rsid w:val="0003703D"/>
    <w:rsid w:val="000370B6"/>
    <w:rsid w:val="00037ABF"/>
    <w:rsid w:val="00041428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0460"/>
    <w:rsid w:val="00051534"/>
    <w:rsid w:val="000518A6"/>
    <w:rsid w:val="00051A04"/>
    <w:rsid w:val="00051B80"/>
    <w:rsid w:val="00052C8E"/>
    <w:rsid w:val="0005319E"/>
    <w:rsid w:val="0005351F"/>
    <w:rsid w:val="0005355A"/>
    <w:rsid w:val="0005413E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3B1B"/>
    <w:rsid w:val="00063B3F"/>
    <w:rsid w:val="00064021"/>
    <w:rsid w:val="000646B0"/>
    <w:rsid w:val="000656CB"/>
    <w:rsid w:val="00065DD7"/>
    <w:rsid w:val="00066ADF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3C23"/>
    <w:rsid w:val="000748D8"/>
    <w:rsid w:val="000749D1"/>
    <w:rsid w:val="000753A8"/>
    <w:rsid w:val="000756A1"/>
    <w:rsid w:val="00076938"/>
    <w:rsid w:val="00076F92"/>
    <w:rsid w:val="000779C2"/>
    <w:rsid w:val="00077CAA"/>
    <w:rsid w:val="00081434"/>
    <w:rsid w:val="00081E5A"/>
    <w:rsid w:val="0008224D"/>
    <w:rsid w:val="00082D2E"/>
    <w:rsid w:val="000836A6"/>
    <w:rsid w:val="000838BF"/>
    <w:rsid w:val="000839B9"/>
    <w:rsid w:val="0008574A"/>
    <w:rsid w:val="00086CD2"/>
    <w:rsid w:val="000877E9"/>
    <w:rsid w:val="0008783E"/>
    <w:rsid w:val="00087DA2"/>
    <w:rsid w:val="000909E5"/>
    <w:rsid w:val="00090FCF"/>
    <w:rsid w:val="00090FEC"/>
    <w:rsid w:val="00091D64"/>
    <w:rsid w:val="00091E28"/>
    <w:rsid w:val="00091FB9"/>
    <w:rsid w:val="00092DFB"/>
    <w:rsid w:val="00093A83"/>
    <w:rsid w:val="00093D84"/>
    <w:rsid w:val="00094BEF"/>
    <w:rsid w:val="00097300"/>
    <w:rsid w:val="00097799"/>
    <w:rsid w:val="0009797C"/>
    <w:rsid w:val="00097D75"/>
    <w:rsid w:val="000A0177"/>
    <w:rsid w:val="000A07A7"/>
    <w:rsid w:val="000A0881"/>
    <w:rsid w:val="000A11C5"/>
    <w:rsid w:val="000A14AD"/>
    <w:rsid w:val="000A158A"/>
    <w:rsid w:val="000A18FB"/>
    <w:rsid w:val="000A1DEA"/>
    <w:rsid w:val="000A20DC"/>
    <w:rsid w:val="000A26E7"/>
    <w:rsid w:val="000A27F7"/>
    <w:rsid w:val="000A2DA9"/>
    <w:rsid w:val="000A33DF"/>
    <w:rsid w:val="000A40C3"/>
    <w:rsid w:val="000A5682"/>
    <w:rsid w:val="000A5C5F"/>
    <w:rsid w:val="000A5F4A"/>
    <w:rsid w:val="000A6135"/>
    <w:rsid w:val="000A62F9"/>
    <w:rsid w:val="000B0844"/>
    <w:rsid w:val="000B09BA"/>
    <w:rsid w:val="000B0E7A"/>
    <w:rsid w:val="000B1487"/>
    <w:rsid w:val="000B16D1"/>
    <w:rsid w:val="000B2067"/>
    <w:rsid w:val="000B2FFE"/>
    <w:rsid w:val="000B34E3"/>
    <w:rsid w:val="000B4FE0"/>
    <w:rsid w:val="000B552C"/>
    <w:rsid w:val="000B62B1"/>
    <w:rsid w:val="000C0C01"/>
    <w:rsid w:val="000C1464"/>
    <w:rsid w:val="000C2CA9"/>
    <w:rsid w:val="000C3718"/>
    <w:rsid w:val="000C39F9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3B30"/>
    <w:rsid w:val="000D4077"/>
    <w:rsid w:val="000D4920"/>
    <w:rsid w:val="000D54E1"/>
    <w:rsid w:val="000D5638"/>
    <w:rsid w:val="000D5AB2"/>
    <w:rsid w:val="000D5B0A"/>
    <w:rsid w:val="000D5CEB"/>
    <w:rsid w:val="000E0128"/>
    <w:rsid w:val="000E030A"/>
    <w:rsid w:val="000E10E0"/>
    <w:rsid w:val="000E1534"/>
    <w:rsid w:val="000E17D9"/>
    <w:rsid w:val="000E1BEE"/>
    <w:rsid w:val="000E20BC"/>
    <w:rsid w:val="000E21A1"/>
    <w:rsid w:val="000E3747"/>
    <w:rsid w:val="000E4DC7"/>
    <w:rsid w:val="000E5EA9"/>
    <w:rsid w:val="000E6EB3"/>
    <w:rsid w:val="000E71C8"/>
    <w:rsid w:val="000F0919"/>
    <w:rsid w:val="000F0DB1"/>
    <w:rsid w:val="000F184A"/>
    <w:rsid w:val="000F2945"/>
    <w:rsid w:val="000F2B60"/>
    <w:rsid w:val="000F2E6E"/>
    <w:rsid w:val="000F5A2E"/>
    <w:rsid w:val="000F62E1"/>
    <w:rsid w:val="000F641A"/>
    <w:rsid w:val="000F6CE8"/>
    <w:rsid w:val="000F70E8"/>
    <w:rsid w:val="000F74C5"/>
    <w:rsid w:val="000F7670"/>
    <w:rsid w:val="000F7A57"/>
    <w:rsid w:val="000F7C4F"/>
    <w:rsid w:val="00100026"/>
    <w:rsid w:val="0010025C"/>
    <w:rsid w:val="00101249"/>
    <w:rsid w:val="00101DA7"/>
    <w:rsid w:val="00102B5C"/>
    <w:rsid w:val="001037B3"/>
    <w:rsid w:val="00104221"/>
    <w:rsid w:val="00104438"/>
    <w:rsid w:val="00104463"/>
    <w:rsid w:val="00104CAC"/>
    <w:rsid w:val="00104D05"/>
    <w:rsid w:val="001052BE"/>
    <w:rsid w:val="001052EC"/>
    <w:rsid w:val="00105320"/>
    <w:rsid w:val="00105B72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3FE"/>
    <w:rsid w:val="0011495F"/>
    <w:rsid w:val="00115D48"/>
    <w:rsid w:val="001161C4"/>
    <w:rsid w:val="00116945"/>
    <w:rsid w:val="0011726A"/>
    <w:rsid w:val="001174FE"/>
    <w:rsid w:val="00117A2F"/>
    <w:rsid w:val="00117F82"/>
    <w:rsid w:val="00120997"/>
    <w:rsid w:val="00121180"/>
    <w:rsid w:val="00121CCC"/>
    <w:rsid w:val="001222E7"/>
    <w:rsid w:val="00122941"/>
    <w:rsid w:val="00123E79"/>
    <w:rsid w:val="00124002"/>
    <w:rsid w:val="001242C0"/>
    <w:rsid w:val="00124772"/>
    <w:rsid w:val="00124827"/>
    <w:rsid w:val="00124FE0"/>
    <w:rsid w:val="00125161"/>
    <w:rsid w:val="001254E5"/>
    <w:rsid w:val="00125543"/>
    <w:rsid w:val="00126B26"/>
    <w:rsid w:val="00126CC0"/>
    <w:rsid w:val="00126E55"/>
    <w:rsid w:val="0012794C"/>
    <w:rsid w:val="00127D67"/>
    <w:rsid w:val="00131E2D"/>
    <w:rsid w:val="001328D0"/>
    <w:rsid w:val="00133286"/>
    <w:rsid w:val="0013347C"/>
    <w:rsid w:val="001335BA"/>
    <w:rsid w:val="00133687"/>
    <w:rsid w:val="00133860"/>
    <w:rsid w:val="001347D2"/>
    <w:rsid w:val="00135445"/>
    <w:rsid w:val="00135D83"/>
    <w:rsid w:val="0013654E"/>
    <w:rsid w:val="00137D7D"/>
    <w:rsid w:val="001404A9"/>
    <w:rsid w:val="001414F3"/>
    <w:rsid w:val="001424D2"/>
    <w:rsid w:val="0014379B"/>
    <w:rsid w:val="001438AB"/>
    <w:rsid w:val="0014398F"/>
    <w:rsid w:val="00143A5A"/>
    <w:rsid w:val="00144320"/>
    <w:rsid w:val="00145956"/>
    <w:rsid w:val="001467F7"/>
    <w:rsid w:val="00146EDA"/>
    <w:rsid w:val="0014733D"/>
    <w:rsid w:val="00150681"/>
    <w:rsid w:val="00151AE6"/>
    <w:rsid w:val="00151C70"/>
    <w:rsid w:val="0015212E"/>
    <w:rsid w:val="001523D7"/>
    <w:rsid w:val="00152D59"/>
    <w:rsid w:val="00153ECF"/>
    <w:rsid w:val="00154298"/>
    <w:rsid w:val="00154339"/>
    <w:rsid w:val="001545AE"/>
    <w:rsid w:val="00154E44"/>
    <w:rsid w:val="00156587"/>
    <w:rsid w:val="0015763C"/>
    <w:rsid w:val="00157CA9"/>
    <w:rsid w:val="0016005A"/>
    <w:rsid w:val="00160141"/>
    <w:rsid w:val="00160994"/>
    <w:rsid w:val="00161429"/>
    <w:rsid w:val="00161772"/>
    <w:rsid w:val="00161C4B"/>
    <w:rsid w:val="00161D6D"/>
    <w:rsid w:val="00162062"/>
    <w:rsid w:val="001638CE"/>
    <w:rsid w:val="00163D93"/>
    <w:rsid w:val="0016405E"/>
    <w:rsid w:val="001643DF"/>
    <w:rsid w:val="001648E6"/>
    <w:rsid w:val="00164979"/>
    <w:rsid w:val="00165671"/>
    <w:rsid w:val="0016596E"/>
    <w:rsid w:val="001672BD"/>
    <w:rsid w:val="0016780D"/>
    <w:rsid w:val="00172005"/>
    <w:rsid w:val="00172D27"/>
    <w:rsid w:val="00172F47"/>
    <w:rsid w:val="00173781"/>
    <w:rsid w:val="00174115"/>
    <w:rsid w:val="00174542"/>
    <w:rsid w:val="00174553"/>
    <w:rsid w:val="001748E9"/>
    <w:rsid w:val="0017495A"/>
    <w:rsid w:val="0017568F"/>
    <w:rsid w:val="001757C5"/>
    <w:rsid w:val="001760CB"/>
    <w:rsid w:val="00181B72"/>
    <w:rsid w:val="001829B0"/>
    <w:rsid w:val="00182E1E"/>
    <w:rsid w:val="00184023"/>
    <w:rsid w:val="00184134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0B7"/>
    <w:rsid w:val="00193B35"/>
    <w:rsid w:val="00193B4D"/>
    <w:rsid w:val="00193E60"/>
    <w:rsid w:val="0019435A"/>
    <w:rsid w:val="0019492E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310"/>
    <w:rsid w:val="001A048A"/>
    <w:rsid w:val="001A0F65"/>
    <w:rsid w:val="001A2204"/>
    <w:rsid w:val="001A288D"/>
    <w:rsid w:val="001A292A"/>
    <w:rsid w:val="001A384F"/>
    <w:rsid w:val="001A4203"/>
    <w:rsid w:val="001A4A45"/>
    <w:rsid w:val="001A4BB7"/>
    <w:rsid w:val="001A55DD"/>
    <w:rsid w:val="001A6084"/>
    <w:rsid w:val="001A62A1"/>
    <w:rsid w:val="001A648B"/>
    <w:rsid w:val="001A69DD"/>
    <w:rsid w:val="001A6BB6"/>
    <w:rsid w:val="001A774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65A"/>
    <w:rsid w:val="001B7854"/>
    <w:rsid w:val="001C0839"/>
    <w:rsid w:val="001C14A6"/>
    <w:rsid w:val="001C251F"/>
    <w:rsid w:val="001C4759"/>
    <w:rsid w:val="001C4D54"/>
    <w:rsid w:val="001C5656"/>
    <w:rsid w:val="001C5AA4"/>
    <w:rsid w:val="001C67D4"/>
    <w:rsid w:val="001C6846"/>
    <w:rsid w:val="001C6883"/>
    <w:rsid w:val="001D02E1"/>
    <w:rsid w:val="001D0C73"/>
    <w:rsid w:val="001D17AC"/>
    <w:rsid w:val="001D2665"/>
    <w:rsid w:val="001D28DC"/>
    <w:rsid w:val="001D2B80"/>
    <w:rsid w:val="001D2D35"/>
    <w:rsid w:val="001D2E4E"/>
    <w:rsid w:val="001D3A1D"/>
    <w:rsid w:val="001D49E8"/>
    <w:rsid w:val="001D5548"/>
    <w:rsid w:val="001D55A9"/>
    <w:rsid w:val="001D58BD"/>
    <w:rsid w:val="001D684C"/>
    <w:rsid w:val="001D709D"/>
    <w:rsid w:val="001E0A9C"/>
    <w:rsid w:val="001E0D0B"/>
    <w:rsid w:val="001E1149"/>
    <w:rsid w:val="001E1901"/>
    <w:rsid w:val="001E36D5"/>
    <w:rsid w:val="001E42CC"/>
    <w:rsid w:val="001E4F55"/>
    <w:rsid w:val="001E5372"/>
    <w:rsid w:val="001E5697"/>
    <w:rsid w:val="001E6198"/>
    <w:rsid w:val="001E78BD"/>
    <w:rsid w:val="001F00F0"/>
    <w:rsid w:val="001F04DE"/>
    <w:rsid w:val="001F062E"/>
    <w:rsid w:val="001F0ABF"/>
    <w:rsid w:val="001F14B0"/>
    <w:rsid w:val="001F20AF"/>
    <w:rsid w:val="001F2626"/>
    <w:rsid w:val="001F321B"/>
    <w:rsid w:val="001F3646"/>
    <w:rsid w:val="001F3E68"/>
    <w:rsid w:val="001F4A3E"/>
    <w:rsid w:val="001F4E50"/>
    <w:rsid w:val="001F4FE4"/>
    <w:rsid w:val="001F5722"/>
    <w:rsid w:val="001F5970"/>
    <w:rsid w:val="001F59E2"/>
    <w:rsid w:val="001F5D34"/>
    <w:rsid w:val="001F626D"/>
    <w:rsid w:val="001F66E3"/>
    <w:rsid w:val="001F6A20"/>
    <w:rsid w:val="001F6A9C"/>
    <w:rsid w:val="001F70B6"/>
    <w:rsid w:val="001F739C"/>
    <w:rsid w:val="001F7711"/>
    <w:rsid w:val="001F7D34"/>
    <w:rsid w:val="00200755"/>
    <w:rsid w:val="002021DE"/>
    <w:rsid w:val="002041E9"/>
    <w:rsid w:val="00204574"/>
    <w:rsid w:val="0020508E"/>
    <w:rsid w:val="00206A7F"/>
    <w:rsid w:val="0020711A"/>
    <w:rsid w:val="00207730"/>
    <w:rsid w:val="0021180E"/>
    <w:rsid w:val="0021213E"/>
    <w:rsid w:val="00212223"/>
    <w:rsid w:val="002125D5"/>
    <w:rsid w:val="00212714"/>
    <w:rsid w:val="00212E56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21FC5"/>
    <w:rsid w:val="00222682"/>
    <w:rsid w:val="002226A1"/>
    <w:rsid w:val="00222815"/>
    <w:rsid w:val="00222831"/>
    <w:rsid w:val="00223178"/>
    <w:rsid w:val="0022318C"/>
    <w:rsid w:val="00223808"/>
    <w:rsid w:val="0022467F"/>
    <w:rsid w:val="00225685"/>
    <w:rsid w:val="00226A52"/>
    <w:rsid w:val="00226BE3"/>
    <w:rsid w:val="00226CEA"/>
    <w:rsid w:val="00227B1B"/>
    <w:rsid w:val="0023094A"/>
    <w:rsid w:val="00232556"/>
    <w:rsid w:val="00232AF5"/>
    <w:rsid w:val="00233531"/>
    <w:rsid w:val="00234907"/>
    <w:rsid w:val="00235C3E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5732"/>
    <w:rsid w:val="00245913"/>
    <w:rsid w:val="00245992"/>
    <w:rsid w:val="00246518"/>
    <w:rsid w:val="002478EF"/>
    <w:rsid w:val="00247A3B"/>
    <w:rsid w:val="002502C2"/>
    <w:rsid w:val="00250C4C"/>
    <w:rsid w:val="00251ABE"/>
    <w:rsid w:val="0025208F"/>
    <w:rsid w:val="0025259C"/>
    <w:rsid w:val="00252BB9"/>
    <w:rsid w:val="0025312C"/>
    <w:rsid w:val="00253166"/>
    <w:rsid w:val="002534E9"/>
    <w:rsid w:val="00253D9F"/>
    <w:rsid w:val="00254965"/>
    <w:rsid w:val="00254CC9"/>
    <w:rsid w:val="00254D8A"/>
    <w:rsid w:val="00255396"/>
    <w:rsid w:val="00256232"/>
    <w:rsid w:val="00256A6D"/>
    <w:rsid w:val="00256C03"/>
    <w:rsid w:val="00256F31"/>
    <w:rsid w:val="00256FBC"/>
    <w:rsid w:val="00257385"/>
    <w:rsid w:val="00260173"/>
    <w:rsid w:val="00260D98"/>
    <w:rsid w:val="002613C1"/>
    <w:rsid w:val="002613F5"/>
    <w:rsid w:val="0026141F"/>
    <w:rsid w:val="00261ED7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5F28"/>
    <w:rsid w:val="00266110"/>
    <w:rsid w:val="00266330"/>
    <w:rsid w:val="00266633"/>
    <w:rsid w:val="002671FD"/>
    <w:rsid w:val="00267202"/>
    <w:rsid w:val="00267298"/>
    <w:rsid w:val="002672A0"/>
    <w:rsid w:val="0026748C"/>
    <w:rsid w:val="00267B6E"/>
    <w:rsid w:val="00267DAE"/>
    <w:rsid w:val="00270823"/>
    <w:rsid w:val="00270AD9"/>
    <w:rsid w:val="00270B31"/>
    <w:rsid w:val="00271743"/>
    <w:rsid w:val="00271D22"/>
    <w:rsid w:val="0027263B"/>
    <w:rsid w:val="00272727"/>
    <w:rsid w:val="00272D28"/>
    <w:rsid w:val="0027471B"/>
    <w:rsid w:val="002751C2"/>
    <w:rsid w:val="00275256"/>
    <w:rsid w:val="00276077"/>
    <w:rsid w:val="002775FC"/>
    <w:rsid w:val="00280072"/>
    <w:rsid w:val="0028098C"/>
    <w:rsid w:val="00281D6D"/>
    <w:rsid w:val="002821C5"/>
    <w:rsid w:val="0028239A"/>
    <w:rsid w:val="00282A92"/>
    <w:rsid w:val="002836F5"/>
    <w:rsid w:val="00283A6B"/>
    <w:rsid w:val="00283FD0"/>
    <w:rsid w:val="0028485A"/>
    <w:rsid w:val="0028651B"/>
    <w:rsid w:val="00287AFB"/>
    <w:rsid w:val="00287EC1"/>
    <w:rsid w:val="00290113"/>
    <w:rsid w:val="002904C7"/>
    <w:rsid w:val="002915B7"/>
    <w:rsid w:val="00291C4B"/>
    <w:rsid w:val="00292082"/>
    <w:rsid w:val="0029227A"/>
    <w:rsid w:val="00292381"/>
    <w:rsid w:val="00292CDC"/>
    <w:rsid w:val="00293863"/>
    <w:rsid w:val="002941A3"/>
    <w:rsid w:val="00295A6D"/>
    <w:rsid w:val="00295DF0"/>
    <w:rsid w:val="00296645"/>
    <w:rsid w:val="0029668B"/>
    <w:rsid w:val="00296E08"/>
    <w:rsid w:val="00297250"/>
    <w:rsid w:val="00297C0B"/>
    <w:rsid w:val="002A0DFB"/>
    <w:rsid w:val="002A0E3C"/>
    <w:rsid w:val="002A1005"/>
    <w:rsid w:val="002A1529"/>
    <w:rsid w:val="002A1584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5928"/>
    <w:rsid w:val="002A5CD8"/>
    <w:rsid w:val="002A62C3"/>
    <w:rsid w:val="002A7486"/>
    <w:rsid w:val="002A766A"/>
    <w:rsid w:val="002A7C02"/>
    <w:rsid w:val="002A7C36"/>
    <w:rsid w:val="002A7E1E"/>
    <w:rsid w:val="002A7E5D"/>
    <w:rsid w:val="002B0B7B"/>
    <w:rsid w:val="002B10FB"/>
    <w:rsid w:val="002B15A7"/>
    <w:rsid w:val="002B15E6"/>
    <w:rsid w:val="002B2652"/>
    <w:rsid w:val="002B2EC5"/>
    <w:rsid w:val="002B3D5B"/>
    <w:rsid w:val="002B43BB"/>
    <w:rsid w:val="002B4B64"/>
    <w:rsid w:val="002B51C3"/>
    <w:rsid w:val="002B7130"/>
    <w:rsid w:val="002B74FD"/>
    <w:rsid w:val="002B7509"/>
    <w:rsid w:val="002B799E"/>
    <w:rsid w:val="002B79DC"/>
    <w:rsid w:val="002B7C12"/>
    <w:rsid w:val="002B7F41"/>
    <w:rsid w:val="002C03DA"/>
    <w:rsid w:val="002C0743"/>
    <w:rsid w:val="002C0BC4"/>
    <w:rsid w:val="002C0E6A"/>
    <w:rsid w:val="002C10D7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5F58"/>
    <w:rsid w:val="002C6A1C"/>
    <w:rsid w:val="002C768B"/>
    <w:rsid w:val="002C79A8"/>
    <w:rsid w:val="002C7EF2"/>
    <w:rsid w:val="002D112B"/>
    <w:rsid w:val="002D2100"/>
    <w:rsid w:val="002D260C"/>
    <w:rsid w:val="002D2970"/>
    <w:rsid w:val="002D3518"/>
    <w:rsid w:val="002D3C52"/>
    <w:rsid w:val="002D3E22"/>
    <w:rsid w:val="002D54C7"/>
    <w:rsid w:val="002D56C5"/>
    <w:rsid w:val="002D5AAA"/>
    <w:rsid w:val="002D5F99"/>
    <w:rsid w:val="002D6616"/>
    <w:rsid w:val="002D6FC3"/>
    <w:rsid w:val="002D79AA"/>
    <w:rsid w:val="002E02C4"/>
    <w:rsid w:val="002E0AD7"/>
    <w:rsid w:val="002E1871"/>
    <w:rsid w:val="002E238A"/>
    <w:rsid w:val="002E3AEC"/>
    <w:rsid w:val="002E3CF2"/>
    <w:rsid w:val="002E5787"/>
    <w:rsid w:val="002E5849"/>
    <w:rsid w:val="002E5ABF"/>
    <w:rsid w:val="002E5BEC"/>
    <w:rsid w:val="002E69E2"/>
    <w:rsid w:val="002E6F5B"/>
    <w:rsid w:val="002E710F"/>
    <w:rsid w:val="002E7320"/>
    <w:rsid w:val="002E78A3"/>
    <w:rsid w:val="002F08CD"/>
    <w:rsid w:val="002F1287"/>
    <w:rsid w:val="002F142C"/>
    <w:rsid w:val="002F1D60"/>
    <w:rsid w:val="002F3EA6"/>
    <w:rsid w:val="002F566C"/>
    <w:rsid w:val="002F56E4"/>
    <w:rsid w:val="002F5CBB"/>
    <w:rsid w:val="002F5E45"/>
    <w:rsid w:val="002F5E6A"/>
    <w:rsid w:val="002F61B2"/>
    <w:rsid w:val="002F68CD"/>
    <w:rsid w:val="002F6AEC"/>
    <w:rsid w:val="002F7AAE"/>
    <w:rsid w:val="0030061A"/>
    <w:rsid w:val="00300726"/>
    <w:rsid w:val="00301913"/>
    <w:rsid w:val="0030196C"/>
    <w:rsid w:val="00301C04"/>
    <w:rsid w:val="00302717"/>
    <w:rsid w:val="003043BE"/>
    <w:rsid w:val="00304900"/>
    <w:rsid w:val="00304BFF"/>
    <w:rsid w:val="00305983"/>
    <w:rsid w:val="00306F45"/>
    <w:rsid w:val="00307232"/>
    <w:rsid w:val="00307E20"/>
    <w:rsid w:val="00311292"/>
    <w:rsid w:val="0031260C"/>
    <w:rsid w:val="00312C75"/>
    <w:rsid w:val="00312DA6"/>
    <w:rsid w:val="00312EAF"/>
    <w:rsid w:val="00313590"/>
    <w:rsid w:val="00313C10"/>
    <w:rsid w:val="00313E26"/>
    <w:rsid w:val="00314363"/>
    <w:rsid w:val="00314E25"/>
    <w:rsid w:val="00315331"/>
    <w:rsid w:val="00315FDD"/>
    <w:rsid w:val="003203B5"/>
    <w:rsid w:val="00320A30"/>
    <w:rsid w:val="00321109"/>
    <w:rsid w:val="00322586"/>
    <w:rsid w:val="0032273E"/>
    <w:rsid w:val="0032393A"/>
    <w:rsid w:val="00323DD3"/>
    <w:rsid w:val="00324379"/>
    <w:rsid w:val="003243FF"/>
    <w:rsid w:val="0032457C"/>
    <w:rsid w:val="0032474D"/>
    <w:rsid w:val="003249B9"/>
    <w:rsid w:val="00325F2B"/>
    <w:rsid w:val="00326439"/>
    <w:rsid w:val="0032654E"/>
    <w:rsid w:val="00326669"/>
    <w:rsid w:val="003266B8"/>
    <w:rsid w:val="00326909"/>
    <w:rsid w:val="00326988"/>
    <w:rsid w:val="00326D4A"/>
    <w:rsid w:val="00326F79"/>
    <w:rsid w:val="00327D2D"/>
    <w:rsid w:val="0033159D"/>
    <w:rsid w:val="0033192D"/>
    <w:rsid w:val="00331A80"/>
    <w:rsid w:val="003325C2"/>
    <w:rsid w:val="00333CD8"/>
    <w:rsid w:val="00335081"/>
    <w:rsid w:val="00335AA7"/>
    <w:rsid w:val="00337515"/>
    <w:rsid w:val="00337BE3"/>
    <w:rsid w:val="003407DA"/>
    <w:rsid w:val="00342196"/>
    <w:rsid w:val="003423DE"/>
    <w:rsid w:val="00343199"/>
    <w:rsid w:val="00344737"/>
    <w:rsid w:val="00345C8E"/>
    <w:rsid w:val="00345EE0"/>
    <w:rsid w:val="00346706"/>
    <w:rsid w:val="00346987"/>
    <w:rsid w:val="0035142B"/>
    <w:rsid w:val="003514ED"/>
    <w:rsid w:val="00351C1F"/>
    <w:rsid w:val="00351E1C"/>
    <w:rsid w:val="00352106"/>
    <w:rsid w:val="0035217E"/>
    <w:rsid w:val="003525DA"/>
    <w:rsid w:val="00352758"/>
    <w:rsid w:val="00352D33"/>
    <w:rsid w:val="00353CB2"/>
    <w:rsid w:val="003541C4"/>
    <w:rsid w:val="00354A18"/>
    <w:rsid w:val="00354E92"/>
    <w:rsid w:val="003550EA"/>
    <w:rsid w:val="003559FA"/>
    <w:rsid w:val="00355D56"/>
    <w:rsid w:val="00357B74"/>
    <w:rsid w:val="00360176"/>
    <w:rsid w:val="00360556"/>
    <w:rsid w:val="00360720"/>
    <w:rsid w:val="0036132C"/>
    <w:rsid w:val="00362325"/>
    <w:rsid w:val="00362A0D"/>
    <w:rsid w:val="0036400D"/>
    <w:rsid w:val="003658EF"/>
    <w:rsid w:val="00365FDC"/>
    <w:rsid w:val="003661DE"/>
    <w:rsid w:val="003670AA"/>
    <w:rsid w:val="00367BF2"/>
    <w:rsid w:val="00370A60"/>
    <w:rsid w:val="00370B08"/>
    <w:rsid w:val="003713F9"/>
    <w:rsid w:val="00371621"/>
    <w:rsid w:val="003719C4"/>
    <w:rsid w:val="00371D19"/>
    <w:rsid w:val="003724EE"/>
    <w:rsid w:val="00373C93"/>
    <w:rsid w:val="00374E6D"/>
    <w:rsid w:val="00375898"/>
    <w:rsid w:val="0037636A"/>
    <w:rsid w:val="00376AC0"/>
    <w:rsid w:val="00377971"/>
    <w:rsid w:val="003803FA"/>
    <w:rsid w:val="00380461"/>
    <w:rsid w:val="003812CC"/>
    <w:rsid w:val="00381490"/>
    <w:rsid w:val="00381936"/>
    <w:rsid w:val="003827AF"/>
    <w:rsid w:val="00384704"/>
    <w:rsid w:val="0038490E"/>
    <w:rsid w:val="003849A2"/>
    <w:rsid w:val="00385E59"/>
    <w:rsid w:val="003863F6"/>
    <w:rsid w:val="00386E22"/>
    <w:rsid w:val="00387270"/>
    <w:rsid w:val="00390465"/>
    <w:rsid w:val="0039097A"/>
    <w:rsid w:val="00391350"/>
    <w:rsid w:val="003917E1"/>
    <w:rsid w:val="00393479"/>
    <w:rsid w:val="003937BF"/>
    <w:rsid w:val="003938B0"/>
    <w:rsid w:val="00394384"/>
    <w:rsid w:val="003945C0"/>
    <w:rsid w:val="00394F5D"/>
    <w:rsid w:val="00395232"/>
    <w:rsid w:val="003953F7"/>
    <w:rsid w:val="003960C1"/>
    <w:rsid w:val="003972B5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E0"/>
    <w:rsid w:val="003A6EC4"/>
    <w:rsid w:val="003A70BA"/>
    <w:rsid w:val="003A7ECC"/>
    <w:rsid w:val="003B092A"/>
    <w:rsid w:val="003B0AF2"/>
    <w:rsid w:val="003B0B34"/>
    <w:rsid w:val="003B0EDF"/>
    <w:rsid w:val="003B12AD"/>
    <w:rsid w:val="003B220F"/>
    <w:rsid w:val="003B27AF"/>
    <w:rsid w:val="003B330D"/>
    <w:rsid w:val="003B3593"/>
    <w:rsid w:val="003B3AA3"/>
    <w:rsid w:val="003B3D78"/>
    <w:rsid w:val="003B45B1"/>
    <w:rsid w:val="003B478B"/>
    <w:rsid w:val="003B570F"/>
    <w:rsid w:val="003B6387"/>
    <w:rsid w:val="003B6E43"/>
    <w:rsid w:val="003B7237"/>
    <w:rsid w:val="003C096D"/>
    <w:rsid w:val="003C0E95"/>
    <w:rsid w:val="003C1028"/>
    <w:rsid w:val="003C1653"/>
    <w:rsid w:val="003C205E"/>
    <w:rsid w:val="003C2158"/>
    <w:rsid w:val="003C2208"/>
    <w:rsid w:val="003C2924"/>
    <w:rsid w:val="003C2D1C"/>
    <w:rsid w:val="003C2DFE"/>
    <w:rsid w:val="003C3114"/>
    <w:rsid w:val="003C4254"/>
    <w:rsid w:val="003C4632"/>
    <w:rsid w:val="003C4945"/>
    <w:rsid w:val="003C50AE"/>
    <w:rsid w:val="003C6758"/>
    <w:rsid w:val="003C79A0"/>
    <w:rsid w:val="003D0B54"/>
    <w:rsid w:val="003D25F5"/>
    <w:rsid w:val="003D27CC"/>
    <w:rsid w:val="003D435F"/>
    <w:rsid w:val="003D554F"/>
    <w:rsid w:val="003D5D63"/>
    <w:rsid w:val="003D6A47"/>
    <w:rsid w:val="003D6DF2"/>
    <w:rsid w:val="003D703A"/>
    <w:rsid w:val="003D7146"/>
    <w:rsid w:val="003D748A"/>
    <w:rsid w:val="003D76D8"/>
    <w:rsid w:val="003D7D3E"/>
    <w:rsid w:val="003E04DE"/>
    <w:rsid w:val="003E0E01"/>
    <w:rsid w:val="003E0E9C"/>
    <w:rsid w:val="003E1044"/>
    <w:rsid w:val="003E168D"/>
    <w:rsid w:val="003E1CA9"/>
    <w:rsid w:val="003E22C4"/>
    <w:rsid w:val="003E3A1D"/>
    <w:rsid w:val="003E470E"/>
    <w:rsid w:val="003E4DD3"/>
    <w:rsid w:val="003E657B"/>
    <w:rsid w:val="003E7065"/>
    <w:rsid w:val="003E7485"/>
    <w:rsid w:val="003E7507"/>
    <w:rsid w:val="003E7898"/>
    <w:rsid w:val="003E7CE2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3F7B32"/>
    <w:rsid w:val="00400110"/>
    <w:rsid w:val="00400526"/>
    <w:rsid w:val="00400983"/>
    <w:rsid w:val="00401990"/>
    <w:rsid w:val="00403ED5"/>
    <w:rsid w:val="0040459B"/>
    <w:rsid w:val="00404C21"/>
    <w:rsid w:val="00405294"/>
    <w:rsid w:val="004054B1"/>
    <w:rsid w:val="00405940"/>
    <w:rsid w:val="00405B58"/>
    <w:rsid w:val="00406A51"/>
    <w:rsid w:val="004074DD"/>
    <w:rsid w:val="00407696"/>
    <w:rsid w:val="004105E0"/>
    <w:rsid w:val="0041160A"/>
    <w:rsid w:val="00411F68"/>
    <w:rsid w:val="00412740"/>
    <w:rsid w:val="00413F4D"/>
    <w:rsid w:val="0041457A"/>
    <w:rsid w:val="004153FC"/>
    <w:rsid w:val="004158F0"/>
    <w:rsid w:val="00416547"/>
    <w:rsid w:val="004166F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5D46"/>
    <w:rsid w:val="00426845"/>
    <w:rsid w:val="00427219"/>
    <w:rsid w:val="004274C1"/>
    <w:rsid w:val="00427977"/>
    <w:rsid w:val="00427B82"/>
    <w:rsid w:val="00430234"/>
    <w:rsid w:val="00431767"/>
    <w:rsid w:val="00431E4B"/>
    <w:rsid w:val="0043207F"/>
    <w:rsid w:val="0043296A"/>
    <w:rsid w:val="00433CB2"/>
    <w:rsid w:val="00434700"/>
    <w:rsid w:val="00434E44"/>
    <w:rsid w:val="00434E64"/>
    <w:rsid w:val="00435604"/>
    <w:rsid w:val="00435631"/>
    <w:rsid w:val="00435C79"/>
    <w:rsid w:val="004367EF"/>
    <w:rsid w:val="0043688A"/>
    <w:rsid w:val="00436F71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8AE"/>
    <w:rsid w:val="00446911"/>
    <w:rsid w:val="00446EA3"/>
    <w:rsid w:val="0045034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7115"/>
    <w:rsid w:val="00460705"/>
    <w:rsid w:val="00460A24"/>
    <w:rsid w:val="00460BC9"/>
    <w:rsid w:val="0046151F"/>
    <w:rsid w:val="00462AA7"/>
    <w:rsid w:val="00463AB6"/>
    <w:rsid w:val="00464052"/>
    <w:rsid w:val="00464102"/>
    <w:rsid w:val="00465799"/>
    <w:rsid w:val="0046586B"/>
    <w:rsid w:val="004660F5"/>
    <w:rsid w:val="004665E2"/>
    <w:rsid w:val="0046675F"/>
    <w:rsid w:val="004674F7"/>
    <w:rsid w:val="00470219"/>
    <w:rsid w:val="00470256"/>
    <w:rsid w:val="004704F9"/>
    <w:rsid w:val="00470847"/>
    <w:rsid w:val="004708C0"/>
    <w:rsid w:val="00471039"/>
    <w:rsid w:val="00471447"/>
    <w:rsid w:val="00471B70"/>
    <w:rsid w:val="00471D1D"/>
    <w:rsid w:val="00471D33"/>
    <w:rsid w:val="0047220A"/>
    <w:rsid w:val="004726C0"/>
    <w:rsid w:val="0047271F"/>
    <w:rsid w:val="004728D6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0B8A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1FB6"/>
    <w:rsid w:val="004931A3"/>
    <w:rsid w:val="00493412"/>
    <w:rsid w:val="00493C3D"/>
    <w:rsid w:val="00495348"/>
    <w:rsid w:val="0049640D"/>
    <w:rsid w:val="00497168"/>
    <w:rsid w:val="004972DE"/>
    <w:rsid w:val="004972E4"/>
    <w:rsid w:val="00497732"/>
    <w:rsid w:val="00497984"/>
    <w:rsid w:val="00497C57"/>
    <w:rsid w:val="00497D4F"/>
    <w:rsid w:val="004A02DC"/>
    <w:rsid w:val="004A0C09"/>
    <w:rsid w:val="004A126D"/>
    <w:rsid w:val="004A2333"/>
    <w:rsid w:val="004A29E4"/>
    <w:rsid w:val="004A32F1"/>
    <w:rsid w:val="004A33E9"/>
    <w:rsid w:val="004A371F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08D3"/>
    <w:rsid w:val="004B1613"/>
    <w:rsid w:val="004B2572"/>
    <w:rsid w:val="004B2685"/>
    <w:rsid w:val="004B35F7"/>
    <w:rsid w:val="004B3D4B"/>
    <w:rsid w:val="004B3E3D"/>
    <w:rsid w:val="004B4273"/>
    <w:rsid w:val="004B4E32"/>
    <w:rsid w:val="004B5321"/>
    <w:rsid w:val="004B5383"/>
    <w:rsid w:val="004B64B5"/>
    <w:rsid w:val="004B7076"/>
    <w:rsid w:val="004B74AF"/>
    <w:rsid w:val="004C049D"/>
    <w:rsid w:val="004C1FC8"/>
    <w:rsid w:val="004C202B"/>
    <w:rsid w:val="004C26B8"/>
    <w:rsid w:val="004C26D2"/>
    <w:rsid w:val="004C4444"/>
    <w:rsid w:val="004C4CB2"/>
    <w:rsid w:val="004C4D5D"/>
    <w:rsid w:val="004C5924"/>
    <w:rsid w:val="004C5F79"/>
    <w:rsid w:val="004C612A"/>
    <w:rsid w:val="004C637F"/>
    <w:rsid w:val="004C722F"/>
    <w:rsid w:val="004C7237"/>
    <w:rsid w:val="004D03FA"/>
    <w:rsid w:val="004D07E5"/>
    <w:rsid w:val="004D14A8"/>
    <w:rsid w:val="004D2992"/>
    <w:rsid w:val="004D2BAF"/>
    <w:rsid w:val="004D2C10"/>
    <w:rsid w:val="004D3202"/>
    <w:rsid w:val="004D469E"/>
    <w:rsid w:val="004D4741"/>
    <w:rsid w:val="004D48A5"/>
    <w:rsid w:val="004D4B44"/>
    <w:rsid w:val="004D4E20"/>
    <w:rsid w:val="004D673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565E"/>
    <w:rsid w:val="004E67DD"/>
    <w:rsid w:val="004E7840"/>
    <w:rsid w:val="004E791A"/>
    <w:rsid w:val="004F07EF"/>
    <w:rsid w:val="004F0AE6"/>
    <w:rsid w:val="004F0C24"/>
    <w:rsid w:val="004F16D1"/>
    <w:rsid w:val="004F18F6"/>
    <w:rsid w:val="004F1AD1"/>
    <w:rsid w:val="004F344E"/>
    <w:rsid w:val="004F370D"/>
    <w:rsid w:val="004F3CFC"/>
    <w:rsid w:val="004F4A05"/>
    <w:rsid w:val="004F52B4"/>
    <w:rsid w:val="004F59BE"/>
    <w:rsid w:val="004F5D8B"/>
    <w:rsid w:val="004F63DF"/>
    <w:rsid w:val="004F6CAB"/>
    <w:rsid w:val="004F7887"/>
    <w:rsid w:val="004F79B7"/>
    <w:rsid w:val="005008CC"/>
    <w:rsid w:val="005010D2"/>
    <w:rsid w:val="005016B0"/>
    <w:rsid w:val="00501D0E"/>
    <w:rsid w:val="0050202E"/>
    <w:rsid w:val="00502774"/>
    <w:rsid w:val="00503B05"/>
    <w:rsid w:val="00503DFC"/>
    <w:rsid w:val="00503F34"/>
    <w:rsid w:val="005041F1"/>
    <w:rsid w:val="00504901"/>
    <w:rsid w:val="00504C1B"/>
    <w:rsid w:val="005063ED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8A3"/>
    <w:rsid w:val="00514F62"/>
    <w:rsid w:val="00515560"/>
    <w:rsid w:val="00516548"/>
    <w:rsid w:val="00517831"/>
    <w:rsid w:val="005216FD"/>
    <w:rsid w:val="00522232"/>
    <w:rsid w:val="00522383"/>
    <w:rsid w:val="005228C3"/>
    <w:rsid w:val="0052315E"/>
    <w:rsid w:val="005231BF"/>
    <w:rsid w:val="005234AF"/>
    <w:rsid w:val="00525787"/>
    <w:rsid w:val="00525DF4"/>
    <w:rsid w:val="0052705D"/>
    <w:rsid w:val="005270A5"/>
    <w:rsid w:val="005271CF"/>
    <w:rsid w:val="00527651"/>
    <w:rsid w:val="00530D42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358B4"/>
    <w:rsid w:val="0054064D"/>
    <w:rsid w:val="005406FD"/>
    <w:rsid w:val="0054089B"/>
    <w:rsid w:val="00540AC5"/>
    <w:rsid w:val="00540BE7"/>
    <w:rsid w:val="005426C2"/>
    <w:rsid w:val="005429BE"/>
    <w:rsid w:val="00542A11"/>
    <w:rsid w:val="00545A36"/>
    <w:rsid w:val="00546559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4F63"/>
    <w:rsid w:val="00565E32"/>
    <w:rsid w:val="005665B1"/>
    <w:rsid w:val="0056722B"/>
    <w:rsid w:val="00567C21"/>
    <w:rsid w:val="00567CDC"/>
    <w:rsid w:val="00570837"/>
    <w:rsid w:val="00570BDD"/>
    <w:rsid w:val="00572558"/>
    <w:rsid w:val="00573060"/>
    <w:rsid w:val="005736A0"/>
    <w:rsid w:val="00573821"/>
    <w:rsid w:val="0057388C"/>
    <w:rsid w:val="0057413F"/>
    <w:rsid w:val="00574A2F"/>
    <w:rsid w:val="00575E3A"/>
    <w:rsid w:val="0057657D"/>
    <w:rsid w:val="00576614"/>
    <w:rsid w:val="005768F3"/>
    <w:rsid w:val="00576E52"/>
    <w:rsid w:val="005776D2"/>
    <w:rsid w:val="00577957"/>
    <w:rsid w:val="00577C14"/>
    <w:rsid w:val="00580123"/>
    <w:rsid w:val="005802BF"/>
    <w:rsid w:val="0058095C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4758"/>
    <w:rsid w:val="00585AB6"/>
    <w:rsid w:val="00585AD7"/>
    <w:rsid w:val="00585C38"/>
    <w:rsid w:val="00585D17"/>
    <w:rsid w:val="00586018"/>
    <w:rsid w:val="00586FA1"/>
    <w:rsid w:val="0058707E"/>
    <w:rsid w:val="005879B7"/>
    <w:rsid w:val="005926A9"/>
    <w:rsid w:val="005926FE"/>
    <w:rsid w:val="00593133"/>
    <w:rsid w:val="00593A64"/>
    <w:rsid w:val="00593B3D"/>
    <w:rsid w:val="00593F1C"/>
    <w:rsid w:val="00594585"/>
    <w:rsid w:val="005950FE"/>
    <w:rsid w:val="00596CE0"/>
    <w:rsid w:val="00597509"/>
    <w:rsid w:val="00597CC7"/>
    <w:rsid w:val="005A0745"/>
    <w:rsid w:val="005A23B8"/>
    <w:rsid w:val="005A27B6"/>
    <w:rsid w:val="005A2E34"/>
    <w:rsid w:val="005A3212"/>
    <w:rsid w:val="005A3289"/>
    <w:rsid w:val="005A36A6"/>
    <w:rsid w:val="005A4372"/>
    <w:rsid w:val="005A4BB0"/>
    <w:rsid w:val="005A5697"/>
    <w:rsid w:val="005A5FB6"/>
    <w:rsid w:val="005A60A1"/>
    <w:rsid w:val="005A6369"/>
    <w:rsid w:val="005A6B2B"/>
    <w:rsid w:val="005A6F1D"/>
    <w:rsid w:val="005A7C0B"/>
    <w:rsid w:val="005A7EB7"/>
    <w:rsid w:val="005B02B8"/>
    <w:rsid w:val="005B02E3"/>
    <w:rsid w:val="005B09C4"/>
    <w:rsid w:val="005B0A27"/>
    <w:rsid w:val="005B1014"/>
    <w:rsid w:val="005B1521"/>
    <w:rsid w:val="005B325E"/>
    <w:rsid w:val="005B33EC"/>
    <w:rsid w:val="005B445D"/>
    <w:rsid w:val="005B5097"/>
    <w:rsid w:val="005B6768"/>
    <w:rsid w:val="005B6912"/>
    <w:rsid w:val="005B6C42"/>
    <w:rsid w:val="005B6FD5"/>
    <w:rsid w:val="005B71BC"/>
    <w:rsid w:val="005B77A5"/>
    <w:rsid w:val="005C01F5"/>
    <w:rsid w:val="005C029D"/>
    <w:rsid w:val="005C1110"/>
    <w:rsid w:val="005C1739"/>
    <w:rsid w:val="005C2B41"/>
    <w:rsid w:val="005C2EDD"/>
    <w:rsid w:val="005C331A"/>
    <w:rsid w:val="005C33EA"/>
    <w:rsid w:val="005C3832"/>
    <w:rsid w:val="005C41EB"/>
    <w:rsid w:val="005C473B"/>
    <w:rsid w:val="005C595F"/>
    <w:rsid w:val="005C5BF2"/>
    <w:rsid w:val="005C68C9"/>
    <w:rsid w:val="005D0118"/>
    <w:rsid w:val="005D02B0"/>
    <w:rsid w:val="005D0483"/>
    <w:rsid w:val="005D0680"/>
    <w:rsid w:val="005D07D9"/>
    <w:rsid w:val="005D0F3E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6FB7"/>
    <w:rsid w:val="005D733B"/>
    <w:rsid w:val="005D7830"/>
    <w:rsid w:val="005D7D69"/>
    <w:rsid w:val="005D7E3C"/>
    <w:rsid w:val="005E05A8"/>
    <w:rsid w:val="005E180C"/>
    <w:rsid w:val="005E1D4B"/>
    <w:rsid w:val="005E2168"/>
    <w:rsid w:val="005E22C7"/>
    <w:rsid w:val="005E2815"/>
    <w:rsid w:val="005E2EB3"/>
    <w:rsid w:val="005E3E9B"/>
    <w:rsid w:val="005E400D"/>
    <w:rsid w:val="005E4FD6"/>
    <w:rsid w:val="005E5415"/>
    <w:rsid w:val="005E59F9"/>
    <w:rsid w:val="005E5D06"/>
    <w:rsid w:val="005E5EBF"/>
    <w:rsid w:val="005E6632"/>
    <w:rsid w:val="005F01B6"/>
    <w:rsid w:val="005F0D2E"/>
    <w:rsid w:val="005F1F0E"/>
    <w:rsid w:val="005F1FC0"/>
    <w:rsid w:val="005F2467"/>
    <w:rsid w:val="005F2E1B"/>
    <w:rsid w:val="005F3BED"/>
    <w:rsid w:val="005F3E46"/>
    <w:rsid w:val="005F3E4D"/>
    <w:rsid w:val="005F4616"/>
    <w:rsid w:val="005F5357"/>
    <w:rsid w:val="005F5404"/>
    <w:rsid w:val="005F72D8"/>
    <w:rsid w:val="00600D77"/>
    <w:rsid w:val="00600D95"/>
    <w:rsid w:val="006013E0"/>
    <w:rsid w:val="006031AF"/>
    <w:rsid w:val="006041E2"/>
    <w:rsid w:val="006066F1"/>
    <w:rsid w:val="00606A68"/>
    <w:rsid w:val="00607796"/>
    <w:rsid w:val="006078F5"/>
    <w:rsid w:val="0061222E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1856"/>
    <w:rsid w:val="00622CF0"/>
    <w:rsid w:val="00623440"/>
    <w:rsid w:val="00623925"/>
    <w:rsid w:val="006240DA"/>
    <w:rsid w:val="00624689"/>
    <w:rsid w:val="00624CE0"/>
    <w:rsid w:val="00624EBB"/>
    <w:rsid w:val="00625499"/>
    <w:rsid w:val="00626C37"/>
    <w:rsid w:val="00626FDF"/>
    <w:rsid w:val="00627948"/>
    <w:rsid w:val="006279EF"/>
    <w:rsid w:val="00627C24"/>
    <w:rsid w:val="0063078B"/>
    <w:rsid w:val="00630D99"/>
    <w:rsid w:val="0063159E"/>
    <w:rsid w:val="00631648"/>
    <w:rsid w:val="006318E1"/>
    <w:rsid w:val="00631A6E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6DBD"/>
    <w:rsid w:val="00636E2D"/>
    <w:rsid w:val="00637056"/>
    <w:rsid w:val="0064120B"/>
    <w:rsid w:val="00641433"/>
    <w:rsid w:val="00641937"/>
    <w:rsid w:val="00642021"/>
    <w:rsid w:val="0064218D"/>
    <w:rsid w:val="00642A99"/>
    <w:rsid w:val="00642FBC"/>
    <w:rsid w:val="0064322F"/>
    <w:rsid w:val="00644E45"/>
    <w:rsid w:val="00645377"/>
    <w:rsid w:val="0064643D"/>
    <w:rsid w:val="00646954"/>
    <w:rsid w:val="006473DB"/>
    <w:rsid w:val="0064773C"/>
    <w:rsid w:val="00647784"/>
    <w:rsid w:val="00647BE8"/>
    <w:rsid w:val="0065045C"/>
    <w:rsid w:val="00651154"/>
    <w:rsid w:val="006514F8"/>
    <w:rsid w:val="00651A47"/>
    <w:rsid w:val="00652533"/>
    <w:rsid w:val="00652BA1"/>
    <w:rsid w:val="0065300A"/>
    <w:rsid w:val="0065327D"/>
    <w:rsid w:val="00653B2B"/>
    <w:rsid w:val="00653B79"/>
    <w:rsid w:val="00654BBD"/>
    <w:rsid w:val="006550AF"/>
    <w:rsid w:val="006551E0"/>
    <w:rsid w:val="006559CC"/>
    <w:rsid w:val="00655B47"/>
    <w:rsid w:val="00655B8C"/>
    <w:rsid w:val="006575AC"/>
    <w:rsid w:val="00657C7C"/>
    <w:rsid w:val="00657DDA"/>
    <w:rsid w:val="0066023F"/>
    <w:rsid w:val="0066027B"/>
    <w:rsid w:val="00660442"/>
    <w:rsid w:val="00660A7D"/>
    <w:rsid w:val="0066108F"/>
    <w:rsid w:val="00661441"/>
    <w:rsid w:val="0066175C"/>
    <w:rsid w:val="006617C3"/>
    <w:rsid w:val="00661962"/>
    <w:rsid w:val="00661A4E"/>
    <w:rsid w:val="006620AD"/>
    <w:rsid w:val="00663397"/>
    <w:rsid w:val="00663FAD"/>
    <w:rsid w:val="006656A6"/>
    <w:rsid w:val="00665ECF"/>
    <w:rsid w:val="0066619E"/>
    <w:rsid w:val="00667089"/>
    <w:rsid w:val="00671777"/>
    <w:rsid w:val="006717A3"/>
    <w:rsid w:val="00671ECF"/>
    <w:rsid w:val="00672383"/>
    <w:rsid w:val="0067261D"/>
    <w:rsid w:val="006727AC"/>
    <w:rsid w:val="00672A2B"/>
    <w:rsid w:val="00672FEF"/>
    <w:rsid w:val="0067484C"/>
    <w:rsid w:val="00675156"/>
    <w:rsid w:val="006754A3"/>
    <w:rsid w:val="0067782A"/>
    <w:rsid w:val="0068033A"/>
    <w:rsid w:val="00680AAE"/>
    <w:rsid w:val="0068173C"/>
    <w:rsid w:val="006817AF"/>
    <w:rsid w:val="006820FF"/>
    <w:rsid w:val="00682184"/>
    <w:rsid w:val="006821CC"/>
    <w:rsid w:val="0068256D"/>
    <w:rsid w:val="00682795"/>
    <w:rsid w:val="00683592"/>
    <w:rsid w:val="006836AA"/>
    <w:rsid w:val="00683796"/>
    <w:rsid w:val="00684C07"/>
    <w:rsid w:val="0068542B"/>
    <w:rsid w:val="00685467"/>
    <w:rsid w:val="00685E82"/>
    <w:rsid w:val="006864D5"/>
    <w:rsid w:val="00686596"/>
    <w:rsid w:val="00686868"/>
    <w:rsid w:val="00686CA3"/>
    <w:rsid w:val="00687097"/>
    <w:rsid w:val="00687307"/>
    <w:rsid w:val="0069013E"/>
    <w:rsid w:val="006905FD"/>
    <w:rsid w:val="00690E47"/>
    <w:rsid w:val="00691370"/>
    <w:rsid w:val="0069195E"/>
    <w:rsid w:val="00691E3B"/>
    <w:rsid w:val="00692444"/>
    <w:rsid w:val="00693383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0CA6"/>
    <w:rsid w:val="006A1512"/>
    <w:rsid w:val="006A18F3"/>
    <w:rsid w:val="006A1ECF"/>
    <w:rsid w:val="006A230B"/>
    <w:rsid w:val="006A351A"/>
    <w:rsid w:val="006A3B5A"/>
    <w:rsid w:val="006A411A"/>
    <w:rsid w:val="006A552D"/>
    <w:rsid w:val="006A5708"/>
    <w:rsid w:val="006A5A1C"/>
    <w:rsid w:val="006A6B2C"/>
    <w:rsid w:val="006A6D52"/>
    <w:rsid w:val="006A77FC"/>
    <w:rsid w:val="006A7BD0"/>
    <w:rsid w:val="006B0266"/>
    <w:rsid w:val="006B11E8"/>
    <w:rsid w:val="006B12D2"/>
    <w:rsid w:val="006B14FF"/>
    <w:rsid w:val="006B1FC1"/>
    <w:rsid w:val="006B2086"/>
    <w:rsid w:val="006B2CA2"/>
    <w:rsid w:val="006B3C2A"/>
    <w:rsid w:val="006B695F"/>
    <w:rsid w:val="006B6E07"/>
    <w:rsid w:val="006B6E0B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082"/>
    <w:rsid w:val="006C2BF9"/>
    <w:rsid w:val="006C2CF5"/>
    <w:rsid w:val="006C31B7"/>
    <w:rsid w:val="006C39DF"/>
    <w:rsid w:val="006C3B01"/>
    <w:rsid w:val="006C434A"/>
    <w:rsid w:val="006C4C14"/>
    <w:rsid w:val="006C60A7"/>
    <w:rsid w:val="006C6BFF"/>
    <w:rsid w:val="006C7006"/>
    <w:rsid w:val="006C770A"/>
    <w:rsid w:val="006C7D09"/>
    <w:rsid w:val="006D0BD2"/>
    <w:rsid w:val="006D0C10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29"/>
    <w:rsid w:val="006E2BE2"/>
    <w:rsid w:val="006E2F48"/>
    <w:rsid w:val="006E3028"/>
    <w:rsid w:val="006E3061"/>
    <w:rsid w:val="006E3C78"/>
    <w:rsid w:val="006E3F95"/>
    <w:rsid w:val="006E4152"/>
    <w:rsid w:val="006E51CE"/>
    <w:rsid w:val="006E54CD"/>
    <w:rsid w:val="006E6238"/>
    <w:rsid w:val="006E738B"/>
    <w:rsid w:val="006E743A"/>
    <w:rsid w:val="006E7C49"/>
    <w:rsid w:val="006E7EE4"/>
    <w:rsid w:val="006F0457"/>
    <w:rsid w:val="006F0688"/>
    <w:rsid w:val="006F0D13"/>
    <w:rsid w:val="006F0E4F"/>
    <w:rsid w:val="006F193E"/>
    <w:rsid w:val="006F1D72"/>
    <w:rsid w:val="006F2C8F"/>
    <w:rsid w:val="006F2FA8"/>
    <w:rsid w:val="006F304C"/>
    <w:rsid w:val="006F31BB"/>
    <w:rsid w:val="006F3583"/>
    <w:rsid w:val="006F3EDF"/>
    <w:rsid w:val="006F62E6"/>
    <w:rsid w:val="006F6A79"/>
    <w:rsid w:val="006F794A"/>
    <w:rsid w:val="006F7D06"/>
    <w:rsid w:val="0070068D"/>
    <w:rsid w:val="00700954"/>
    <w:rsid w:val="007034D0"/>
    <w:rsid w:val="00705643"/>
    <w:rsid w:val="00705867"/>
    <w:rsid w:val="00705BCE"/>
    <w:rsid w:val="007067B6"/>
    <w:rsid w:val="00706F3D"/>
    <w:rsid w:val="00707120"/>
    <w:rsid w:val="00707360"/>
    <w:rsid w:val="00707602"/>
    <w:rsid w:val="007101B4"/>
    <w:rsid w:val="00710424"/>
    <w:rsid w:val="00710591"/>
    <w:rsid w:val="00710D71"/>
    <w:rsid w:val="007114B7"/>
    <w:rsid w:val="007119A5"/>
    <w:rsid w:val="00711ED0"/>
    <w:rsid w:val="007122EA"/>
    <w:rsid w:val="007125AF"/>
    <w:rsid w:val="00712B97"/>
    <w:rsid w:val="0071373B"/>
    <w:rsid w:val="007137CC"/>
    <w:rsid w:val="00714273"/>
    <w:rsid w:val="007143DA"/>
    <w:rsid w:val="00714B40"/>
    <w:rsid w:val="00714E60"/>
    <w:rsid w:val="00715DF7"/>
    <w:rsid w:val="00715FBB"/>
    <w:rsid w:val="00716AC6"/>
    <w:rsid w:val="00716E1D"/>
    <w:rsid w:val="00717305"/>
    <w:rsid w:val="00717A01"/>
    <w:rsid w:val="00720767"/>
    <w:rsid w:val="0072177C"/>
    <w:rsid w:val="00721B0F"/>
    <w:rsid w:val="00722189"/>
    <w:rsid w:val="007224D0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27BBA"/>
    <w:rsid w:val="007325A2"/>
    <w:rsid w:val="00732857"/>
    <w:rsid w:val="007328CF"/>
    <w:rsid w:val="00732D99"/>
    <w:rsid w:val="0073492C"/>
    <w:rsid w:val="00735048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842"/>
    <w:rsid w:val="00743C10"/>
    <w:rsid w:val="00744469"/>
    <w:rsid w:val="00744E00"/>
    <w:rsid w:val="007450B8"/>
    <w:rsid w:val="00745108"/>
    <w:rsid w:val="00745483"/>
    <w:rsid w:val="00745AD8"/>
    <w:rsid w:val="00745DC4"/>
    <w:rsid w:val="0074699A"/>
    <w:rsid w:val="00750029"/>
    <w:rsid w:val="00750300"/>
    <w:rsid w:val="007516A5"/>
    <w:rsid w:val="00751780"/>
    <w:rsid w:val="00751949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1D08"/>
    <w:rsid w:val="00762239"/>
    <w:rsid w:val="00763124"/>
    <w:rsid w:val="00763B79"/>
    <w:rsid w:val="007645FF"/>
    <w:rsid w:val="00765A34"/>
    <w:rsid w:val="00766BC9"/>
    <w:rsid w:val="00766FB9"/>
    <w:rsid w:val="0076762A"/>
    <w:rsid w:val="0076780C"/>
    <w:rsid w:val="00767C96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5997"/>
    <w:rsid w:val="0077630F"/>
    <w:rsid w:val="00776ACD"/>
    <w:rsid w:val="00777AFE"/>
    <w:rsid w:val="00777F87"/>
    <w:rsid w:val="00780E61"/>
    <w:rsid w:val="00781B40"/>
    <w:rsid w:val="00781DEE"/>
    <w:rsid w:val="00782F93"/>
    <w:rsid w:val="00783280"/>
    <w:rsid w:val="0078348A"/>
    <w:rsid w:val="0078439E"/>
    <w:rsid w:val="00784FCF"/>
    <w:rsid w:val="0078567D"/>
    <w:rsid w:val="00786307"/>
    <w:rsid w:val="007909B3"/>
    <w:rsid w:val="007926D5"/>
    <w:rsid w:val="007933DD"/>
    <w:rsid w:val="007937C5"/>
    <w:rsid w:val="007942AD"/>
    <w:rsid w:val="00795F00"/>
    <w:rsid w:val="00796363"/>
    <w:rsid w:val="00796BF0"/>
    <w:rsid w:val="00797C38"/>
    <w:rsid w:val="007A00D5"/>
    <w:rsid w:val="007A02DF"/>
    <w:rsid w:val="007A0429"/>
    <w:rsid w:val="007A0E66"/>
    <w:rsid w:val="007A106F"/>
    <w:rsid w:val="007A2498"/>
    <w:rsid w:val="007A24BB"/>
    <w:rsid w:val="007A29D4"/>
    <w:rsid w:val="007A3C20"/>
    <w:rsid w:val="007A4238"/>
    <w:rsid w:val="007A430C"/>
    <w:rsid w:val="007A5BDE"/>
    <w:rsid w:val="007A7334"/>
    <w:rsid w:val="007B062B"/>
    <w:rsid w:val="007B1D47"/>
    <w:rsid w:val="007B1E4F"/>
    <w:rsid w:val="007B2888"/>
    <w:rsid w:val="007B2E46"/>
    <w:rsid w:val="007B348B"/>
    <w:rsid w:val="007B3B43"/>
    <w:rsid w:val="007B4778"/>
    <w:rsid w:val="007B48BA"/>
    <w:rsid w:val="007B4A01"/>
    <w:rsid w:val="007B4AFC"/>
    <w:rsid w:val="007B4F7A"/>
    <w:rsid w:val="007B5150"/>
    <w:rsid w:val="007B601C"/>
    <w:rsid w:val="007B6A7F"/>
    <w:rsid w:val="007B7908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C1F"/>
    <w:rsid w:val="007C5EDE"/>
    <w:rsid w:val="007C61F7"/>
    <w:rsid w:val="007C6E99"/>
    <w:rsid w:val="007C7142"/>
    <w:rsid w:val="007C7AFB"/>
    <w:rsid w:val="007D01A0"/>
    <w:rsid w:val="007D04AD"/>
    <w:rsid w:val="007D0603"/>
    <w:rsid w:val="007D0A9F"/>
    <w:rsid w:val="007D0D66"/>
    <w:rsid w:val="007D1A82"/>
    <w:rsid w:val="007D25AD"/>
    <w:rsid w:val="007D2A65"/>
    <w:rsid w:val="007D40C4"/>
    <w:rsid w:val="007D41E2"/>
    <w:rsid w:val="007D4ED5"/>
    <w:rsid w:val="007D6641"/>
    <w:rsid w:val="007D7195"/>
    <w:rsid w:val="007D7349"/>
    <w:rsid w:val="007D76C4"/>
    <w:rsid w:val="007D78F4"/>
    <w:rsid w:val="007D7EEF"/>
    <w:rsid w:val="007D7FDE"/>
    <w:rsid w:val="007E05B5"/>
    <w:rsid w:val="007E06E3"/>
    <w:rsid w:val="007E0752"/>
    <w:rsid w:val="007E08B4"/>
    <w:rsid w:val="007E0AC6"/>
    <w:rsid w:val="007E0D7B"/>
    <w:rsid w:val="007E16E6"/>
    <w:rsid w:val="007E32BD"/>
    <w:rsid w:val="007E656C"/>
    <w:rsid w:val="007E6919"/>
    <w:rsid w:val="007E79BB"/>
    <w:rsid w:val="007F09E0"/>
    <w:rsid w:val="007F0EBD"/>
    <w:rsid w:val="007F1437"/>
    <w:rsid w:val="007F2CA7"/>
    <w:rsid w:val="007F2FA3"/>
    <w:rsid w:val="007F312E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3E6"/>
    <w:rsid w:val="00807B58"/>
    <w:rsid w:val="00811BB0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03B"/>
    <w:rsid w:val="00820C60"/>
    <w:rsid w:val="00820E63"/>
    <w:rsid w:val="00821160"/>
    <w:rsid w:val="0082184D"/>
    <w:rsid w:val="00821983"/>
    <w:rsid w:val="0082199A"/>
    <w:rsid w:val="00822DD6"/>
    <w:rsid w:val="00822F6F"/>
    <w:rsid w:val="00823DE5"/>
    <w:rsid w:val="00823EFA"/>
    <w:rsid w:val="008246A6"/>
    <w:rsid w:val="00824C0F"/>
    <w:rsid w:val="00825C9C"/>
    <w:rsid w:val="00825F06"/>
    <w:rsid w:val="0082604B"/>
    <w:rsid w:val="0082614F"/>
    <w:rsid w:val="0082622E"/>
    <w:rsid w:val="0082661B"/>
    <w:rsid w:val="00826B58"/>
    <w:rsid w:val="00826D44"/>
    <w:rsid w:val="00827634"/>
    <w:rsid w:val="00827916"/>
    <w:rsid w:val="00827C0D"/>
    <w:rsid w:val="00827DC9"/>
    <w:rsid w:val="00827DE2"/>
    <w:rsid w:val="0083042C"/>
    <w:rsid w:val="0083058B"/>
    <w:rsid w:val="0083125D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688"/>
    <w:rsid w:val="00835BBC"/>
    <w:rsid w:val="00837999"/>
    <w:rsid w:val="008379F4"/>
    <w:rsid w:val="008400A3"/>
    <w:rsid w:val="0084029C"/>
    <w:rsid w:val="008407EE"/>
    <w:rsid w:val="00842AB8"/>
    <w:rsid w:val="0084366E"/>
    <w:rsid w:val="0084390C"/>
    <w:rsid w:val="00843B31"/>
    <w:rsid w:val="00844D2C"/>
    <w:rsid w:val="00845B57"/>
    <w:rsid w:val="00845E27"/>
    <w:rsid w:val="00846510"/>
    <w:rsid w:val="008473C5"/>
    <w:rsid w:val="008504B5"/>
    <w:rsid w:val="00851B6E"/>
    <w:rsid w:val="00851DBD"/>
    <w:rsid w:val="00851ED1"/>
    <w:rsid w:val="00852392"/>
    <w:rsid w:val="008528CB"/>
    <w:rsid w:val="00853079"/>
    <w:rsid w:val="008533E4"/>
    <w:rsid w:val="00853CBC"/>
    <w:rsid w:val="00855149"/>
    <w:rsid w:val="008557C6"/>
    <w:rsid w:val="00856033"/>
    <w:rsid w:val="008577BA"/>
    <w:rsid w:val="00857F10"/>
    <w:rsid w:val="008607BD"/>
    <w:rsid w:val="00860A63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4D7"/>
    <w:rsid w:val="00867752"/>
    <w:rsid w:val="008704DD"/>
    <w:rsid w:val="008735A9"/>
    <w:rsid w:val="0087389D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14D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3925"/>
    <w:rsid w:val="00893EDA"/>
    <w:rsid w:val="008941B1"/>
    <w:rsid w:val="00894425"/>
    <w:rsid w:val="008944F4"/>
    <w:rsid w:val="00894BC8"/>
    <w:rsid w:val="00895293"/>
    <w:rsid w:val="00895E43"/>
    <w:rsid w:val="00895FC6"/>
    <w:rsid w:val="0089607C"/>
    <w:rsid w:val="00896312"/>
    <w:rsid w:val="00896515"/>
    <w:rsid w:val="00897342"/>
    <w:rsid w:val="008A0C9C"/>
    <w:rsid w:val="008A184F"/>
    <w:rsid w:val="008A1CBA"/>
    <w:rsid w:val="008A1F00"/>
    <w:rsid w:val="008A22C8"/>
    <w:rsid w:val="008A2B76"/>
    <w:rsid w:val="008A3AF4"/>
    <w:rsid w:val="008A448E"/>
    <w:rsid w:val="008A49DB"/>
    <w:rsid w:val="008A4DF1"/>
    <w:rsid w:val="008A6651"/>
    <w:rsid w:val="008A6CD6"/>
    <w:rsid w:val="008B0864"/>
    <w:rsid w:val="008B1424"/>
    <w:rsid w:val="008B1F2A"/>
    <w:rsid w:val="008B44A6"/>
    <w:rsid w:val="008B4A63"/>
    <w:rsid w:val="008B4AC5"/>
    <w:rsid w:val="008B4BB5"/>
    <w:rsid w:val="008B4FD3"/>
    <w:rsid w:val="008B50A5"/>
    <w:rsid w:val="008B57B9"/>
    <w:rsid w:val="008B595A"/>
    <w:rsid w:val="008B6246"/>
    <w:rsid w:val="008B629D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4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4AA"/>
    <w:rsid w:val="008D45C1"/>
    <w:rsid w:val="008D4C14"/>
    <w:rsid w:val="008D51E7"/>
    <w:rsid w:val="008D56B0"/>
    <w:rsid w:val="008D72E0"/>
    <w:rsid w:val="008D7771"/>
    <w:rsid w:val="008D7E8B"/>
    <w:rsid w:val="008E0A82"/>
    <w:rsid w:val="008E1D55"/>
    <w:rsid w:val="008E2245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1B"/>
    <w:rsid w:val="008F2722"/>
    <w:rsid w:val="008F33D5"/>
    <w:rsid w:val="008F3C1D"/>
    <w:rsid w:val="008F448C"/>
    <w:rsid w:val="008F4F52"/>
    <w:rsid w:val="008F569E"/>
    <w:rsid w:val="008F617D"/>
    <w:rsid w:val="008F649D"/>
    <w:rsid w:val="008F6A9C"/>
    <w:rsid w:val="008F7AF7"/>
    <w:rsid w:val="00900152"/>
    <w:rsid w:val="009003A0"/>
    <w:rsid w:val="00901E11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253"/>
    <w:rsid w:val="0090769B"/>
    <w:rsid w:val="00907B6A"/>
    <w:rsid w:val="0091058F"/>
    <w:rsid w:val="009108B8"/>
    <w:rsid w:val="00910B8F"/>
    <w:rsid w:val="00911F1B"/>
    <w:rsid w:val="00912426"/>
    <w:rsid w:val="00912704"/>
    <w:rsid w:val="00912930"/>
    <w:rsid w:val="00912A95"/>
    <w:rsid w:val="009130EC"/>
    <w:rsid w:val="009137E2"/>
    <w:rsid w:val="00913D87"/>
    <w:rsid w:val="009141A8"/>
    <w:rsid w:val="00915686"/>
    <w:rsid w:val="00916F2D"/>
    <w:rsid w:val="00917757"/>
    <w:rsid w:val="00917D1F"/>
    <w:rsid w:val="00920825"/>
    <w:rsid w:val="009208FB"/>
    <w:rsid w:val="00921080"/>
    <w:rsid w:val="00921B19"/>
    <w:rsid w:val="00922514"/>
    <w:rsid w:val="009228E3"/>
    <w:rsid w:val="00922AF0"/>
    <w:rsid w:val="009251D3"/>
    <w:rsid w:val="00925A8C"/>
    <w:rsid w:val="00925C4D"/>
    <w:rsid w:val="0092631F"/>
    <w:rsid w:val="009264DD"/>
    <w:rsid w:val="009264E7"/>
    <w:rsid w:val="0092695A"/>
    <w:rsid w:val="00926B60"/>
    <w:rsid w:val="0092700E"/>
    <w:rsid w:val="00927831"/>
    <w:rsid w:val="00927ECD"/>
    <w:rsid w:val="0093047E"/>
    <w:rsid w:val="00930FD8"/>
    <w:rsid w:val="009314EC"/>
    <w:rsid w:val="009323ED"/>
    <w:rsid w:val="00932455"/>
    <w:rsid w:val="009326A8"/>
    <w:rsid w:val="009341B4"/>
    <w:rsid w:val="009342AC"/>
    <w:rsid w:val="00935CCF"/>
    <w:rsid w:val="009367D0"/>
    <w:rsid w:val="00937628"/>
    <w:rsid w:val="009407CD"/>
    <w:rsid w:val="00941491"/>
    <w:rsid w:val="00941528"/>
    <w:rsid w:val="00943520"/>
    <w:rsid w:val="0094372F"/>
    <w:rsid w:val="00943EDF"/>
    <w:rsid w:val="0094475D"/>
    <w:rsid w:val="00945AD3"/>
    <w:rsid w:val="00946866"/>
    <w:rsid w:val="00947733"/>
    <w:rsid w:val="00947A4C"/>
    <w:rsid w:val="00950395"/>
    <w:rsid w:val="0095040C"/>
    <w:rsid w:val="009508D9"/>
    <w:rsid w:val="00950B72"/>
    <w:rsid w:val="00950CC4"/>
    <w:rsid w:val="009514A1"/>
    <w:rsid w:val="00951B74"/>
    <w:rsid w:val="009526BA"/>
    <w:rsid w:val="0095365D"/>
    <w:rsid w:val="00953D66"/>
    <w:rsid w:val="00954235"/>
    <w:rsid w:val="00954470"/>
    <w:rsid w:val="00954471"/>
    <w:rsid w:val="00954845"/>
    <w:rsid w:val="009559E4"/>
    <w:rsid w:val="00955B9E"/>
    <w:rsid w:val="00955C8A"/>
    <w:rsid w:val="009563BB"/>
    <w:rsid w:val="00956640"/>
    <w:rsid w:val="00957271"/>
    <w:rsid w:val="009576E4"/>
    <w:rsid w:val="00957813"/>
    <w:rsid w:val="00957A04"/>
    <w:rsid w:val="00957E37"/>
    <w:rsid w:val="00957FC4"/>
    <w:rsid w:val="009603D0"/>
    <w:rsid w:val="00960BF0"/>
    <w:rsid w:val="00960F97"/>
    <w:rsid w:val="0096153B"/>
    <w:rsid w:val="00961623"/>
    <w:rsid w:val="00962AD8"/>
    <w:rsid w:val="009637A0"/>
    <w:rsid w:val="0096486F"/>
    <w:rsid w:val="00965AF2"/>
    <w:rsid w:val="00966D00"/>
    <w:rsid w:val="009716F2"/>
    <w:rsid w:val="00972F22"/>
    <w:rsid w:val="009734BD"/>
    <w:rsid w:val="00975C25"/>
    <w:rsid w:val="00975C85"/>
    <w:rsid w:val="009766A1"/>
    <w:rsid w:val="00976C98"/>
    <w:rsid w:val="00977552"/>
    <w:rsid w:val="00980D01"/>
    <w:rsid w:val="0098132C"/>
    <w:rsid w:val="009814DD"/>
    <w:rsid w:val="00981872"/>
    <w:rsid w:val="00982402"/>
    <w:rsid w:val="00983D5F"/>
    <w:rsid w:val="00985AB3"/>
    <w:rsid w:val="00985DD2"/>
    <w:rsid w:val="0098660E"/>
    <w:rsid w:val="0098677B"/>
    <w:rsid w:val="00986BBD"/>
    <w:rsid w:val="009874E6"/>
    <w:rsid w:val="00987987"/>
    <w:rsid w:val="00991EC1"/>
    <w:rsid w:val="009921AC"/>
    <w:rsid w:val="00995616"/>
    <w:rsid w:val="00995ED3"/>
    <w:rsid w:val="00996593"/>
    <w:rsid w:val="009969D7"/>
    <w:rsid w:val="00997118"/>
    <w:rsid w:val="009974CC"/>
    <w:rsid w:val="00997739"/>
    <w:rsid w:val="009978D4"/>
    <w:rsid w:val="00997EF3"/>
    <w:rsid w:val="00997F9E"/>
    <w:rsid w:val="009A00F9"/>
    <w:rsid w:val="009A031F"/>
    <w:rsid w:val="009A19F3"/>
    <w:rsid w:val="009A1F5D"/>
    <w:rsid w:val="009A1FF0"/>
    <w:rsid w:val="009A2085"/>
    <w:rsid w:val="009A2EF1"/>
    <w:rsid w:val="009A3696"/>
    <w:rsid w:val="009A3BC1"/>
    <w:rsid w:val="009A3F75"/>
    <w:rsid w:val="009A4537"/>
    <w:rsid w:val="009A4775"/>
    <w:rsid w:val="009A47E3"/>
    <w:rsid w:val="009A55CF"/>
    <w:rsid w:val="009A586D"/>
    <w:rsid w:val="009A6208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3682"/>
    <w:rsid w:val="009B46B1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6CA"/>
    <w:rsid w:val="009C09FE"/>
    <w:rsid w:val="009C1AE3"/>
    <w:rsid w:val="009C2B2F"/>
    <w:rsid w:val="009C4710"/>
    <w:rsid w:val="009C4E2C"/>
    <w:rsid w:val="009C5A25"/>
    <w:rsid w:val="009C6033"/>
    <w:rsid w:val="009C6D75"/>
    <w:rsid w:val="009C76E3"/>
    <w:rsid w:val="009D0026"/>
    <w:rsid w:val="009D12BB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1713"/>
    <w:rsid w:val="009E1838"/>
    <w:rsid w:val="009E2221"/>
    <w:rsid w:val="009E2A58"/>
    <w:rsid w:val="009E3156"/>
    <w:rsid w:val="009E4BA8"/>
    <w:rsid w:val="009E52D7"/>
    <w:rsid w:val="009E639B"/>
    <w:rsid w:val="009E682C"/>
    <w:rsid w:val="009E6A28"/>
    <w:rsid w:val="009E6EC6"/>
    <w:rsid w:val="009E7131"/>
    <w:rsid w:val="009E781A"/>
    <w:rsid w:val="009F1AFE"/>
    <w:rsid w:val="009F3324"/>
    <w:rsid w:val="009F5D22"/>
    <w:rsid w:val="009F7A1C"/>
    <w:rsid w:val="00A000CA"/>
    <w:rsid w:val="00A00639"/>
    <w:rsid w:val="00A01489"/>
    <w:rsid w:val="00A01B7C"/>
    <w:rsid w:val="00A01E00"/>
    <w:rsid w:val="00A0221A"/>
    <w:rsid w:val="00A0394D"/>
    <w:rsid w:val="00A04837"/>
    <w:rsid w:val="00A05DD2"/>
    <w:rsid w:val="00A064CC"/>
    <w:rsid w:val="00A075D5"/>
    <w:rsid w:val="00A104FC"/>
    <w:rsid w:val="00A108C3"/>
    <w:rsid w:val="00A10B2D"/>
    <w:rsid w:val="00A110F7"/>
    <w:rsid w:val="00A124D9"/>
    <w:rsid w:val="00A129F3"/>
    <w:rsid w:val="00A12E28"/>
    <w:rsid w:val="00A137F7"/>
    <w:rsid w:val="00A13982"/>
    <w:rsid w:val="00A13B42"/>
    <w:rsid w:val="00A142FF"/>
    <w:rsid w:val="00A147DB"/>
    <w:rsid w:val="00A14D09"/>
    <w:rsid w:val="00A14DE7"/>
    <w:rsid w:val="00A15A25"/>
    <w:rsid w:val="00A15B7C"/>
    <w:rsid w:val="00A160AD"/>
    <w:rsid w:val="00A161A9"/>
    <w:rsid w:val="00A1669E"/>
    <w:rsid w:val="00A16D17"/>
    <w:rsid w:val="00A16EFD"/>
    <w:rsid w:val="00A174D4"/>
    <w:rsid w:val="00A20BC5"/>
    <w:rsid w:val="00A21054"/>
    <w:rsid w:val="00A21497"/>
    <w:rsid w:val="00A2228C"/>
    <w:rsid w:val="00A22750"/>
    <w:rsid w:val="00A231DE"/>
    <w:rsid w:val="00A23AA7"/>
    <w:rsid w:val="00A24DA0"/>
    <w:rsid w:val="00A24DBB"/>
    <w:rsid w:val="00A25B0F"/>
    <w:rsid w:val="00A26209"/>
    <w:rsid w:val="00A2713E"/>
    <w:rsid w:val="00A271B5"/>
    <w:rsid w:val="00A276D8"/>
    <w:rsid w:val="00A27CEB"/>
    <w:rsid w:val="00A27F1A"/>
    <w:rsid w:val="00A301EC"/>
    <w:rsid w:val="00A3041C"/>
    <w:rsid w:val="00A3172A"/>
    <w:rsid w:val="00A3172D"/>
    <w:rsid w:val="00A33336"/>
    <w:rsid w:val="00A33B5D"/>
    <w:rsid w:val="00A34F03"/>
    <w:rsid w:val="00A35435"/>
    <w:rsid w:val="00A36A75"/>
    <w:rsid w:val="00A374B1"/>
    <w:rsid w:val="00A400D9"/>
    <w:rsid w:val="00A413F7"/>
    <w:rsid w:val="00A41973"/>
    <w:rsid w:val="00A420CE"/>
    <w:rsid w:val="00A4271C"/>
    <w:rsid w:val="00A42774"/>
    <w:rsid w:val="00A43410"/>
    <w:rsid w:val="00A43695"/>
    <w:rsid w:val="00A43DB9"/>
    <w:rsid w:val="00A440C8"/>
    <w:rsid w:val="00A44630"/>
    <w:rsid w:val="00A44D94"/>
    <w:rsid w:val="00A44E07"/>
    <w:rsid w:val="00A45128"/>
    <w:rsid w:val="00A4517E"/>
    <w:rsid w:val="00A45357"/>
    <w:rsid w:val="00A463E7"/>
    <w:rsid w:val="00A47081"/>
    <w:rsid w:val="00A502E5"/>
    <w:rsid w:val="00A5076A"/>
    <w:rsid w:val="00A51B13"/>
    <w:rsid w:val="00A51DC1"/>
    <w:rsid w:val="00A52030"/>
    <w:rsid w:val="00A521F4"/>
    <w:rsid w:val="00A5313B"/>
    <w:rsid w:val="00A53B08"/>
    <w:rsid w:val="00A54254"/>
    <w:rsid w:val="00A544A4"/>
    <w:rsid w:val="00A54563"/>
    <w:rsid w:val="00A547C5"/>
    <w:rsid w:val="00A5547F"/>
    <w:rsid w:val="00A5727A"/>
    <w:rsid w:val="00A604A4"/>
    <w:rsid w:val="00A60894"/>
    <w:rsid w:val="00A6165A"/>
    <w:rsid w:val="00A627E3"/>
    <w:rsid w:val="00A6296B"/>
    <w:rsid w:val="00A62BF9"/>
    <w:rsid w:val="00A63363"/>
    <w:rsid w:val="00A640D3"/>
    <w:rsid w:val="00A644C5"/>
    <w:rsid w:val="00A654CA"/>
    <w:rsid w:val="00A662D6"/>
    <w:rsid w:val="00A675BA"/>
    <w:rsid w:val="00A67864"/>
    <w:rsid w:val="00A67EC1"/>
    <w:rsid w:val="00A67FF0"/>
    <w:rsid w:val="00A70962"/>
    <w:rsid w:val="00A70B4A"/>
    <w:rsid w:val="00A71494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4B79"/>
    <w:rsid w:val="00A76613"/>
    <w:rsid w:val="00A77DC2"/>
    <w:rsid w:val="00A816B2"/>
    <w:rsid w:val="00A82F5A"/>
    <w:rsid w:val="00A83598"/>
    <w:rsid w:val="00A83E10"/>
    <w:rsid w:val="00A84468"/>
    <w:rsid w:val="00A845C7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D14"/>
    <w:rsid w:val="00A95E94"/>
    <w:rsid w:val="00A95F76"/>
    <w:rsid w:val="00A96DD3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572E"/>
    <w:rsid w:val="00AA6346"/>
    <w:rsid w:val="00AA7979"/>
    <w:rsid w:val="00AB0687"/>
    <w:rsid w:val="00AB1B38"/>
    <w:rsid w:val="00AB1EE4"/>
    <w:rsid w:val="00AB2E25"/>
    <w:rsid w:val="00AB33B7"/>
    <w:rsid w:val="00AB3936"/>
    <w:rsid w:val="00AB3BCE"/>
    <w:rsid w:val="00AB3C59"/>
    <w:rsid w:val="00AB3FF2"/>
    <w:rsid w:val="00AB4418"/>
    <w:rsid w:val="00AB4E95"/>
    <w:rsid w:val="00AB588A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4978"/>
    <w:rsid w:val="00AC65CC"/>
    <w:rsid w:val="00AC66D2"/>
    <w:rsid w:val="00AC7072"/>
    <w:rsid w:val="00AC757D"/>
    <w:rsid w:val="00AD0F13"/>
    <w:rsid w:val="00AD1582"/>
    <w:rsid w:val="00AD272E"/>
    <w:rsid w:val="00AD279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42C"/>
    <w:rsid w:val="00AE068C"/>
    <w:rsid w:val="00AE0AA7"/>
    <w:rsid w:val="00AE0D89"/>
    <w:rsid w:val="00AE1ADA"/>
    <w:rsid w:val="00AE1C32"/>
    <w:rsid w:val="00AE2082"/>
    <w:rsid w:val="00AE2438"/>
    <w:rsid w:val="00AE2522"/>
    <w:rsid w:val="00AE27A6"/>
    <w:rsid w:val="00AE2ABD"/>
    <w:rsid w:val="00AE2D48"/>
    <w:rsid w:val="00AE3F60"/>
    <w:rsid w:val="00AE49D4"/>
    <w:rsid w:val="00AE540D"/>
    <w:rsid w:val="00AE553B"/>
    <w:rsid w:val="00AE5641"/>
    <w:rsid w:val="00AE5E67"/>
    <w:rsid w:val="00AE67F8"/>
    <w:rsid w:val="00AE779F"/>
    <w:rsid w:val="00AF015F"/>
    <w:rsid w:val="00AF09F9"/>
    <w:rsid w:val="00AF162A"/>
    <w:rsid w:val="00AF3096"/>
    <w:rsid w:val="00AF3E95"/>
    <w:rsid w:val="00AF4665"/>
    <w:rsid w:val="00AF5E0B"/>
    <w:rsid w:val="00AF6349"/>
    <w:rsid w:val="00AF6524"/>
    <w:rsid w:val="00AF6C57"/>
    <w:rsid w:val="00AF6EFE"/>
    <w:rsid w:val="00AF73DF"/>
    <w:rsid w:val="00AF7CC6"/>
    <w:rsid w:val="00B01809"/>
    <w:rsid w:val="00B01E6B"/>
    <w:rsid w:val="00B0265D"/>
    <w:rsid w:val="00B0283E"/>
    <w:rsid w:val="00B02BDD"/>
    <w:rsid w:val="00B02DF7"/>
    <w:rsid w:val="00B03021"/>
    <w:rsid w:val="00B033F4"/>
    <w:rsid w:val="00B04FEC"/>
    <w:rsid w:val="00B0688B"/>
    <w:rsid w:val="00B068B5"/>
    <w:rsid w:val="00B06DB1"/>
    <w:rsid w:val="00B06E0C"/>
    <w:rsid w:val="00B07126"/>
    <w:rsid w:val="00B10786"/>
    <w:rsid w:val="00B10909"/>
    <w:rsid w:val="00B10F10"/>
    <w:rsid w:val="00B11331"/>
    <w:rsid w:val="00B117F6"/>
    <w:rsid w:val="00B12047"/>
    <w:rsid w:val="00B12201"/>
    <w:rsid w:val="00B133D8"/>
    <w:rsid w:val="00B13833"/>
    <w:rsid w:val="00B13D51"/>
    <w:rsid w:val="00B14433"/>
    <w:rsid w:val="00B14A37"/>
    <w:rsid w:val="00B16CE4"/>
    <w:rsid w:val="00B16D1D"/>
    <w:rsid w:val="00B16E69"/>
    <w:rsid w:val="00B20494"/>
    <w:rsid w:val="00B2066F"/>
    <w:rsid w:val="00B208CD"/>
    <w:rsid w:val="00B226CD"/>
    <w:rsid w:val="00B2336A"/>
    <w:rsid w:val="00B234AD"/>
    <w:rsid w:val="00B23CA0"/>
    <w:rsid w:val="00B2594D"/>
    <w:rsid w:val="00B25F7A"/>
    <w:rsid w:val="00B26267"/>
    <w:rsid w:val="00B27215"/>
    <w:rsid w:val="00B2778E"/>
    <w:rsid w:val="00B30497"/>
    <w:rsid w:val="00B3257C"/>
    <w:rsid w:val="00B33383"/>
    <w:rsid w:val="00B33398"/>
    <w:rsid w:val="00B33DDD"/>
    <w:rsid w:val="00B36132"/>
    <w:rsid w:val="00B3617A"/>
    <w:rsid w:val="00B36214"/>
    <w:rsid w:val="00B36B99"/>
    <w:rsid w:val="00B36D2C"/>
    <w:rsid w:val="00B36E89"/>
    <w:rsid w:val="00B40371"/>
    <w:rsid w:val="00B4062C"/>
    <w:rsid w:val="00B4075F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468B0"/>
    <w:rsid w:val="00B50AB7"/>
    <w:rsid w:val="00B50EDD"/>
    <w:rsid w:val="00B531DA"/>
    <w:rsid w:val="00B53682"/>
    <w:rsid w:val="00B55B9F"/>
    <w:rsid w:val="00B56427"/>
    <w:rsid w:val="00B56764"/>
    <w:rsid w:val="00B56866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86A"/>
    <w:rsid w:val="00B64C69"/>
    <w:rsid w:val="00B64FE9"/>
    <w:rsid w:val="00B66ADA"/>
    <w:rsid w:val="00B67B3D"/>
    <w:rsid w:val="00B67E26"/>
    <w:rsid w:val="00B70A77"/>
    <w:rsid w:val="00B70FEA"/>
    <w:rsid w:val="00B7208B"/>
    <w:rsid w:val="00B72B19"/>
    <w:rsid w:val="00B72F87"/>
    <w:rsid w:val="00B7305B"/>
    <w:rsid w:val="00B73BA8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7C7"/>
    <w:rsid w:val="00B86C71"/>
    <w:rsid w:val="00B87925"/>
    <w:rsid w:val="00B87AC9"/>
    <w:rsid w:val="00B87C77"/>
    <w:rsid w:val="00B92516"/>
    <w:rsid w:val="00B9360A"/>
    <w:rsid w:val="00B94BD5"/>
    <w:rsid w:val="00B95E56"/>
    <w:rsid w:val="00B96E0C"/>
    <w:rsid w:val="00BA05AF"/>
    <w:rsid w:val="00BA05CB"/>
    <w:rsid w:val="00BA1244"/>
    <w:rsid w:val="00BA1CE0"/>
    <w:rsid w:val="00BA20BF"/>
    <w:rsid w:val="00BA238B"/>
    <w:rsid w:val="00BA2EF0"/>
    <w:rsid w:val="00BA3B9E"/>
    <w:rsid w:val="00BA3D32"/>
    <w:rsid w:val="00BA3DCF"/>
    <w:rsid w:val="00BA4BBD"/>
    <w:rsid w:val="00BA63CF"/>
    <w:rsid w:val="00BA714C"/>
    <w:rsid w:val="00BA72B1"/>
    <w:rsid w:val="00BA7DC0"/>
    <w:rsid w:val="00BA7DFB"/>
    <w:rsid w:val="00BA7EA7"/>
    <w:rsid w:val="00BB0D2B"/>
    <w:rsid w:val="00BB1F54"/>
    <w:rsid w:val="00BB23E7"/>
    <w:rsid w:val="00BB3BBC"/>
    <w:rsid w:val="00BB3C65"/>
    <w:rsid w:val="00BB47D6"/>
    <w:rsid w:val="00BB4BB2"/>
    <w:rsid w:val="00BC0290"/>
    <w:rsid w:val="00BC1675"/>
    <w:rsid w:val="00BC1AA8"/>
    <w:rsid w:val="00BC1F59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6E6A"/>
    <w:rsid w:val="00BC7770"/>
    <w:rsid w:val="00BC7C39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D58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63A"/>
    <w:rsid w:val="00BE5779"/>
    <w:rsid w:val="00BE5DA1"/>
    <w:rsid w:val="00BE624F"/>
    <w:rsid w:val="00BE681E"/>
    <w:rsid w:val="00BE780B"/>
    <w:rsid w:val="00BF011D"/>
    <w:rsid w:val="00BF0995"/>
    <w:rsid w:val="00BF0E04"/>
    <w:rsid w:val="00BF0F38"/>
    <w:rsid w:val="00BF14F4"/>
    <w:rsid w:val="00BF15FE"/>
    <w:rsid w:val="00BF167B"/>
    <w:rsid w:val="00BF1D74"/>
    <w:rsid w:val="00BF1FA7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6A79"/>
    <w:rsid w:val="00BF7AFA"/>
    <w:rsid w:val="00C00A53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A30"/>
    <w:rsid w:val="00C07FB5"/>
    <w:rsid w:val="00C1044F"/>
    <w:rsid w:val="00C10A05"/>
    <w:rsid w:val="00C10BA4"/>
    <w:rsid w:val="00C10C88"/>
    <w:rsid w:val="00C10FFA"/>
    <w:rsid w:val="00C12E9C"/>
    <w:rsid w:val="00C12EDB"/>
    <w:rsid w:val="00C13086"/>
    <w:rsid w:val="00C142AB"/>
    <w:rsid w:val="00C145FF"/>
    <w:rsid w:val="00C15694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42"/>
    <w:rsid w:val="00C229EC"/>
    <w:rsid w:val="00C22F96"/>
    <w:rsid w:val="00C24190"/>
    <w:rsid w:val="00C24351"/>
    <w:rsid w:val="00C247BD"/>
    <w:rsid w:val="00C25E2E"/>
    <w:rsid w:val="00C25F02"/>
    <w:rsid w:val="00C268CF"/>
    <w:rsid w:val="00C26D09"/>
    <w:rsid w:val="00C273DE"/>
    <w:rsid w:val="00C2764E"/>
    <w:rsid w:val="00C305AE"/>
    <w:rsid w:val="00C307A8"/>
    <w:rsid w:val="00C30E83"/>
    <w:rsid w:val="00C31267"/>
    <w:rsid w:val="00C334F9"/>
    <w:rsid w:val="00C3468B"/>
    <w:rsid w:val="00C34A2C"/>
    <w:rsid w:val="00C359BC"/>
    <w:rsid w:val="00C35BF2"/>
    <w:rsid w:val="00C35F99"/>
    <w:rsid w:val="00C3622D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3707"/>
    <w:rsid w:val="00C43C9E"/>
    <w:rsid w:val="00C46F57"/>
    <w:rsid w:val="00C476FD"/>
    <w:rsid w:val="00C50A28"/>
    <w:rsid w:val="00C51B7C"/>
    <w:rsid w:val="00C51C29"/>
    <w:rsid w:val="00C52025"/>
    <w:rsid w:val="00C52A81"/>
    <w:rsid w:val="00C53EFD"/>
    <w:rsid w:val="00C5433E"/>
    <w:rsid w:val="00C54C3D"/>
    <w:rsid w:val="00C54D83"/>
    <w:rsid w:val="00C55103"/>
    <w:rsid w:val="00C553B5"/>
    <w:rsid w:val="00C55D5C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138"/>
    <w:rsid w:val="00C671B3"/>
    <w:rsid w:val="00C67698"/>
    <w:rsid w:val="00C701B3"/>
    <w:rsid w:val="00C706A5"/>
    <w:rsid w:val="00C70A4B"/>
    <w:rsid w:val="00C70D15"/>
    <w:rsid w:val="00C71138"/>
    <w:rsid w:val="00C714B3"/>
    <w:rsid w:val="00C72080"/>
    <w:rsid w:val="00C72318"/>
    <w:rsid w:val="00C72E31"/>
    <w:rsid w:val="00C73AF1"/>
    <w:rsid w:val="00C73C35"/>
    <w:rsid w:val="00C744C3"/>
    <w:rsid w:val="00C7475A"/>
    <w:rsid w:val="00C7506F"/>
    <w:rsid w:val="00C76249"/>
    <w:rsid w:val="00C77FF2"/>
    <w:rsid w:val="00C80E65"/>
    <w:rsid w:val="00C814E3"/>
    <w:rsid w:val="00C823BD"/>
    <w:rsid w:val="00C82FA2"/>
    <w:rsid w:val="00C85227"/>
    <w:rsid w:val="00C85D85"/>
    <w:rsid w:val="00C85F79"/>
    <w:rsid w:val="00C872A0"/>
    <w:rsid w:val="00C87EFC"/>
    <w:rsid w:val="00C900C9"/>
    <w:rsid w:val="00C91677"/>
    <w:rsid w:val="00C91CD1"/>
    <w:rsid w:val="00C929CE"/>
    <w:rsid w:val="00C93527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A63"/>
    <w:rsid w:val="00C96AEA"/>
    <w:rsid w:val="00C96B1D"/>
    <w:rsid w:val="00C976F1"/>
    <w:rsid w:val="00C97B9F"/>
    <w:rsid w:val="00CA482A"/>
    <w:rsid w:val="00CA49CC"/>
    <w:rsid w:val="00CA51B4"/>
    <w:rsid w:val="00CA5870"/>
    <w:rsid w:val="00CA6364"/>
    <w:rsid w:val="00CA6989"/>
    <w:rsid w:val="00CA6DED"/>
    <w:rsid w:val="00CA6F5A"/>
    <w:rsid w:val="00CA6F70"/>
    <w:rsid w:val="00CA71DA"/>
    <w:rsid w:val="00CA7EF6"/>
    <w:rsid w:val="00CB00C5"/>
    <w:rsid w:val="00CB07BB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B7BC2"/>
    <w:rsid w:val="00CC30D7"/>
    <w:rsid w:val="00CC3DB6"/>
    <w:rsid w:val="00CC4490"/>
    <w:rsid w:val="00CC555C"/>
    <w:rsid w:val="00CC5917"/>
    <w:rsid w:val="00CC616C"/>
    <w:rsid w:val="00CC665B"/>
    <w:rsid w:val="00CC6785"/>
    <w:rsid w:val="00CC68C5"/>
    <w:rsid w:val="00CC77E4"/>
    <w:rsid w:val="00CD00FA"/>
    <w:rsid w:val="00CD1559"/>
    <w:rsid w:val="00CD1E97"/>
    <w:rsid w:val="00CD1F91"/>
    <w:rsid w:val="00CD259B"/>
    <w:rsid w:val="00CD2800"/>
    <w:rsid w:val="00CD3A9A"/>
    <w:rsid w:val="00CD3C0D"/>
    <w:rsid w:val="00CD4181"/>
    <w:rsid w:val="00CD4585"/>
    <w:rsid w:val="00CD5F53"/>
    <w:rsid w:val="00CD7B38"/>
    <w:rsid w:val="00CE003E"/>
    <w:rsid w:val="00CE05B0"/>
    <w:rsid w:val="00CE0A3F"/>
    <w:rsid w:val="00CE24DD"/>
    <w:rsid w:val="00CE25B4"/>
    <w:rsid w:val="00CE27F5"/>
    <w:rsid w:val="00CE2B11"/>
    <w:rsid w:val="00CE2D73"/>
    <w:rsid w:val="00CE3AEF"/>
    <w:rsid w:val="00CE443B"/>
    <w:rsid w:val="00CE4D13"/>
    <w:rsid w:val="00CE5396"/>
    <w:rsid w:val="00CE555C"/>
    <w:rsid w:val="00CE6C38"/>
    <w:rsid w:val="00CE7872"/>
    <w:rsid w:val="00CF0017"/>
    <w:rsid w:val="00CF0163"/>
    <w:rsid w:val="00CF085E"/>
    <w:rsid w:val="00CF09A5"/>
    <w:rsid w:val="00CF10DF"/>
    <w:rsid w:val="00CF2D3B"/>
    <w:rsid w:val="00CF3082"/>
    <w:rsid w:val="00CF3268"/>
    <w:rsid w:val="00CF3541"/>
    <w:rsid w:val="00CF38B5"/>
    <w:rsid w:val="00CF489B"/>
    <w:rsid w:val="00CF490A"/>
    <w:rsid w:val="00CF5E47"/>
    <w:rsid w:val="00CF6BB4"/>
    <w:rsid w:val="00CF6E6C"/>
    <w:rsid w:val="00CF6E70"/>
    <w:rsid w:val="00CF7444"/>
    <w:rsid w:val="00CF7B93"/>
    <w:rsid w:val="00D002B7"/>
    <w:rsid w:val="00D00FB0"/>
    <w:rsid w:val="00D02970"/>
    <w:rsid w:val="00D035C0"/>
    <w:rsid w:val="00D039D9"/>
    <w:rsid w:val="00D039E6"/>
    <w:rsid w:val="00D03E2E"/>
    <w:rsid w:val="00D04545"/>
    <w:rsid w:val="00D04DAB"/>
    <w:rsid w:val="00D05034"/>
    <w:rsid w:val="00D05527"/>
    <w:rsid w:val="00D05A1E"/>
    <w:rsid w:val="00D05E8E"/>
    <w:rsid w:val="00D063DF"/>
    <w:rsid w:val="00D0784E"/>
    <w:rsid w:val="00D1034E"/>
    <w:rsid w:val="00D1059C"/>
    <w:rsid w:val="00D106D7"/>
    <w:rsid w:val="00D10EF1"/>
    <w:rsid w:val="00D1103E"/>
    <w:rsid w:val="00D1110F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48C8"/>
    <w:rsid w:val="00D15374"/>
    <w:rsid w:val="00D16D05"/>
    <w:rsid w:val="00D16EF0"/>
    <w:rsid w:val="00D16EF9"/>
    <w:rsid w:val="00D17130"/>
    <w:rsid w:val="00D17758"/>
    <w:rsid w:val="00D17965"/>
    <w:rsid w:val="00D20556"/>
    <w:rsid w:val="00D21428"/>
    <w:rsid w:val="00D21783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26DA"/>
    <w:rsid w:val="00D33B2C"/>
    <w:rsid w:val="00D33BC0"/>
    <w:rsid w:val="00D33DDC"/>
    <w:rsid w:val="00D3402F"/>
    <w:rsid w:val="00D34415"/>
    <w:rsid w:val="00D3592B"/>
    <w:rsid w:val="00D35989"/>
    <w:rsid w:val="00D35B9B"/>
    <w:rsid w:val="00D35EAD"/>
    <w:rsid w:val="00D37DFB"/>
    <w:rsid w:val="00D40078"/>
    <w:rsid w:val="00D4022D"/>
    <w:rsid w:val="00D414F5"/>
    <w:rsid w:val="00D41CA0"/>
    <w:rsid w:val="00D41F51"/>
    <w:rsid w:val="00D42E22"/>
    <w:rsid w:val="00D43872"/>
    <w:rsid w:val="00D454E7"/>
    <w:rsid w:val="00D45527"/>
    <w:rsid w:val="00D46097"/>
    <w:rsid w:val="00D46521"/>
    <w:rsid w:val="00D47E28"/>
    <w:rsid w:val="00D517D0"/>
    <w:rsid w:val="00D523EB"/>
    <w:rsid w:val="00D52D57"/>
    <w:rsid w:val="00D53275"/>
    <w:rsid w:val="00D54358"/>
    <w:rsid w:val="00D54562"/>
    <w:rsid w:val="00D548B4"/>
    <w:rsid w:val="00D5512F"/>
    <w:rsid w:val="00D553C6"/>
    <w:rsid w:val="00D554E1"/>
    <w:rsid w:val="00D55501"/>
    <w:rsid w:val="00D5577E"/>
    <w:rsid w:val="00D55F1F"/>
    <w:rsid w:val="00D5614A"/>
    <w:rsid w:val="00D563AD"/>
    <w:rsid w:val="00D564E9"/>
    <w:rsid w:val="00D5679E"/>
    <w:rsid w:val="00D567AA"/>
    <w:rsid w:val="00D56FFA"/>
    <w:rsid w:val="00D57F34"/>
    <w:rsid w:val="00D604DA"/>
    <w:rsid w:val="00D61E66"/>
    <w:rsid w:val="00D61F21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0BAF"/>
    <w:rsid w:val="00D713A0"/>
    <w:rsid w:val="00D7152A"/>
    <w:rsid w:val="00D720AD"/>
    <w:rsid w:val="00D7233D"/>
    <w:rsid w:val="00D724DC"/>
    <w:rsid w:val="00D72738"/>
    <w:rsid w:val="00D72CF7"/>
    <w:rsid w:val="00D741FC"/>
    <w:rsid w:val="00D7524D"/>
    <w:rsid w:val="00D75C4F"/>
    <w:rsid w:val="00D7636E"/>
    <w:rsid w:val="00D768F3"/>
    <w:rsid w:val="00D76CA5"/>
    <w:rsid w:val="00D76ED3"/>
    <w:rsid w:val="00D77DC1"/>
    <w:rsid w:val="00D77E85"/>
    <w:rsid w:val="00D77F27"/>
    <w:rsid w:val="00D80A2B"/>
    <w:rsid w:val="00D80D6A"/>
    <w:rsid w:val="00D81D1D"/>
    <w:rsid w:val="00D83DDB"/>
    <w:rsid w:val="00D84084"/>
    <w:rsid w:val="00D8421B"/>
    <w:rsid w:val="00D84AA2"/>
    <w:rsid w:val="00D84BF3"/>
    <w:rsid w:val="00D85054"/>
    <w:rsid w:val="00D851B0"/>
    <w:rsid w:val="00D85FE2"/>
    <w:rsid w:val="00D90594"/>
    <w:rsid w:val="00D90AA2"/>
    <w:rsid w:val="00D90C0D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00B8"/>
    <w:rsid w:val="00DA1780"/>
    <w:rsid w:val="00DA244B"/>
    <w:rsid w:val="00DA3198"/>
    <w:rsid w:val="00DA380F"/>
    <w:rsid w:val="00DA3867"/>
    <w:rsid w:val="00DA3E9A"/>
    <w:rsid w:val="00DA4DBD"/>
    <w:rsid w:val="00DA60E1"/>
    <w:rsid w:val="00DA65F6"/>
    <w:rsid w:val="00DA6F31"/>
    <w:rsid w:val="00DA706E"/>
    <w:rsid w:val="00DA7137"/>
    <w:rsid w:val="00DA786A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055B"/>
    <w:rsid w:val="00DC1302"/>
    <w:rsid w:val="00DC13E1"/>
    <w:rsid w:val="00DC1E47"/>
    <w:rsid w:val="00DC2397"/>
    <w:rsid w:val="00DC2BEF"/>
    <w:rsid w:val="00DC304F"/>
    <w:rsid w:val="00DC3545"/>
    <w:rsid w:val="00DC364B"/>
    <w:rsid w:val="00DC4B35"/>
    <w:rsid w:val="00DC4FBE"/>
    <w:rsid w:val="00DC5836"/>
    <w:rsid w:val="00DC5A31"/>
    <w:rsid w:val="00DC676B"/>
    <w:rsid w:val="00DD2026"/>
    <w:rsid w:val="00DD2648"/>
    <w:rsid w:val="00DD267B"/>
    <w:rsid w:val="00DD2A1E"/>
    <w:rsid w:val="00DD2A77"/>
    <w:rsid w:val="00DD5AD6"/>
    <w:rsid w:val="00DD6FD9"/>
    <w:rsid w:val="00DD79E3"/>
    <w:rsid w:val="00DE048F"/>
    <w:rsid w:val="00DE1206"/>
    <w:rsid w:val="00DE215D"/>
    <w:rsid w:val="00DE3C99"/>
    <w:rsid w:val="00DE4509"/>
    <w:rsid w:val="00DE491D"/>
    <w:rsid w:val="00DE552A"/>
    <w:rsid w:val="00DE58D7"/>
    <w:rsid w:val="00DE5A78"/>
    <w:rsid w:val="00DE5D94"/>
    <w:rsid w:val="00DE7FFC"/>
    <w:rsid w:val="00DF0119"/>
    <w:rsid w:val="00DF0528"/>
    <w:rsid w:val="00DF171F"/>
    <w:rsid w:val="00DF17F9"/>
    <w:rsid w:val="00DF1AB3"/>
    <w:rsid w:val="00DF1AB5"/>
    <w:rsid w:val="00DF221E"/>
    <w:rsid w:val="00DF2CD3"/>
    <w:rsid w:val="00DF369E"/>
    <w:rsid w:val="00DF62C2"/>
    <w:rsid w:val="00DF62E2"/>
    <w:rsid w:val="00DF7BAF"/>
    <w:rsid w:val="00E0008D"/>
    <w:rsid w:val="00E001C4"/>
    <w:rsid w:val="00E009EE"/>
    <w:rsid w:val="00E00A82"/>
    <w:rsid w:val="00E00CDF"/>
    <w:rsid w:val="00E0120D"/>
    <w:rsid w:val="00E01521"/>
    <w:rsid w:val="00E016C4"/>
    <w:rsid w:val="00E01FA1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61AE"/>
    <w:rsid w:val="00E07170"/>
    <w:rsid w:val="00E0719F"/>
    <w:rsid w:val="00E07465"/>
    <w:rsid w:val="00E07518"/>
    <w:rsid w:val="00E10FE2"/>
    <w:rsid w:val="00E1107E"/>
    <w:rsid w:val="00E11853"/>
    <w:rsid w:val="00E11BB7"/>
    <w:rsid w:val="00E11D10"/>
    <w:rsid w:val="00E11EBD"/>
    <w:rsid w:val="00E13405"/>
    <w:rsid w:val="00E1447C"/>
    <w:rsid w:val="00E1484A"/>
    <w:rsid w:val="00E14C9D"/>
    <w:rsid w:val="00E14DE9"/>
    <w:rsid w:val="00E1512A"/>
    <w:rsid w:val="00E159E6"/>
    <w:rsid w:val="00E163A1"/>
    <w:rsid w:val="00E16B60"/>
    <w:rsid w:val="00E16DF8"/>
    <w:rsid w:val="00E16EEC"/>
    <w:rsid w:val="00E1715A"/>
    <w:rsid w:val="00E1790A"/>
    <w:rsid w:val="00E204D1"/>
    <w:rsid w:val="00E2206C"/>
    <w:rsid w:val="00E22192"/>
    <w:rsid w:val="00E2224C"/>
    <w:rsid w:val="00E2269E"/>
    <w:rsid w:val="00E234D4"/>
    <w:rsid w:val="00E23C5E"/>
    <w:rsid w:val="00E25030"/>
    <w:rsid w:val="00E265E4"/>
    <w:rsid w:val="00E27CA7"/>
    <w:rsid w:val="00E27EA5"/>
    <w:rsid w:val="00E3029E"/>
    <w:rsid w:val="00E30F1C"/>
    <w:rsid w:val="00E31BAB"/>
    <w:rsid w:val="00E31E48"/>
    <w:rsid w:val="00E32127"/>
    <w:rsid w:val="00E3351C"/>
    <w:rsid w:val="00E33A89"/>
    <w:rsid w:val="00E3427F"/>
    <w:rsid w:val="00E34506"/>
    <w:rsid w:val="00E345E9"/>
    <w:rsid w:val="00E36F48"/>
    <w:rsid w:val="00E402B8"/>
    <w:rsid w:val="00E40EFD"/>
    <w:rsid w:val="00E41784"/>
    <w:rsid w:val="00E41794"/>
    <w:rsid w:val="00E41992"/>
    <w:rsid w:val="00E41CBD"/>
    <w:rsid w:val="00E41E05"/>
    <w:rsid w:val="00E41E0C"/>
    <w:rsid w:val="00E42A8D"/>
    <w:rsid w:val="00E4386C"/>
    <w:rsid w:val="00E44128"/>
    <w:rsid w:val="00E442A1"/>
    <w:rsid w:val="00E443E4"/>
    <w:rsid w:val="00E44723"/>
    <w:rsid w:val="00E45315"/>
    <w:rsid w:val="00E45773"/>
    <w:rsid w:val="00E461FA"/>
    <w:rsid w:val="00E46677"/>
    <w:rsid w:val="00E477A6"/>
    <w:rsid w:val="00E47D6F"/>
    <w:rsid w:val="00E50D58"/>
    <w:rsid w:val="00E5131F"/>
    <w:rsid w:val="00E5224B"/>
    <w:rsid w:val="00E522A7"/>
    <w:rsid w:val="00E531E7"/>
    <w:rsid w:val="00E53AD3"/>
    <w:rsid w:val="00E543BB"/>
    <w:rsid w:val="00E548A2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2D"/>
    <w:rsid w:val="00E6458A"/>
    <w:rsid w:val="00E66872"/>
    <w:rsid w:val="00E67510"/>
    <w:rsid w:val="00E67EE4"/>
    <w:rsid w:val="00E7052B"/>
    <w:rsid w:val="00E707EF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131"/>
    <w:rsid w:val="00E74794"/>
    <w:rsid w:val="00E748EB"/>
    <w:rsid w:val="00E74ADC"/>
    <w:rsid w:val="00E74D5A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A30"/>
    <w:rsid w:val="00E87D24"/>
    <w:rsid w:val="00E905BD"/>
    <w:rsid w:val="00E9062C"/>
    <w:rsid w:val="00E90BFC"/>
    <w:rsid w:val="00E91699"/>
    <w:rsid w:val="00E916F1"/>
    <w:rsid w:val="00E92BE9"/>
    <w:rsid w:val="00E92F9F"/>
    <w:rsid w:val="00E9347F"/>
    <w:rsid w:val="00E94716"/>
    <w:rsid w:val="00E9473C"/>
    <w:rsid w:val="00E94AC2"/>
    <w:rsid w:val="00E94CCB"/>
    <w:rsid w:val="00E95525"/>
    <w:rsid w:val="00E959B3"/>
    <w:rsid w:val="00E959E8"/>
    <w:rsid w:val="00E96060"/>
    <w:rsid w:val="00E96427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2953"/>
    <w:rsid w:val="00EA3083"/>
    <w:rsid w:val="00EA3825"/>
    <w:rsid w:val="00EA3C3C"/>
    <w:rsid w:val="00EA4C22"/>
    <w:rsid w:val="00EA5580"/>
    <w:rsid w:val="00EA57D0"/>
    <w:rsid w:val="00EA7737"/>
    <w:rsid w:val="00EA79FB"/>
    <w:rsid w:val="00EB0609"/>
    <w:rsid w:val="00EB078A"/>
    <w:rsid w:val="00EB0D9D"/>
    <w:rsid w:val="00EB1F10"/>
    <w:rsid w:val="00EB284E"/>
    <w:rsid w:val="00EB2A0A"/>
    <w:rsid w:val="00EB2DD9"/>
    <w:rsid w:val="00EB2F99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213"/>
    <w:rsid w:val="00EB752B"/>
    <w:rsid w:val="00EC04CA"/>
    <w:rsid w:val="00EC0C5E"/>
    <w:rsid w:val="00EC1BE7"/>
    <w:rsid w:val="00EC1D43"/>
    <w:rsid w:val="00EC2700"/>
    <w:rsid w:val="00EC3105"/>
    <w:rsid w:val="00EC34C5"/>
    <w:rsid w:val="00EC42FA"/>
    <w:rsid w:val="00EC4A64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B8F"/>
    <w:rsid w:val="00ED6E53"/>
    <w:rsid w:val="00ED7023"/>
    <w:rsid w:val="00ED71A4"/>
    <w:rsid w:val="00EE0397"/>
    <w:rsid w:val="00EE0655"/>
    <w:rsid w:val="00EE0EB8"/>
    <w:rsid w:val="00EE1923"/>
    <w:rsid w:val="00EE3490"/>
    <w:rsid w:val="00EE43E3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9EE"/>
    <w:rsid w:val="00EF5A96"/>
    <w:rsid w:val="00EF7277"/>
    <w:rsid w:val="00EF772F"/>
    <w:rsid w:val="00F01210"/>
    <w:rsid w:val="00F017F1"/>
    <w:rsid w:val="00F02D27"/>
    <w:rsid w:val="00F04758"/>
    <w:rsid w:val="00F05015"/>
    <w:rsid w:val="00F061C4"/>
    <w:rsid w:val="00F06A6A"/>
    <w:rsid w:val="00F06B39"/>
    <w:rsid w:val="00F06F28"/>
    <w:rsid w:val="00F07166"/>
    <w:rsid w:val="00F078CD"/>
    <w:rsid w:val="00F07C41"/>
    <w:rsid w:val="00F1080E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4D65"/>
    <w:rsid w:val="00F34F90"/>
    <w:rsid w:val="00F35575"/>
    <w:rsid w:val="00F3570E"/>
    <w:rsid w:val="00F35DBC"/>
    <w:rsid w:val="00F3620D"/>
    <w:rsid w:val="00F3635D"/>
    <w:rsid w:val="00F372EB"/>
    <w:rsid w:val="00F37379"/>
    <w:rsid w:val="00F37422"/>
    <w:rsid w:val="00F37E61"/>
    <w:rsid w:val="00F406EF"/>
    <w:rsid w:val="00F409B1"/>
    <w:rsid w:val="00F40FCE"/>
    <w:rsid w:val="00F40FEE"/>
    <w:rsid w:val="00F41B9B"/>
    <w:rsid w:val="00F430E6"/>
    <w:rsid w:val="00F43C7B"/>
    <w:rsid w:val="00F44BD0"/>
    <w:rsid w:val="00F44CD1"/>
    <w:rsid w:val="00F4574D"/>
    <w:rsid w:val="00F45C72"/>
    <w:rsid w:val="00F45E1C"/>
    <w:rsid w:val="00F469DA"/>
    <w:rsid w:val="00F46B8D"/>
    <w:rsid w:val="00F477FE"/>
    <w:rsid w:val="00F50003"/>
    <w:rsid w:val="00F50CB9"/>
    <w:rsid w:val="00F52F0C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2D83"/>
    <w:rsid w:val="00F65398"/>
    <w:rsid w:val="00F654BE"/>
    <w:rsid w:val="00F656E6"/>
    <w:rsid w:val="00F65948"/>
    <w:rsid w:val="00F65FAF"/>
    <w:rsid w:val="00F66008"/>
    <w:rsid w:val="00F663A6"/>
    <w:rsid w:val="00F66680"/>
    <w:rsid w:val="00F66C28"/>
    <w:rsid w:val="00F66E42"/>
    <w:rsid w:val="00F671C6"/>
    <w:rsid w:val="00F6757F"/>
    <w:rsid w:val="00F70F2A"/>
    <w:rsid w:val="00F70FE5"/>
    <w:rsid w:val="00F71ED3"/>
    <w:rsid w:val="00F727CB"/>
    <w:rsid w:val="00F733C9"/>
    <w:rsid w:val="00F749AF"/>
    <w:rsid w:val="00F752D4"/>
    <w:rsid w:val="00F766B2"/>
    <w:rsid w:val="00F76B9D"/>
    <w:rsid w:val="00F77135"/>
    <w:rsid w:val="00F771F1"/>
    <w:rsid w:val="00F80338"/>
    <w:rsid w:val="00F80F35"/>
    <w:rsid w:val="00F811D5"/>
    <w:rsid w:val="00F81337"/>
    <w:rsid w:val="00F81E59"/>
    <w:rsid w:val="00F826E8"/>
    <w:rsid w:val="00F82FA0"/>
    <w:rsid w:val="00F8335D"/>
    <w:rsid w:val="00F83AD4"/>
    <w:rsid w:val="00F83BB0"/>
    <w:rsid w:val="00F83D5B"/>
    <w:rsid w:val="00F83EC5"/>
    <w:rsid w:val="00F842FF"/>
    <w:rsid w:val="00F8477B"/>
    <w:rsid w:val="00F86A23"/>
    <w:rsid w:val="00F86AFB"/>
    <w:rsid w:val="00F86EAC"/>
    <w:rsid w:val="00F86FF5"/>
    <w:rsid w:val="00F87851"/>
    <w:rsid w:val="00F87A5E"/>
    <w:rsid w:val="00F90C09"/>
    <w:rsid w:val="00F90E31"/>
    <w:rsid w:val="00F91655"/>
    <w:rsid w:val="00F93158"/>
    <w:rsid w:val="00F933F4"/>
    <w:rsid w:val="00F9424E"/>
    <w:rsid w:val="00F95AB9"/>
    <w:rsid w:val="00F960F0"/>
    <w:rsid w:val="00F96227"/>
    <w:rsid w:val="00F97FE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A7DB4"/>
    <w:rsid w:val="00FB3249"/>
    <w:rsid w:val="00FB444E"/>
    <w:rsid w:val="00FB45CC"/>
    <w:rsid w:val="00FB52FD"/>
    <w:rsid w:val="00FB5856"/>
    <w:rsid w:val="00FB5EC3"/>
    <w:rsid w:val="00FB6069"/>
    <w:rsid w:val="00FB60D3"/>
    <w:rsid w:val="00FB6520"/>
    <w:rsid w:val="00FB6CFF"/>
    <w:rsid w:val="00FB7CD3"/>
    <w:rsid w:val="00FC0D7A"/>
    <w:rsid w:val="00FC12D6"/>
    <w:rsid w:val="00FC1B5B"/>
    <w:rsid w:val="00FC1C3C"/>
    <w:rsid w:val="00FC2160"/>
    <w:rsid w:val="00FC2218"/>
    <w:rsid w:val="00FC2BA0"/>
    <w:rsid w:val="00FC2F5C"/>
    <w:rsid w:val="00FC312C"/>
    <w:rsid w:val="00FC318E"/>
    <w:rsid w:val="00FC336F"/>
    <w:rsid w:val="00FC370A"/>
    <w:rsid w:val="00FC3A1F"/>
    <w:rsid w:val="00FC4BB0"/>
    <w:rsid w:val="00FC4E57"/>
    <w:rsid w:val="00FC4F48"/>
    <w:rsid w:val="00FC5A60"/>
    <w:rsid w:val="00FC7126"/>
    <w:rsid w:val="00FC7143"/>
    <w:rsid w:val="00FC7505"/>
    <w:rsid w:val="00FC7C7F"/>
    <w:rsid w:val="00FD118E"/>
    <w:rsid w:val="00FD2441"/>
    <w:rsid w:val="00FD2958"/>
    <w:rsid w:val="00FD3616"/>
    <w:rsid w:val="00FD3A4D"/>
    <w:rsid w:val="00FD3F4C"/>
    <w:rsid w:val="00FD420D"/>
    <w:rsid w:val="00FD44AB"/>
    <w:rsid w:val="00FD4A4B"/>
    <w:rsid w:val="00FD4F07"/>
    <w:rsid w:val="00FD508C"/>
    <w:rsid w:val="00FD511B"/>
    <w:rsid w:val="00FD5C41"/>
    <w:rsid w:val="00FD5E2D"/>
    <w:rsid w:val="00FD617F"/>
    <w:rsid w:val="00FD7AD8"/>
    <w:rsid w:val="00FD7BFC"/>
    <w:rsid w:val="00FD7C67"/>
    <w:rsid w:val="00FD7CAB"/>
    <w:rsid w:val="00FD7DD0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357"/>
    <w:rsid w:val="00FE639A"/>
    <w:rsid w:val="00FE6B1B"/>
    <w:rsid w:val="00FF1F1D"/>
    <w:rsid w:val="00FF27D2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rFonts w:ascii="Courier New" w:hAnsi="Courier New" w:cs="Courier New"/>
      <w:b/>
      <w:bCs/>
    </w:rPr>
  </w:style>
  <w:style w:type="paragraph" w:styleId="NormalWeb">
    <w:name w:val="Normal (Web)"/>
    <w:basedOn w:val="Normal"/>
    <w:uiPriority w:val="99"/>
    <w:semiHidden/>
    <w:unhideWhenUsed/>
    <w:rsid w:val="003E7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autoTitleDeleted val="1"/>
    <c:plotArea>
      <c:layout>
        <c:manualLayout>
          <c:layoutTarget val="inner"/>
          <c:xMode val="edge"/>
          <c:yMode val="edge"/>
          <c:x val="6.011623547056625E-2"/>
          <c:y val="0.17385241101060714"/>
          <c:w val="0.91979999560854531"/>
          <c:h val="0.69816761827452012"/>
        </c:manualLayout>
      </c:layout>
      <c:barChart>
        <c:barDir val="col"/>
        <c:grouping val="clustered"/>
        <c:ser>
          <c:idx val="0"/>
          <c:order val="0"/>
          <c:dLbls>
            <c:dLbl>
              <c:idx val="48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1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2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'tableau note fr'!$B$3:$BB$3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fr'!$B$4:$BB$4</c:f>
              <c:numCache>
                <c:formatCode>0.0</c:formatCode>
                <c:ptCount val="53"/>
                <c:pt idx="0">
                  <c:v>85.866502294191648</c:v>
                </c:pt>
                <c:pt idx="1">
                  <c:v>77.678707955852914</c:v>
                </c:pt>
                <c:pt idx="2">
                  <c:v>75.552480635756268</c:v>
                </c:pt>
                <c:pt idx="3">
                  <c:v>80.136884034904384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80.136086093619056</c:v>
                </c:pt>
                <c:pt idx="9">
                  <c:v>78.833388330574053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78.406406130604665</c:v>
                </c:pt>
                <c:pt idx="13">
                  <c:v>85.78953263253247</c:v>
                </c:pt>
                <c:pt idx="14">
                  <c:v>86.506225251482533</c:v>
                </c:pt>
                <c:pt idx="15">
                  <c:v>84.477214694877262</c:v>
                </c:pt>
                <c:pt idx="16">
                  <c:v>82.880478542821351</c:v>
                </c:pt>
                <c:pt idx="17">
                  <c:v>80.673652783725359</c:v>
                </c:pt>
                <c:pt idx="18">
                  <c:v>77.553867036569216</c:v>
                </c:pt>
                <c:pt idx="19">
                  <c:v>78.403353681349728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74.014553099961731</c:v>
                </c:pt>
                <c:pt idx="26">
                  <c:v>73.148145370690258</c:v>
                </c:pt>
                <c:pt idx="27">
                  <c:v>71.583460003653627</c:v>
                </c:pt>
                <c:pt idx="28">
                  <c:v>73.659282965035374</c:v>
                </c:pt>
                <c:pt idx="29">
                  <c:v>76.125099572807784</c:v>
                </c:pt>
                <c:pt idx="30">
                  <c:v>76.315005733685837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>
                  <c:v>87.317111388814197</c:v>
                </c:pt>
                <c:pt idx="41">
                  <c:v>87.279337774029116</c:v>
                </c:pt>
                <c:pt idx="42">
                  <c:v>82.473279380066572</c:v>
                </c:pt>
                <c:pt idx="43">
                  <c:v>79.8</c:v>
                </c:pt>
                <c:pt idx="44">
                  <c:v>79.10498186316967</c:v>
                </c:pt>
                <c:pt idx="45">
                  <c:v>74.905107002702309</c:v>
                </c:pt>
                <c:pt idx="46">
                  <c:v>74.821311833193775</c:v>
                </c:pt>
                <c:pt idx="47">
                  <c:v>77.783342120372509</c:v>
                </c:pt>
                <c:pt idx="48">
                  <c:v>75.733160637772556</c:v>
                </c:pt>
                <c:pt idx="49">
                  <c:v>65.597735117391267</c:v>
                </c:pt>
                <c:pt idx="50">
                  <c:v>60.6</c:v>
                </c:pt>
                <c:pt idx="51">
                  <c:v>61.15460503678139</c:v>
                </c:pt>
                <c:pt idx="52">
                  <c:v>68.3</c:v>
                </c:pt>
              </c:numCache>
            </c:numRef>
          </c:val>
        </c:ser>
        <c:axId val="56588544"/>
        <c:axId val="56729984"/>
      </c:barChart>
      <c:catAx>
        <c:axId val="56588544"/>
        <c:scaling>
          <c:orientation val="minMax"/>
        </c:scaling>
        <c:axPos val="b"/>
        <c:numFmt formatCode="General" sourceLinked="0"/>
        <c:tickLblPos val="nextTo"/>
        <c:crossAx val="56729984"/>
        <c:crosses val="autoZero"/>
        <c:auto val="1"/>
        <c:lblAlgn val="ctr"/>
        <c:lblOffset val="100"/>
      </c:catAx>
      <c:valAx>
        <c:axId val="56729984"/>
        <c:scaling>
          <c:orientation val="minMax"/>
          <c:min val="50"/>
        </c:scaling>
        <c:axPos val="l"/>
        <c:numFmt formatCode="#,##0" sourceLinked="0"/>
        <c:tickLblPos val="nextTo"/>
        <c:crossAx val="56588544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txPr>
    <a:bodyPr/>
    <a:lstStyle/>
    <a:p>
      <a:pPr>
        <a:defRPr sz="700"/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lineChart>
        <c:grouping val="standard"/>
        <c:ser>
          <c:idx val="0"/>
          <c:order val="0"/>
          <c:tx>
            <c:strRef>
              <c:f>'tableau note fr'!$A$6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fr'!$B$3:$BB$3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fr'!$B$6:$BB$6</c:f>
              <c:numCache>
                <c:formatCode>#,##0.0</c:formatCode>
                <c:ptCount val="53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-31.141291421499748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-25.723634629572985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-37.236760344983438</c:v>
                </c:pt>
                <c:pt idx="12">
                  <c:v>-26.050959167650106</c:v>
                </c:pt>
                <c:pt idx="13">
                  <c:v>-16.961438303130866</c:v>
                </c:pt>
                <c:pt idx="14">
                  <c:v>-13.439142519852025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-28.088708351168655</c:v>
                </c:pt>
                <c:pt idx="20">
                  <c:v>-29.212341127418195</c:v>
                </c:pt>
                <c:pt idx="21">
                  <c:v>-23.102864483982088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-17.387590506775609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-22.864633579953761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-17.464225574589296</c:v>
                </c:pt>
                <c:pt idx="36">
                  <c:v>-11.990228520502564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>
                  <c:v>-6.24696090915109</c:v>
                </c:pt>
                <c:pt idx="41" formatCode="General">
                  <c:v>-5.3830093381329069</c:v>
                </c:pt>
                <c:pt idx="42" formatCode="0.0">
                  <c:v>-9.5049571220917919</c:v>
                </c:pt>
                <c:pt idx="43" formatCode="0.0">
                  <c:v>-13.3</c:v>
                </c:pt>
                <c:pt idx="44" formatCode="0.0">
                  <c:v>-14.967427927122976</c:v>
                </c:pt>
                <c:pt idx="45" formatCode="0.0">
                  <c:v>-25.353008106891512</c:v>
                </c:pt>
                <c:pt idx="46" formatCode="0.0">
                  <c:v>-20.237097183526259</c:v>
                </c:pt>
                <c:pt idx="47" formatCode="0.0">
                  <c:v>-19.99689651215731</c:v>
                </c:pt>
                <c:pt idx="48" formatCode="0.0">
                  <c:v>-19.767991560587593</c:v>
                </c:pt>
                <c:pt idx="49" formatCode="0.0">
                  <c:v>-24.751522052511689</c:v>
                </c:pt>
                <c:pt idx="50" formatCode="0.0">
                  <c:v>-35.633876933169311</c:v>
                </c:pt>
                <c:pt idx="51" formatCode="0.0">
                  <c:v>-46.60745892258192</c:v>
                </c:pt>
                <c:pt idx="52" formatCode="0.0">
                  <c:v>-50.5</c:v>
                </c:pt>
              </c:numCache>
            </c:numRef>
          </c:val>
        </c:ser>
        <c:ser>
          <c:idx val="1"/>
          <c:order val="1"/>
          <c:tx>
            <c:strRef>
              <c:f>'tableau note fr'!$A$7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cat>
            <c:strRef>
              <c:f>'tableau note fr'!$B$3:$BB$3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fr'!$B$7:$BB$7</c:f>
              <c:numCache>
                <c:formatCode>#,##0.0</c:formatCode>
                <c:ptCount val="53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8.4334302751113033E-2</c:v>
                </c:pt>
                <c:pt idx="7">
                  <c:v>2.1853913991610052</c:v>
                </c:pt>
                <c:pt idx="8">
                  <c:v>0.39154986438085709</c:v>
                </c:pt>
                <c:pt idx="9">
                  <c:v>2.7314646872285109</c:v>
                </c:pt>
                <c:pt idx="10">
                  <c:v>0.194183257999551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18.132139936578781</c:v>
                </c:pt>
                <c:pt idx="14">
                  <c:v>11.870106120928304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-4.2068608448306488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-11.389732068783623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-12.672429336417766</c:v>
                </c:pt>
                <c:pt idx="28">
                  <c:v>-8.8537661336825266</c:v>
                </c:pt>
                <c:pt idx="29">
                  <c:v>-7.2727206831161864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11.056984366480357</c:v>
                </c:pt>
                <c:pt idx="38">
                  <c:v>10.513852464527606</c:v>
                </c:pt>
                <c:pt idx="39">
                  <c:v>11.534776778164916</c:v>
                </c:pt>
                <c:pt idx="40">
                  <c:v>16.612852585837704</c:v>
                </c:pt>
                <c:pt idx="41" formatCode="General">
                  <c:v>14.986375562038818</c:v>
                </c:pt>
                <c:pt idx="42" formatCode="0.0">
                  <c:v>11.908882798368182</c:v>
                </c:pt>
                <c:pt idx="43" formatCode="0.0">
                  <c:v>9</c:v>
                </c:pt>
                <c:pt idx="44" formatCode="0.0">
                  <c:v>9.9894562713734416</c:v>
                </c:pt>
                <c:pt idx="45" formatCode="0.0">
                  <c:v>4.7256177899689273</c:v>
                </c:pt>
                <c:pt idx="46" formatCode="0.0">
                  <c:v>-3.6764057837750337</c:v>
                </c:pt>
                <c:pt idx="47" formatCode="0.0">
                  <c:v>-2.1591381326741157</c:v>
                </c:pt>
                <c:pt idx="48" formatCode="0.0">
                  <c:v>-4.6486149345966226</c:v>
                </c:pt>
                <c:pt idx="49" formatCode="0.0">
                  <c:v>-11.439989639150372</c:v>
                </c:pt>
                <c:pt idx="50" formatCode="0.0">
                  <c:v>-17.395183495255491</c:v>
                </c:pt>
                <c:pt idx="51" formatCode="0.0">
                  <c:v>-17.398438698388123</c:v>
                </c:pt>
                <c:pt idx="52" formatCode="0.0">
                  <c:v>13.2</c:v>
                </c:pt>
              </c:numCache>
            </c:numRef>
          </c:val>
        </c:ser>
        <c:marker val="1"/>
        <c:axId val="57180544"/>
        <c:axId val="57234944"/>
      </c:lineChart>
      <c:catAx>
        <c:axId val="57180544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57234944"/>
        <c:crosses val="autoZero"/>
        <c:auto val="1"/>
        <c:lblAlgn val="ctr"/>
        <c:lblOffset val="100"/>
      </c:catAx>
      <c:valAx>
        <c:axId val="5723494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700"/>
            </a:pPr>
            <a:endParaRPr lang="fr-FR"/>
          </a:p>
        </c:txPr>
        <c:crossAx val="57180544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 b="1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lineChart>
        <c:grouping val="standard"/>
        <c:ser>
          <c:idx val="0"/>
          <c:order val="0"/>
          <c:tx>
            <c:strRef>
              <c:f>'tableau note fr'!$A$5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'tableau note fr'!$B$3:$BB$3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fr'!$B$5:$BB$5</c:f>
              <c:numCache>
                <c:formatCode>#,##0.0</c:formatCode>
                <c:ptCount val="53"/>
                <c:pt idx="0">
                  <c:v>-52.095692279179261</c:v>
                </c:pt>
                <c:pt idx="1">
                  <c:v>-56.601297669293196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-57.930600458568428</c:v>
                </c:pt>
                <c:pt idx="7">
                  <c:v>-57.51774952397647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-52.335316844022501</c:v>
                </c:pt>
                <c:pt idx="12">
                  <c:v>-52.408437207990296</c:v>
                </c:pt>
                <c:pt idx="13">
                  <c:v>-45.982278486233419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-66.493969881109351</c:v>
                </c:pt>
                <c:pt idx="26">
                  <c:v>-68.825577821249766</c:v>
                </c:pt>
                <c:pt idx="27">
                  <c:v>-68.019160185663324</c:v>
                </c:pt>
                <c:pt idx="28">
                  <c:v>-65.155740215393507</c:v>
                </c:pt>
                <c:pt idx="29">
                  <c:v>-67.056481822589447</c:v>
                </c:pt>
                <c:pt idx="30">
                  <c:v>-66.189276460398091</c:v>
                </c:pt>
                <c:pt idx="31">
                  <c:v>-64.100777949741655</c:v>
                </c:pt>
                <c:pt idx="32">
                  <c:v>-67.734442836360856</c:v>
                </c:pt>
                <c:pt idx="33">
                  <c:v>-68.976178952187539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-59.886763094223092</c:v>
                </c:pt>
                <c:pt idx="39">
                  <c:v>-58.5</c:v>
                </c:pt>
                <c:pt idx="40">
                  <c:v>-54.525998602090162</c:v>
                </c:pt>
                <c:pt idx="41" formatCode="General">
                  <c:v>-61.706282712863526</c:v>
                </c:pt>
                <c:pt idx="42" formatCode="0.0">
                  <c:v>-65.247643368132259</c:v>
                </c:pt>
                <c:pt idx="43" formatCode="0.0">
                  <c:v>-70</c:v>
                </c:pt>
                <c:pt idx="44" formatCode="0.0">
                  <c:v>-75.565732444458703</c:v>
                </c:pt>
                <c:pt idx="45" formatCode="0.0">
                  <c:v>-76.905120512383789</c:v>
                </c:pt>
                <c:pt idx="46" formatCode="0.0">
                  <c:v>-71.817697941940608</c:v>
                </c:pt>
                <c:pt idx="47" formatCode="0.0">
                  <c:v>-71.645886731132009</c:v>
                </c:pt>
                <c:pt idx="48" formatCode="0.0">
                  <c:v>-70.7934404370435</c:v>
                </c:pt>
                <c:pt idx="49" formatCode="0.0">
                  <c:v>-75.168553605935443</c:v>
                </c:pt>
                <c:pt idx="50" formatCode="0.0">
                  <c:v>-82.012609773267997</c:v>
                </c:pt>
                <c:pt idx="51" formatCode="0.0">
                  <c:v>-78.280561499164364</c:v>
                </c:pt>
                <c:pt idx="52" formatCode="0.0">
                  <c:v>-62.2</c:v>
                </c:pt>
              </c:numCache>
            </c:numRef>
          </c:val>
        </c:ser>
        <c:marker val="1"/>
        <c:axId val="57887744"/>
        <c:axId val="58376960"/>
      </c:lineChart>
      <c:catAx>
        <c:axId val="57887744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58376960"/>
        <c:crosses val="autoZero"/>
        <c:auto val="1"/>
        <c:lblAlgn val="ctr"/>
        <c:lblOffset val="100"/>
      </c:catAx>
      <c:valAx>
        <c:axId val="5837696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57887744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 </a:t>
            </a:r>
            <a:endParaRPr lang="fr-FR" sz="1400"/>
          </a:p>
        </c:rich>
      </c:tx>
      <c:layout>
        <c:manualLayout>
          <c:xMode val="edge"/>
          <c:yMode val="edge"/>
          <c:x val="0.10994037982122319"/>
          <c:y val="0"/>
        </c:manualLayout>
      </c:layout>
    </c:title>
    <c:plotArea>
      <c:layout>
        <c:manualLayout>
          <c:layoutTarget val="inner"/>
          <c:xMode val="edge"/>
          <c:yMode val="edge"/>
          <c:x val="4.4033556097871122E-2"/>
          <c:y val="5.1572425636220484E-2"/>
          <c:w val="0.92924619930027696"/>
          <c:h val="0.76224539601896979"/>
        </c:manualLayout>
      </c:layout>
      <c:lineChart>
        <c:grouping val="standard"/>
        <c:ser>
          <c:idx val="0"/>
          <c:order val="0"/>
          <c:tx>
            <c:strRef>
              <c:f>'tableau note fr'!$A$8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'tableau note fr'!$B$3:$BB$3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fr'!$B$8:$BB$8</c:f>
              <c:numCache>
                <c:formatCode>#,##0.0</c:formatCode>
                <c:ptCount val="53"/>
                <c:pt idx="0">
                  <c:v>-30.018449770831769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-41.765350509033979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-37.532519098271919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-39.86007627761667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-37.38858716910044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-28.348240299081677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-37.509325471422414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-39.999291784066394</c:v>
                </c:pt>
                <c:pt idx="37">
                  <c:v>-28.160977836062902</c:v>
                </c:pt>
                <c:pt idx="38">
                  <c:v>-31.475843594428067</c:v>
                </c:pt>
                <c:pt idx="39">
                  <c:v>-25.6</c:v>
                </c:pt>
                <c:pt idx="40">
                  <c:v>-27.189644342164513</c:v>
                </c:pt>
                <c:pt idx="41" formatCode="General">
                  <c:v>-25.753095123938731</c:v>
                </c:pt>
                <c:pt idx="42" formatCode="0.0">
                  <c:v>-30.193271317535196</c:v>
                </c:pt>
                <c:pt idx="43" formatCode="0.0">
                  <c:v>-36.800000000000004</c:v>
                </c:pt>
                <c:pt idx="44" formatCode="0.0">
                  <c:v>-36.294477943510053</c:v>
                </c:pt>
                <c:pt idx="45" formatCode="0.0">
                  <c:v>-41.423646990592751</c:v>
                </c:pt>
                <c:pt idx="46" formatCode="0.0">
                  <c:v>-37.730567473068334</c:v>
                </c:pt>
                <c:pt idx="47" formatCode="0.0">
                  <c:v>-29.21833531467249</c:v>
                </c:pt>
                <c:pt idx="48" formatCode="0.0">
                  <c:v>-32.611752500665851</c:v>
                </c:pt>
                <c:pt idx="49" formatCode="0.0">
                  <c:v>-67.951617125134092</c:v>
                </c:pt>
                <c:pt idx="50" formatCode="0.0">
                  <c:v>-63.469757370471996</c:v>
                </c:pt>
                <c:pt idx="51" formatCode="0.0">
                  <c:v>-61.233843482530801</c:v>
                </c:pt>
                <c:pt idx="52" formatCode="0.0">
                  <c:v>-61.6</c:v>
                </c:pt>
              </c:numCache>
            </c:numRef>
          </c:val>
        </c:ser>
        <c:marker val="1"/>
        <c:axId val="98633216"/>
        <c:axId val="98635136"/>
      </c:lineChart>
      <c:catAx>
        <c:axId val="98633216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600"/>
            </a:pPr>
            <a:endParaRPr lang="fr-FR"/>
          </a:p>
        </c:txPr>
        <c:crossAx val="98635136"/>
        <c:crosses val="autoZero"/>
        <c:auto val="1"/>
        <c:lblAlgn val="ctr"/>
        <c:lblOffset val="100"/>
      </c:catAx>
      <c:valAx>
        <c:axId val="98635136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lang="en-US" sz="900"/>
            </a:pPr>
            <a:endParaRPr lang="fr-FR"/>
          </a:p>
        </c:txPr>
        <c:crossAx val="98633216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>
        <c:manualLayout>
          <c:layoutTarget val="inner"/>
          <c:xMode val="edge"/>
          <c:yMode val="edge"/>
          <c:x val="5.6863351819674883E-2"/>
          <c:y val="4.7960240443819913E-2"/>
          <c:w val="0.91973204979759959"/>
          <c:h val="0.63319244469144065"/>
        </c:manualLayout>
      </c:layout>
      <c:lineChart>
        <c:grouping val="standard"/>
        <c:ser>
          <c:idx val="0"/>
          <c:order val="0"/>
          <c:tx>
            <c:strRef>
              <c:f>'tableau note fr'!$A$9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fr'!$B$3:$BB$3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fr'!$B$9:$BB$9</c:f>
              <c:numCache>
                <c:formatCode>#,##0.0</c:formatCode>
                <c:ptCount val="53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-28.062624892496295</c:v>
                </c:pt>
                <c:pt idx="12">
                  <c:v>-30.645498931903713</c:v>
                </c:pt>
                <c:pt idx="13">
                  <c:v>-27.092549889444289</c:v>
                </c:pt>
                <c:pt idx="14">
                  <c:v>-24.28899054728441</c:v>
                </c:pt>
                <c:pt idx="15">
                  <c:v>-25.669712181349713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-30.846093343724181</c:v>
                </c:pt>
                <c:pt idx="19">
                  <c:v>-29.426966691861249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-29.484131282651198</c:v>
                </c:pt>
                <c:pt idx="23">
                  <c:v>-29.485585569479927</c:v>
                </c:pt>
                <c:pt idx="24">
                  <c:v>-31.290770339915024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-30.637429411694068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-25.699936983325852</c:v>
                </c:pt>
                <c:pt idx="32">
                  <c:v>-27.232686212381399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-28.725836843764018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>
                  <c:v>-25.236685531801317</c:v>
                </c:pt>
                <c:pt idx="41" formatCode="General">
                  <c:v>-24.077817715725971</c:v>
                </c:pt>
                <c:pt idx="42" formatCode="0.0">
                  <c:v>-29.675061855859198</c:v>
                </c:pt>
                <c:pt idx="43" formatCode="0.0">
                  <c:v>-28.4</c:v>
                </c:pt>
                <c:pt idx="44" formatCode="0.0">
                  <c:v>-28.87430663790132</c:v>
                </c:pt>
                <c:pt idx="45" formatCode="0.0">
                  <c:v>-30.794330285810986</c:v>
                </c:pt>
                <c:pt idx="46" formatCode="0.0">
                  <c:v>-29.543474949783889</c:v>
                </c:pt>
                <c:pt idx="47" formatCode="0.0">
                  <c:v>-26.38685501138583</c:v>
                </c:pt>
                <c:pt idx="48" formatCode="0.0">
                  <c:v>-27.711995909750659</c:v>
                </c:pt>
                <c:pt idx="49" formatCode="0.0">
                  <c:v>-29.955220894721613</c:v>
                </c:pt>
                <c:pt idx="50" formatCode="0.0">
                  <c:v>-31.504825451700494</c:v>
                </c:pt>
                <c:pt idx="51" formatCode="0.0">
                  <c:v>-29.083585505842859</c:v>
                </c:pt>
                <c:pt idx="52" formatCode="0.0">
                  <c:v>-34.4</c:v>
                </c:pt>
              </c:numCache>
            </c:numRef>
          </c:val>
        </c:ser>
        <c:ser>
          <c:idx val="1"/>
          <c:order val="1"/>
          <c:tx>
            <c:strRef>
              <c:f>'tableau note fr'!$A$10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cat>
            <c:strRef>
              <c:f>'tableau note fr'!$B$3:$BB$3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fr'!$B$10:$BB$10</c:f>
              <c:numCache>
                <c:formatCode>#,##0.0</c:formatCode>
                <c:ptCount val="53"/>
                <c:pt idx="0">
                  <c:v>-11.760493904860514</c:v>
                </c:pt>
                <c:pt idx="1">
                  <c:v>-11.376439540974186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-18.438210074457334</c:v>
                </c:pt>
                <c:pt idx="5">
                  <c:v>-13.353492384896775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-9.8004349690184185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-21.891965579068522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-26.965288381475741</c:v>
                </c:pt>
                <c:pt idx="29">
                  <c:v>-20.216971341645095</c:v>
                </c:pt>
                <c:pt idx="30">
                  <c:v>-20.789363149769251</c:v>
                </c:pt>
                <c:pt idx="31">
                  <c:v>-18.50333400384844</c:v>
                </c:pt>
                <c:pt idx="32">
                  <c:v>-27.398022856415203</c:v>
                </c:pt>
                <c:pt idx="33">
                  <c:v>-22.820131487915329</c:v>
                </c:pt>
                <c:pt idx="34">
                  <c:v>-26.987361336961161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-14.506801572644624</c:v>
                </c:pt>
                <c:pt idx="39">
                  <c:v>-16.7</c:v>
                </c:pt>
                <c:pt idx="40">
                  <c:v>-18.12020796730943</c:v>
                </c:pt>
                <c:pt idx="41" formatCode="General">
                  <c:v>-15.241299993196499</c:v>
                </c:pt>
                <c:pt idx="42" formatCode="0.0">
                  <c:v>-18.212765523946558</c:v>
                </c:pt>
                <c:pt idx="43" formatCode="0.0">
                  <c:v>-20.7</c:v>
                </c:pt>
                <c:pt idx="44" formatCode="0.0">
                  <c:v>-21.239570741294095</c:v>
                </c:pt>
                <c:pt idx="45" formatCode="0.0">
                  <c:v>-24.187755596841431</c:v>
                </c:pt>
                <c:pt idx="46" formatCode="0.0">
                  <c:v>-26.020639530378212</c:v>
                </c:pt>
                <c:pt idx="47" formatCode="0.0">
                  <c:v>-22.058531326387186</c:v>
                </c:pt>
                <c:pt idx="48" formatCode="0.0">
                  <c:v>-22.878127876162242</c:v>
                </c:pt>
                <c:pt idx="49" formatCode="0.0">
                  <c:v>-26.986745192981431</c:v>
                </c:pt>
                <c:pt idx="50" formatCode="0.0">
                  <c:v>-33.978821699551595</c:v>
                </c:pt>
                <c:pt idx="51" formatCode="0.0">
                  <c:v>-39.901098518697069</c:v>
                </c:pt>
                <c:pt idx="52" formatCode="0.0">
                  <c:v>-47.4</c:v>
                </c:pt>
              </c:numCache>
            </c:numRef>
          </c:val>
        </c:ser>
        <c:ser>
          <c:idx val="2"/>
          <c:order val="2"/>
          <c:tx>
            <c:strRef>
              <c:f>'tableau note fr'!$A$11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'tableau note fr'!$B$3:$BB$3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fr'!$B$11:$BB$11</c:f>
              <c:numCache>
                <c:formatCode>#,##0.0</c:formatCode>
                <c:ptCount val="53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26.705941849103166</c:v>
                </c:pt>
                <c:pt idx="4">
                  <c:v>26.769154239001907</c:v>
                </c:pt>
                <c:pt idx="5">
                  <c:v>21.986954089697061</c:v>
                </c:pt>
                <c:pt idx="6">
                  <c:v>17.532817766676523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11.776375704730485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11.230833640450317</c:v>
                </c:pt>
                <c:pt idx="17">
                  <c:v>11.136340416980383</c:v>
                </c:pt>
                <c:pt idx="18">
                  <c:v>7.6658451594012886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-1.7003971659207213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-3.9139038482871604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1.237335192809399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>
                  <c:v>25.926424488378203</c:v>
                </c:pt>
                <c:pt idx="41" formatCode="General">
                  <c:v>28.130493740025226</c:v>
                </c:pt>
                <c:pt idx="42" formatCode="0.0">
                  <c:v>18.237772049662329</c:v>
                </c:pt>
                <c:pt idx="43" formatCode="0.0">
                  <c:v>19.100000000000001</c:v>
                </c:pt>
                <c:pt idx="44" formatCode="0.0">
                  <c:v>20.686932465103727</c:v>
                </c:pt>
                <c:pt idx="45" formatCode="0.0">
                  <c:v>18.273992721467774</c:v>
                </c:pt>
                <c:pt idx="46" formatCode="0.0">
                  <c:v>12.775065694831193</c:v>
                </c:pt>
                <c:pt idx="47" formatCode="0.0">
                  <c:v>15.949037871016634</c:v>
                </c:pt>
                <c:pt idx="48" formatCode="0.0">
                  <c:v>8.5440476832129519</c:v>
                </c:pt>
                <c:pt idx="49" formatCode="0.0">
                  <c:v>-4.5622056678242258</c:v>
                </c:pt>
                <c:pt idx="50" formatCode="0.0">
                  <c:v>-11.891224568065192</c:v>
                </c:pt>
                <c:pt idx="51" formatCode="0.0">
                  <c:v>0.5872218846748406</c:v>
                </c:pt>
                <c:pt idx="52" formatCode="0.0">
                  <c:v>21.2</c:v>
                </c:pt>
              </c:numCache>
            </c:numRef>
          </c:val>
        </c:ser>
        <c:marker val="1"/>
        <c:axId val="107329024"/>
        <c:axId val="111143168"/>
      </c:lineChart>
      <c:catAx>
        <c:axId val="107329024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111143168"/>
        <c:crosses val="autoZero"/>
        <c:auto val="1"/>
        <c:lblAlgn val="ctr"/>
        <c:lblOffset val="100"/>
      </c:catAx>
      <c:valAx>
        <c:axId val="11114316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1073290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1565700776777355E-2"/>
          <c:y val="0.794221956839812"/>
          <c:w val="0.92289082848776094"/>
          <c:h val="0.18476196254890351"/>
        </c:manualLayout>
      </c:layout>
      <c:txPr>
        <a:bodyPr/>
        <a:lstStyle/>
        <a:p>
          <a:pPr>
            <a:defRPr lang="en-US" b="1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6.0527361936278584E-2"/>
          <c:y val="4.1667856124331444E-2"/>
          <c:w val="0.91007862895562319"/>
          <c:h val="0.66709807471791482"/>
        </c:manualLayout>
      </c:layout>
      <c:lineChart>
        <c:grouping val="standard"/>
        <c:ser>
          <c:idx val="0"/>
          <c:order val="0"/>
          <c:tx>
            <c:strRef>
              <c:f>'tableau note fr'!$A$13</c:f>
              <c:strCache>
                <c:ptCount val="1"/>
                <c:pt idx="0">
                  <c:v>Evolution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fr'!$B$3:$BB$3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fr'!$B$13:$BB$13</c:f>
              <c:numCache>
                <c:formatCode>#,##0.0</c:formatCode>
                <c:ptCount val="53"/>
                <c:pt idx="0">
                  <c:v>-74.061389031284818</c:v>
                </c:pt>
                <c:pt idx="1">
                  <c:v>-77.716574651610443</c:v>
                </c:pt>
                <c:pt idx="2">
                  <c:v>-78.940542419693813</c:v>
                </c:pt>
                <c:pt idx="3">
                  <c:v>-49.653420650313464</c:v>
                </c:pt>
                <c:pt idx="4">
                  <c:v>-34.869529990694446</c:v>
                </c:pt>
                <c:pt idx="5">
                  <c:v>-33.523065681383322</c:v>
                </c:pt>
                <c:pt idx="6">
                  <c:v>-50.919242344766445</c:v>
                </c:pt>
                <c:pt idx="7">
                  <c:v>-47.871947864454533</c:v>
                </c:pt>
                <c:pt idx="8">
                  <c:v>-46.515022811525867</c:v>
                </c:pt>
                <c:pt idx="9">
                  <c:v>-56.832932011427964</c:v>
                </c:pt>
                <c:pt idx="10">
                  <c:v>-62.176731306136965</c:v>
                </c:pt>
                <c:pt idx="11">
                  <c:v>-70.131788082404029</c:v>
                </c:pt>
                <c:pt idx="12">
                  <c:v>-73.412747182583729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-72.96588701243482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-73.578371466433723</c:v>
                </c:pt>
                <c:pt idx="19">
                  <c:v>-70.049698245525676</c:v>
                </c:pt>
                <c:pt idx="20">
                  <c:v>-76.09629668730075</c:v>
                </c:pt>
                <c:pt idx="21">
                  <c:v>-73.375476646911437</c:v>
                </c:pt>
                <c:pt idx="22">
                  <c:v>-76.007455926126042</c:v>
                </c:pt>
                <c:pt idx="23">
                  <c:v>-76.048555842624367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-76.898841721729639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-79.602800137507714</c:v>
                </c:pt>
                <c:pt idx="40">
                  <c:v>-82.909090889011466</c:v>
                </c:pt>
                <c:pt idx="41" formatCode="General">
                  <c:v>-84.024833717392056</c:v>
                </c:pt>
                <c:pt idx="42">
                  <c:v>-82.078038176837183</c:v>
                </c:pt>
                <c:pt idx="43">
                  <c:v>-86.6</c:v>
                </c:pt>
                <c:pt idx="44">
                  <c:v>-87.54271632969234</c:v>
                </c:pt>
                <c:pt idx="45">
                  <c:v>-86.508482649196509</c:v>
                </c:pt>
                <c:pt idx="46">
                  <c:v>-83.288697742697579</c:v>
                </c:pt>
                <c:pt idx="47">
                  <c:v>-82.220036585575144</c:v>
                </c:pt>
                <c:pt idx="48">
                  <c:v>-82.585609750348496</c:v>
                </c:pt>
                <c:pt idx="49">
                  <c:v>-69.044082249116116</c:v>
                </c:pt>
                <c:pt idx="50" formatCode="0.0">
                  <c:v>-68.063522341730973</c:v>
                </c:pt>
                <c:pt idx="51" formatCode="0.0">
                  <c:v>-64.634662916008139</c:v>
                </c:pt>
                <c:pt idx="52" formatCode="0.0">
                  <c:v>-60.2</c:v>
                </c:pt>
              </c:numCache>
            </c:numRef>
          </c:val>
        </c:ser>
        <c:ser>
          <c:idx val="1"/>
          <c:order val="1"/>
          <c:tx>
            <c:strRef>
              <c:f>'tableau note fr'!$A$14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cat>
            <c:strRef>
              <c:f>'tableau note fr'!$B$3:$BB$3</c:f>
              <c:strCache>
                <c:ptCount val="53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  <c:pt idx="50">
                  <c:v>T3/20</c:v>
                </c:pt>
                <c:pt idx="51">
                  <c:v>T4/20</c:v>
                </c:pt>
                <c:pt idx="52">
                  <c:v>T1/21</c:v>
                </c:pt>
              </c:strCache>
            </c:strRef>
          </c:cat>
          <c:val>
            <c:numRef>
              <c:f>'tableau note fr'!$B$14:$BB$14</c:f>
              <c:numCache>
                <c:formatCode>#,##0.0</c:formatCode>
                <c:ptCount val="53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-83.278098478101356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-90.967802162493427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-89.924388392525884</c:v>
                </c:pt>
                <c:pt idx="15">
                  <c:v>-92.495216554147845</c:v>
                </c:pt>
                <c:pt idx="16">
                  <c:v>-91.625316584481624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-91.630328830979508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-84.135715875788918</c:v>
                </c:pt>
                <c:pt idx="26">
                  <c:v>-81.76324966962386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-84.284507159523656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-87.871778057967987</c:v>
                </c:pt>
                <c:pt idx="34">
                  <c:v>-87.672521775530797</c:v>
                </c:pt>
                <c:pt idx="35">
                  <c:v>-87.308587775463224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-82.805018292489251</c:v>
                </c:pt>
                <c:pt idx="39">
                  <c:v>-88.513579156072012</c:v>
                </c:pt>
                <c:pt idx="40">
                  <c:v>-86.694812387811382</c:v>
                </c:pt>
                <c:pt idx="41" formatCode="General">
                  <c:v>-88.182833745436554</c:v>
                </c:pt>
                <c:pt idx="42">
                  <c:v>-88.119908444008828</c:v>
                </c:pt>
                <c:pt idx="43">
                  <c:v>-90.3</c:v>
                </c:pt>
                <c:pt idx="44">
                  <c:v>-88.136419421127727</c:v>
                </c:pt>
                <c:pt idx="45">
                  <c:v>-88.912542109472369</c:v>
                </c:pt>
                <c:pt idx="46">
                  <c:v>-83.748311328811582</c:v>
                </c:pt>
                <c:pt idx="47">
                  <c:v>-85.084964738360227</c:v>
                </c:pt>
                <c:pt idx="48">
                  <c:v>-82.774085672956858</c:v>
                </c:pt>
                <c:pt idx="49">
                  <c:v>-67.616999612935103</c:v>
                </c:pt>
                <c:pt idx="50" formatCode="0.0">
                  <c:v>-75.123128911649388</c:v>
                </c:pt>
                <c:pt idx="51" formatCode="0.0">
                  <c:v>-74.676635648394679</c:v>
                </c:pt>
                <c:pt idx="52" formatCode="0.0">
                  <c:v>-74</c:v>
                </c:pt>
              </c:numCache>
            </c:numRef>
          </c:val>
        </c:ser>
        <c:marker val="1"/>
        <c:axId val="58098432"/>
        <c:axId val="58099968"/>
      </c:lineChart>
      <c:catAx>
        <c:axId val="58098432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58099968"/>
        <c:crosses val="autoZero"/>
        <c:auto val="1"/>
        <c:lblAlgn val="ctr"/>
        <c:lblOffset val="100"/>
      </c:catAx>
      <c:valAx>
        <c:axId val="5809996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700"/>
            </a:pPr>
            <a:endParaRPr lang="fr-FR"/>
          </a:p>
        </c:txPr>
        <c:crossAx val="58098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1154034110537801E-2"/>
          <c:y val="0.85402711737361148"/>
          <c:w val="0.9736942957353566"/>
          <c:h val="0.12443545512795692"/>
        </c:manualLayout>
      </c:layout>
      <c:txPr>
        <a:bodyPr/>
        <a:lstStyle/>
        <a:p>
          <a:pPr>
            <a:defRPr lang="en-US" b="1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4696-E80C-4576-AAA6-949977D1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1563</Words>
  <Characters>8598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10141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HCP</cp:lastModifiedBy>
  <cp:revision>7</cp:revision>
  <cp:lastPrinted>2020-01-14T14:51:00Z</cp:lastPrinted>
  <dcterms:created xsi:type="dcterms:W3CDTF">2021-04-12T12:57:00Z</dcterms:created>
  <dcterms:modified xsi:type="dcterms:W3CDTF">2021-04-14T08:05:00Z</dcterms:modified>
</cp:coreProperties>
</file>