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8F" w:rsidRPr="00536E6D" w:rsidRDefault="00300D33" w:rsidP="00536E6D">
      <w:pPr>
        <w:spacing w:line="360" w:lineRule="auto"/>
        <w:jc w:val="both"/>
        <w:rPr>
          <w:rFonts w:asciiTheme="majorBidi" w:hAnsiTheme="majorBidi" w:cstheme="majorBidi"/>
          <w:b/>
          <w:bCs/>
          <w:color w:val="943634" w:themeColor="accent2" w:themeShade="BF"/>
          <w:sz w:val="26"/>
          <w:szCs w:val="26"/>
          <w:rtl/>
          <w:lang w:bidi="ar-MA"/>
        </w:rPr>
      </w:pPr>
      <w:r>
        <w:rPr>
          <w:rFonts w:asciiTheme="majorBidi" w:hAnsiTheme="majorBidi" w:cstheme="majorBidi"/>
          <w:b/>
          <w:bCs/>
          <w:color w:val="943634" w:themeColor="accent2" w:themeShade="BF"/>
          <w:sz w:val="26"/>
          <w:szCs w:val="26"/>
          <w:lang w:bidi="ar-MA"/>
        </w:rPr>
        <w:t xml:space="preserve">              </w:t>
      </w:r>
    </w:p>
    <w:p w:rsidR="0047396E" w:rsidRPr="00536E6D" w:rsidRDefault="0047396E" w:rsidP="00536E6D">
      <w:pPr>
        <w:bidi/>
        <w:spacing w:line="360" w:lineRule="auto"/>
        <w:jc w:val="center"/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536E6D"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rtl/>
          <w:lang w:bidi="ar-MA"/>
        </w:rPr>
        <w:t>مذكرة إخبارية للمندوبية السامية للتخطيط</w:t>
      </w:r>
    </w:p>
    <w:p w:rsidR="00601E92" w:rsidRPr="00536E6D" w:rsidRDefault="0047396E" w:rsidP="00536E6D">
      <w:pPr>
        <w:bidi/>
        <w:spacing w:after="240" w:line="360" w:lineRule="auto"/>
        <w:jc w:val="center"/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536E6D"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rtl/>
          <w:lang w:bidi="ar-MA"/>
        </w:rPr>
        <w:t>نتائج بحث الظرفية لدى الأسر</w:t>
      </w:r>
    </w:p>
    <w:p w:rsidR="0047396E" w:rsidRPr="00536E6D" w:rsidRDefault="00601E92" w:rsidP="00536E6D">
      <w:pPr>
        <w:bidi/>
        <w:spacing w:after="240" w:line="360" w:lineRule="auto"/>
        <w:jc w:val="center"/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rtl/>
        </w:rPr>
      </w:pPr>
      <w:r w:rsidRPr="00536E6D"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rtl/>
          <w:lang w:bidi="ar-DZ"/>
        </w:rPr>
        <w:t>ا</w:t>
      </w:r>
      <w:r w:rsidR="00E306A8" w:rsidRPr="00536E6D"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rtl/>
          <w:lang w:bidi="ar-DZ"/>
        </w:rPr>
        <w:t xml:space="preserve">لفصل الأول من </w:t>
      </w:r>
      <w:r w:rsidR="0047396E" w:rsidRPr="00536E6D"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rtl/>
          <w:lang w:bidi="ar-MA"/>
        </w:rPr>
        <w:t>سنة 20</w:t>
      </w:r>
      <w:r w:rsidR="006D45F0" w:rsidRPr="00536E6D"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rtl/>
          <w:lang w:bidi="ar-MA"/>
        </w:rPr>
        <w:t>2</w:t>
      </w:r>
      <w:r w:rsidR="0090193B" w:rsidRPr="00536E6D"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rtl/>
        </w:rPr>
        <w:t>1</w:t>
      </w:r>
    </w:p>
    <w:p w:rsidR="0047396E" w:rsidRPr="00536E6D" w:rsidRDefault="0047396E" w:rsidP="00536E6D">
      <w:pPr>
        <w:bidi/>
        <w:spacing w:after="240" w:line="360" w:lineRule="auto"/>
        <w:jc w:val="center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C3791A" w:rsidRPr="00536E6D" w:rsidRDefault="0047396E" w:rsidP="0078250A">
      <w:pPr>
        <w:bidi/>
        <w:spacing w:before="240" w:line="360" w:lineRule="auto"/>
        <w:jc w:val="both"/>
        <w:rPr>
          <w:rFonts w:asciiTheme="majorBidi" w:hAnsiTheme="majorBidi" w:cstheme="majorBidi"/>
          <w:bCs/>
          <w:sz w:val="26"/>
          <w:szCs w:val="26"/>
          <w:rtl/>
          <w:lang w:bidi="ar-MA"/>
        </w:rPr>
      </w:pPr>
      <w:r w:rsidRPr="00536E6D">
        <w:rPr>
          <w:rFonts w:asciiTheme="majorBidi" w:hAnsiTheme="majorBidi" w:cstheme="majorBidi"/>
          <w:bCs/>
          <w:sz w:val="26"/>
          <w:szCs w:val="26"/>
          <w:rtl/>
          <w:lang w:bidi="ar-MA"/>
        </w:rPr>
        <w:t xml:space="preserve">يتضح من نتائج البحث الدائم حول الظرفية لدى الأسر، المنجز من طرف المندوبية السامية للتخطيط، أن مستوى ثقة </w:t>
      </w:r>
      <w:r w:rsidR="00536E6D" w:rsidRPr="00536E6D">
        <w:rPr>
          <w:rFonts w:asciiTheme="majorBidi" w:hAnsiTheme="majorBidi" w:cstheme="majorBidi" w:hint="cs"/>
          <w:bCs/>
          <w:sz w:val="26"/>
          <w:szCs w:val="26"/>
          <w:rtl/>
          <w:lang w:bidi="ar-MA"/>
        </w:rPr>
        <w:t>الأسر عر</w:t>
      </w:r>
      <w:r w:rsidR="00536E6D" w:rsidRPr="00536E6D">
        <w:rPr>
          <w:rFonts w:asciiTheme="majorBidi" w:hAnsiTheme="majorBidi" w:cstheme="majorBidi" w:hint="eastAsia"/>
          <w:bCs/>
          <w:sz w:val="26"/>
          <w:szCs w:val="26"/>
          <w:rtl/>
          <w:lang w:bidi="ar-MA"/>
        </w:rPr>
        <w:t>ف</w:t>
      </w:r>
      <w:r w:rsidR="00C53082" w:rsidRPr="00536E6D">
        <w:rPr>
          <w:rFonts w:asciiTheme="majorBidi" w:hAnsiTheme="majorBidi" w:cstheme="majorBidi"/>
          <w:bCs/>
          <w:sz w:val="26"/>
          <w:szCs w:val="26"/>
          <w:rtl/>
          <w:lang w:bidi="ar-MA"/>
        </w:rPr>
        <w:t>،</w:t>
      </w:r>
      <w:r w:rsidR="00536E6D">
        <w:rPr>
          <w:rFonts w:asciiTheme="majorBidi" w:hAnsiTheme="majorBidi" w:cstheme="majorBidi" w:hint="cs"/>
          <w:bCs/>
          <w:sz w:val="26"/>
          <w:szCs w:val="26"/>
          <w:rtl/>
          <w:lang w:bidi="ar-MA"/>
        </w:rPr>
        <w:t xml:space="preserve"> </w:t>
      </w:r>
      <w:r w:rsidR="00C53082" w:rsidRPr="00536E6D">
        <w:rPr>
          <w:rFonts w:asciiTheme="majorBidi" w:hAnsiTheme="majorBidi" w:cstheme="majorBidi"/>
          <w:bCs/>
          <w:sz w:val="26"/>
          <w:szCs w:val="26"/>
          <w:rtl/>
          <w:lang w:bidi="ar-MA"/>
        </w:rPr>
        <w:t xml:space="preserve">خلال الفصل </w:t>
      </w:r>
      <w:r w:rsidR="00B4355D" w:rsidRPr="00536E6D">
        <w:rPr>
          <w:rFonts w:asciiTheme="majorBidi" w:hAnsiTheme="majorBidi" w:cstheme="majorBidi"/>
          <w:bCs/>
          <w:sz w:val="26"/>
          <w:szCs w:val="26"/>
          <w:rtl/>
          <w:lang w:bidi="ar-MA"/>
        </w:rPr>
        <w:t>الأول</w:t>
      </w:r>
      <w:r w:rsidR="00C53082" w:rsidRPr="00536E6D">
        <w:rPr>
          <w:rFonts w:asciiTheme="majorBidi" w:hAnsiTheme="majorBidi" w:cstheme="majorBidi"/>
          <w:bCs/>
          <w:sz w:val="26"/>
          <w:szCs w:val="26"/>
          <w:rtl/>
          <w:lang w:bidi="ar-MA"/>
        </w:rPr>
        <w:t xml:space="preserve"> من سنة 2</w:t>
      </w:r>
      <w:r w:rsidR="0090193B" w:rsidRPr="00536E6D">
        <w:rPr>
          <w:rFonts w:asciiTheme="majorBidi" w:hAnsiTheme="majorBidi" w:cstheme="majorBidi"/>
          <w:bCs/>
          <w:sz w:val="26"/>
          <w:szCs w:val="26"/>
          <w:rtl/>
          <w:lang w:bidi="ar-MA"/>
        </w:rPr>
        <w:t>1</w:t>
      </w:r>
      <w:r w:rsidR="00B4355D" w:rsidRPr="00536E6D">
        <w:rPr>
          <w:rFonts w:asciiTheme="majorBidi" w:hAnsiTheme="majorBidi" w:cstheme="majorBidi"/>
          <w:b/>
          <w:sz w:val="26"/>
          <w:szCs w:val="26"/>
          <w:lang w:bidi="ar-MA"/>
        </w:rPr>
        <w:t>20</w:t>
      </w:r>
      <w:r w:rsidR="00536E6D">
        <w:rPr>
          <w:rFonts w:asciiTheme="majorBidi" w:hAnsiTheme="majorBidi" w:cstheme="majorBidi" w:hint="cs"/>
          <w:b/>
          <w:sz w:val="26"/>
          <w:szCs w:val="26"/>
          <w:rtl/>
          <w:lang w:bidi="ar-MA"/>
        </w:rPr>
        <w:t xml:space="preserve"> </w:t>
      </w:r>
      <w:r w:rsidR="00F527F7" w:rsidRPr="00536E6D">
        <w:rPr>
          <w:rFonts w:asciiTheme="majorBidi" w:hAnsiTheme="majorBidi" w:cstheme="majorBidi"/>
          <w:bCs/>
          <w:sz w:val="26"/>
          <w:szCs w:val="26"/>
          <w:rtl/>
          <w:lang w:bidi="ar-MA"/>
        </w:rPr>
        <w:t>تحسنا</w:t>
      </w:r>
      <w:r w:rsidR="00536E6D">
        <w:rPr>
          <w:rFonts w:asciiTheme="majorBidi" w:hAnsiTheme="majorBidi" w:cstheme="majorBidi"/>
          <w:bCs/>
          <w:sz w:val="26"/>
          <w:szCs w:val="26"/>
          <w:lang w:bidi="ar-MA"/>
        </w:rPr>
        <w:t xml:space="preserve"> </w:t>
      </w:r>
      <w:r w:rsidRPr="00536E6D">
        <w:rPr>
          <w:rFonts w:asciiTheme="majorBidi" w:hAnsiTheme="majorBidi" w:cstheme="majorBidi"/>
          <w:bCs/>
          <w:sz w:val="26"/>
          <w:szCs w:val="26"/>
          <w:rtl/>
          <w:lang w:bidi="ar-MA"/>
        </w:rPr>
        <w:t>مقارنة مع الفصل السابق</w:t>
      </w:r>
      <w:r w:rsidR="00F527F7" w:rsidRPr="00536E6D">
        <w:rPr>
          <w:rFonts w:asciiTheme="majorBidi" w:hAnsiTheme="majorBidi" w:cstheme="majorBidi"/>
          <w:bCs/>
          <w:sz w:val="26"/>
          <w:szCs w:val="26"/>
          <w:rtl/>
          <w:lang w:bidi="ar-MA"/>
        </w:rPr>
        <w:t xml:space="preserve"> </w:t>
      </w:r>
      <w:r w:rsidR="0078250A">
        <w:rPr>
          <w:rFonts w:asciiTheme="majorBidi" w:hAnsiTheme="majorBidi" w:cstheme="majorBidi" w:hint="cs"/>
          <w:bCs/>
          <w:sz w:val="26"/>
          <w:szCs w:val="26"/>
          <w:rtl/>
          <w:lang w:bidi="ar-MA"/>
        </w:rPr>
        <w:t xml:space="preserve">وتدهورا </w:t>
      </w:r>
      <w:r w:rsidR="00F527F7" w:rsidRPr="00536E6D">
        <w:rPr>
          <w:rFonts w:asciiTheme="majorBidi" w:hAnsiTheme="majorBidi" w:cstheme="majorBidi"/>
          <w:bCs/>
          <w:sz w:val="26"/>
          <w:szCs w:val="26"/>
          <w:rtl/>
          <w:lang w:bidi="ar-MA"/>
        </w:rPr>
        <w:t>مقارنة</w:t>
      </w:r>
      <w:r w:rsidR="00536E6D">
        <w:rPr>
          <w:rFonts w:asciiTheme="majorBidi" w:hAnsiTheme="majorBidi" w:cstheme="majorBidi" w:hint="cs"/>
          <w:bCs/>
          <w:sz w:val="26"/>
          <w:szCs w:val="26"/>
          <w:rtl/>
          <w:lang w:bidi="ar-MA"/>
        </w:rPr>
        <w:t xml:space="preserve"> </w:t>
      </w:r>
      <w:r w:rsidR="0018075C" w:rsidRPr="00536E6D">
        <w:rPr>
          <w:rFonts w:asciiTheme="majorBidi" w:hAnsiTheme="majorBidi" w:cstheme="majorBidi"/>
          <w:bCs/>
          <w:sz w:val="26"/>
          <w:szCs w:val="26"/>
          <w:rtl/>
          <w:lang w:bidi="ar-MA"/>
        </w:rPr>
        <w:t>مع</w:t>
      </w:r>
      <w:r w:rsidR="00536E6D">
        <w:rPr>
          <w:rFonts w:asciiTheme="majorBidi" w:hAnsiTheme="majorBidi" w:cstheme="majorBidi" w:hint="cs"/>
          <w:bCs/>
          <w:sz w:val="26"/>
          <w:szCs w:val="26"/>
          <w:rtl/>
          <w:lang w:bidi="ar-MA"/>
        </w:rPr>
        <w:t xml:space="preserve"> </w:t>
      </w:r>
      <w:r w:rsidRPr="00536E6D">
        <w:rPr>
          <w:rFonts w:asciiTheme="majorBidi" w:hAnsiTheme="majorBidi" w:cstheme="majorBidi"/>
          <w:bCs/>
          <w:sz w:val="26"/>
          <w:szCs w:val="26"/>
          <w:rtl/>
          <w:lang w:bidi="ar-MA"/>
        </w:rPr>
        <w:t>نفس الفصل من السنة الماضية</w:t>
      </w:r>
      <w:r w:rsidR="00067D74" w:rsidRPr="00536E6D">
        <w:rPr>
          <w:rFonts w:asciiTheme="majorBidi" w:hAnsiTheme="majorBidi" w:cstheme="majorBidi"/>
          <w:bCs/>
          <w:sz w:val="26"/>
          <w:szCs w:val="26"/>
          <w:rtl/>
          <w:lang w:bidi="ar-MA"/>
        </w:rPr>
        <w:t>.</w:t>
      </w:r>
    </w:p>
    <w:p w:rsidR="0047396E" w:rsidRPr="00536E6D" w:rsidRDefault="0047396E" w:rsidP="00536E6D">
      <w:pPr>
        <w:bidi/>
        <w:spacing w:before="240" w:line="360" w:lineRule="auto"/>
        <w:jc w:val="both"/>
        <w:rPr>
          <w:rFonts w:asciiTheme="majorBidi" w:hAnsiTheme="majorBidi" w:cstheme="majorBidi"/>
          <w:b/>
          <w:sz w:val="26"/>
          <w:szCs w:val="26"/>
          <w:lang w:bidi="ar-MA"/>
        </w:rPr>
      </w:pP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هكذا </w:t>
      </w:r>
      <w:r w:rsidRPr="0078250A">
        <w:rPr>
          <w:rFonts w:asciiTheme="majorBidi" w:hAnsiTheme="majorBidi" w:cstheme="majorBidi"/>
          <w:sz w:val="26"/>
          <w:szCs w:val="26"/>
          <w:rtl/>
          <w:lang w:bidi="ar-MA"/>
        </w:rPr>
        <w:t xml:space="preserve">انتقل مؤشر ثقة الأسر </w:t>
      </w:r>
      <w:r w:rsidR="00845469" w:rsidRPr="0078250A">
        <w:rPr>
          <w:rFonts w:asciiTheme="majorBidi" w:hAnsiTheme="majorBidi" w:cstheme="majorBidi" w:hint="cs"/>
          <w:sz w:val="26"/>
          <w:szCs w:val="26"/>
          <w:rtl/>
          <w:lang w:bidi="ar-MA"/>
        </w:rPr>
        <w:t>إلى</w:t>
      </w:r>
      <w:r w:rsidR="00845469" w:rsidRPr="0078250A">
        <w:rPr>
          <w:rFonts w:asciiTheme="majorBidi" w:hAnsiTheme="majorBidi" w:cstheme="majorBidi"/>
          <w:sz w:val="26"/>
          <w:szCs w:val="26"/>
          <w:lang w:bidi="ar-MA"/>
        </w:rPr>
        <w:t xml:space="preserve"> 68</w:t>
      </w:r>
      <w:r w:rsidR="006259C3" w:rsidRPr="0078250A">
        <w:rPr>
          <w:rFonts w:asciiTheme="majorBidi" w:hAnsiTheme="majorBidi" w:cstheme="majorBidi"/>
          <w:color w:val="000000" w:themeColor="text1"/>
          <w:sz w:val="26"/>
          <w:szCs w:val="26"/>
        </w:rPr>
        <w:t>,3</w:t>
      </w:r>
      <w:r w:rsidRPr="0078250A">
        <w:rPr>
          <w:rFonts w:asciiTheme="majorBidi" w:hAnsiTheme="majorBidi" w:cstheme="majorBidi"/>
          <w:sz w:val="26"/>
          <w:szCs w:val="26"/>
          <w:rtl/>
          <w:lang w:bidi="ar-MA"/>
        </w:rPr>
        <w:t>نقطة عوض</w:t>
      </w:r>
      <w:r w:rsidR="00536E6D" w:rsidRPr="0078250A">
        <w:rPr>
          <w:rFonts w:asciiTheme="majorBidi" w:hAnsiTheme="majorBidi" w:cstheme="majorBidi"/>
          <w:sz w:val="26"/>
          <w:szCs w:val="26"/>
          <w:lang w:bidi="ar-MA"/>
        </w:rPr>
        <w:t xml:space="preserve"> </w:t>
      </w:r>
      <w:r w:rsidR="004E102A" w:rsidRPr="0078250A">
        <w:rPr>
          <w:rFonts w:asciiTheme="majorBidi" w:hAnsiTheme="majorBidi" w:cstheme="majorBidi"/>
          <w:color w:val="000000" w:themeColor="text1"/>
          <w:sz w:val="26"/>
          <w:szCs w:val="26"/>
        </w:rPr>
        <w:t>61,2</w:t>
      </w:r>
      <w:r w:rsidRPr="0078250A">
        <w:rPr>
          <w:rFonts w:asciiTheme="majorBidi" w:hAnsiTheme="majorBidi" w:cstheme="majorBidi"/>
          <w:sz w:val="26"/>
          <w:szCs w:val="26"/>
          <w:rtl/>
          <w:lang w:bidi="ar-MA"/>
        </w:rPr>
        <w:t>نقطة المسجلة خلال الفصل السابق و</w:t>
      </w:r>
      <w:r w:rsidR="00845469">
        <w:rPr>
          <w:rFonts w:asciiTheme="majorBidi" w:hAnsiTheme="majorBidi" w:cstheme="majorBidi"/>
          <w:sz w:val="26"/>
          <w:szCs w:val="26"/>
          <w:lang w:bidi="ar-MA"/>
        </w:rPr>
        <w:t xml:space="preserve"> </w:t>
      </w:r>
      <w:r w:rsidR="004E102A" w:rsidRPr="0078250A">
        <w:rPr>
          <w:rFonts w:asciiTheme="majorBidi" w:hAnsiTheme="majorBidi" w:cstheme="majorBidi"/>
          <w:color w:val="000000" w:themeColor="text1"/>
          <w:sz w:val="26"/>
          <w:szCs w:val="26"/>
        </w:rPr>
        <w:t>75,7</w:t>
      </w:r>
      <w:r w:rsidRPr="0078250A">
        <w:rPr>
          <w:rFonts w:asciiTheme="majorBidi" w:hAnsiTheme="majorBidi" w:cstheme="majorBidi"/>
          <w:b/>
          <w:sz w:val="26"/>
          <w:szCs w:val="26"/>
          <w:rtl/>
          <w:lang w:bidi="ar-MA"/>
        </w:rPr>
        <w:t xml:space="preserve">نقطة المسجلة </w:t>
      </w:r>
      <w:r w:rsidR="0014738D" w:rsidRPr="0078250A">
        <w:rPr>
          <w:rFonts w:asciiTheme="majorBidi" w:hAnsiTheme="majorBidi" w:cstheme="majorBidi" w:hint="cs"/>
          <w:b/>
          <w:sz w:val="26"/>
          <w:szCs w:val="26"/>
          <w:rtl/>
          <w:lang w:bidi="ar-MA"/>
        </w:rPr>
        <w:t>في الفصل</w:t>
      </w:r>
      <w:r w:rsidRPr="0078250A">
        <w:rPr>
          <w:rFonts w:asciiTheme="majorBidi" w:hAnsiTheme="majorBidi" w:cstheme="majorBidi"/>
          <w:b/>
          <w:sz w:val="26"/>
          <w:szCs w:val="26"/>
          <w:rtl/>
          <w:lang w:bidi="ar-MA"/>
        </w:rPr>
        <w:t xml:space="preserve"> ال</w:t>
      </w:r>
      <w:r w:rsidR="00EF75DF" w:rsidRPr="0078250A">
        <w:rPr>
          <w:rFonts w:asciiTheme="majorBidi" w:hAnsiTheme="majorBidi" w:cstheme="majorBidi"/>
          <w:b/>
          <w:sz w:val="26"/>
          <w:szCs w:val="26"/>
          <w:rtl/>
          <w:lang w:bidi="ar-MA"/>
        </w:rPr>
        <w:t>أول</w:t>
      </w:r>
      <w:r w:rsidRPr="0078250A">
        <w:rPr>
          <w:rFonts w:asciiTheme="majorBidi" w:hAnsiTheme="majorBidi" w:cstheme="majorBidi"/>
          <w:b/>
          <w:sz w:val="26"/>
          <w:szCs w:val="26"/>
          <w:rtl/>
          <w:lang w:bidi="ar-MA"/>
        </w:rPr>
        <w:t xml:space="preserve"> من السنة الماضية</w:t>
      </w:r>
      <w:r w:rsidRPr="0078250A">
        <w:rPr>
          <w:rFonts w:asciiTheme="majorBidi" w:hAnsiTheme="majorBidi" w:cstheme="majorBidi"/>
          <w:b/>
          <w:sz w:val="26"/>
          <w:szCs w:val="26"/>
          <w:lang w:bidi="ar-MA"/>
        </w:rPr>
        <w:t>.</w:t>
      </w:r>
    </w:p>
    <w:p w:rsidR="0047396E" w:rsidRPr="00536E6D" w:rsidRDefault="00536E6D" w:rsidP="00A52632">
      <w:pPr>
        <w:bidi/>
        <w:spacing w:before="240" w:line="360" w:lineRule="auto"/>
        <w:ind w:hanging="1"/>
        <w:rPr>
          <w:rFonts w:asciiTheme="majorBidi" w:hAnsiTheme="majorBidi" w:cstheme="majorBidi"/>
          <w:sz w:val="26"/>
          <w:szCs w:val="26"/>
          <w:lang w:bidi="ar-MA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مبيان 1: </w:t>
      </w:r>
      <w:r w:rsidR="00A52632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تطور مؤشر </w:t>
      </w:r>
      <w:r w:rsidRPr="00536E6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ثقة </w:t>
      </w:r>
      <w:r w:rsidR="00A52632">
        <w:rPr>
          <w:rFonts w:asciiTheme="majorBidi" w:hAnsiTheme="majorBidi" w:cstheme="majorBidi" w:hint="cs"/>
          <w:b/>
          <w:bCs/>
          <w:sz w:val="26"/>
          <w:szCs w:val="26"/>
          <w:rtl/>
        </w:rPr>
        <w:t>ا</w:t>
      </w:r>
      <w:r w:rsidRPr="00536E6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لأسر </w:t>
      </w:r>
    </w:p>
    <w:p w:rsidR="0047396E" w:rsidRPr="00536E6D" w:rsidRDefault="000F370F" w:rsidP="00536E6D">
      <w:pPr>
        <w:widowControl/>
        <w:autoSpaceDE/>
        <w:autoSpaceDN/>
        <w:bidi/>
        <w:adjustRightInd/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bidi="ar-MA"/>
        </w:rPr>
      </w:pPr>
      <w:r w:rsidRPr="00536E6D"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6181725" cy="3133725"/>
            <wp:effectExtent l="19050" t="0" r="9525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6A3E" w:rsidRPr="00AC77D8" w:rsidRDefault="00036A3E" w:rsidP="00036A3E">
      <w:pPr>
        <w:shd w:val="clear" w:color="auto" w:fill="FFFFFF" w:themeFill="background1"/>
        <w:bidi/>
        <w:spacing w:line="360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المصدر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</w:rPr>
        <w:t xml:space="preserve">: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المندوبية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السامية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للتخطيط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>، البح</w:t>
      </w:r>
      <w:r w:rsidRPr="00AC77D8">
        <w:rPr>
          <w:rFonts w:asciiTheme="majorBidi" w:hAnsiTheme="majorBidi" w:cstheme="majorBidi" w:hint="eastAsia"/>
          <w:b/>
          <w:bCs/>
          <w:color w:val="202124"/>
          <w:sz w:val="22"/>
          <w:szCs w:val="22"/>
          <w:rtl/>
        </w:rPr>
        <w:t>ث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الوطني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الدائم حول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الظرفية لدى الأسر</w:t>
      </w:r>
    </w:p>
    <w:p w:rsidR="00E335F4" w:rsidRPr="00536E6D" w:rsidRDefault="00E335F4" w:rsidP="00536E6D">
      <w:pPr>
        <w:pStyle w:val="Paragraphedeliste"/>
        <w:widowControl/>
        <w:autoSpaceDE/>
        <w:autoSpaceDN/>
        <w:bidi/>
        <w:adjustRightInd/>
        <w:spacing w:line="360" w:lineRule="auto"/>
        <w:ind w:left="502"/>
        <w:jc w:val="both"/>
        <w:rPr>
          <w:rFonts w:asciiTheme="majorBidi" w:hAnsiTheme="majorBidi" w:cstheme="majorBidi"/>
          <w:b/>
          <w:bCs/>
          <w:sz w:val="26"/>
          <w:szCs w:val="26"/>
          <w:lang w:bidi="ar-MA"/>
        </w:rPr>
      </w:pPr>
    </w:p>
    <w:p w:rsidR="0047396E" w:rsidRPr="0078250A" w:rsidRDefault="002041DE" w:rsidP="00536E6D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78250A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تطور مكونات مؤشر ال</w:t>
      </w:r>
      <w:r w:rsidR="0047396E" w:rsidRPr="0078250A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ثقة</w:t>
      </w:r>
    </w:p>
    <w:p w:rsidR="00FC14BB" w:rsidRDefault="0047396E" w:rsidP="0078250A">
      <w:pPr>
        <w:bidi/>
        <w:spacing w:line="360" w:lineRule="auto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تهم مكونات </w:t>
      </w:r>
      <w:r w:rsidR="0078250A" w:rsidRPr="0078250A">
        <w:rPr>
          <w:rFonts w:asciiTheme="majorBidi" w:hAnsiTheme="majorBidi" w:cstheme="majorBidi"/>
          <w:sz w:val="26"/>
          <w:szCs w:val="26"/>
          <w:rtl/>
          <w:lang w:bidi="ar-MA"/>
        </w:rPr>
        <w:t>مؤشر الثقة</w:t>
      </w:r>
      <w:r w:rsidR="0078250A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آراء الأسر حول تطور مستوى المعيشة </w:t>
      </w:r>
      <w:r w:rsidR="0014738D" w:rsidRPr="00536E6D">
        <w:rPr>
          <w:rFonts w:asciiTheme="majorBidi" w:hAnsiTheme="majorBidi" w:cstheme="majorBidi" w:hint="cs"/>
          <w:sz w:val="26"/>
          <w:szCs w:val="26"/>
          <w:rtl/>
          <w:lang w:bidi="ar-MA"/>
        </w:rPr>
        <w:t>والبطالة وفرص</w:t>
      </w:r>
      <w:r w:rsidR="00DF74BA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اقتناء السلع المستدامة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وكذا </w:t>
      </w:r>
      <w:r w:rsidR="00DF74BA" w:rsidRPr="00536E6D">
        <w:rPr>
          <w:rFonts w:asciiTheme="majorBidi" w:hAnsiTheme="majorBidi" w:cstheme="majorBidi"/>
          <w:sz w:val="26"/>
          <w:szCs w:val="26"/>
          <w:rtl/>
          <w:lang w:bidi="ar-MA"/>
        </w:rPr>
        <w:t>تطور وضعيتهم المالية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. </w:t>
      </w:r>
    </w:p>
    <w:p w:rsidR="0078250A" w:rsidRPr="00536E6D" w:rsidRDefault="0078250A" w:rsidP="0078250A">
      <w:pPr>
        <w:bidi/>
        <w:spacing w:line="360" w:lineRule="auto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47396E" w:rsidRPr="0078250A" w:rsidRDefault="00E17071" w:rsidP="00E17071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360" w:lineRule="auto"/>
        <w:ind w:left="566" w:hanging="283"/>
        <w:jc w:val="both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78250A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lastRenderedPageBreak/>
        <w:t xml:space="preserve">مستوى </w:t>
      </w:r>
      <w:r w:rsidRPr="0078250A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المعيشة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 :</w:t>
      </w:r>
      <w:r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  </w:t>
      </w:r>
      <w:r w:rsidR="0099059A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إحساس بتدهور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ه</w:t>
      </w:r>
      <w:r w:rsidR="0099059A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و</w:t>
      </w:r>
      <w:r w:rsidR="006B7866" w:rsidRPr="0078250A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توقع </w:t>
      </w:r>
      <w:r w:rsidR="0099059A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ب</w:t>
      </w:r>
      <w:r w:rsidR="006B7866" w:rsidRPr="0078250A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تحسن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ه</w:t>
      </w:r>
      <w:r w:rsidR="00DD3A6C" w:rsidRPr="00DD3A6C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</w:t>
      </w:r>
      <w:bookmarkStart w:id="0" w:name="_GoBack"/>
      <w:bookmarkEnd w:id="0"/>
    </w:p>
    <w:p w:rsidR="0047396E" w:rsidRPr="00536E6D" w:rsidRDefault="00727EE4" w:rsidP="0043213C">
      <w:pPr>
        <w:bidi/>
        <w:spacing w:line="360" w:lineRule="auto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خلال 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الفصل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الأول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 سنة 20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2</w:t>
      </w:r>
      <w:r w:rsidR="006B7866" w:rsidRPr="00536E6D">
        <w:rPr>
          <w:rFonts w:asciiTheme="majorBidi" w:hAnsiTheme="majorBidi" w:cstheme="majorBidi"/>
          <w:sz w:val="26"/>
          <w:szCs w:val="26"/>
          <w:rtl/>
          <w:lang w:bidi="ar-MA"/>
        </w:rPr>
        <w:t>1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>، بلغ معدل الأسر التي صرحت بتدهور مستوى المعيشة</w:t>
      </w:r>
      <w:r w:rsidR="0078250A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>خلال 12 شهرا السابقة</w:t>
      </w:r>
      <w:r w:rsidR="0078250A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43213C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7C61B4" w:rsidRPr="00536E6D">
        <w:rPr>
          <w:rFonts w:asciiTheme="majorBidi" w:hAnsiTheme="majorBidi" w:cstheme="majorBidi"/>
          <w:color w:val="000000" w:themeColor="text1"/>
          <w:sz w:val="26"/>
          <w:szCs w:val="26"/>
        </w:rPr>
        <w:t>64,8</w:t>
      </w:r>
      <w:r w:rsidR="00EF75DF" w:rsidRPr="00536E6D">
        <w:rPr>
          <w:rFonts w:asciiTheme="majorBidi" w:hAnsiTheme="majorBidi" w:cstheme="majorBidi"/>
          <w:sz w:val="26"/>
          <w:szCs w:val="26"/>
          <w:rtl/>
          <w:lang w:bidi="ar-MA"/>
        </w:rPr>
        <w:t>،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فيما اعتبرت</w:t>
      </w:r>
      <w:r w:rsidR="0078250A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9656A6" w:rsidRPr="00536E6D">
        <w:rPr>
          <w:rFonts w:asciiTheme="majorBidi" w:hAnsiTheme="majorBidi" w:cstheme="majorBidi"/>
          <w:sz w:val="26"/>
          <w:szCs w:val="26"/>
          <w:rtl/>
          <w:lang w:bidi="ar-MA"/>
        </w:rPr>
        <w:t>20,</w:t>
      </w:r>
      <w:r w:rsidR="0043213C">
        <w:rPr>
          <w:rFonts w:asciiTheme="majorBidi" w:hAnsiTheme="majorBidi" w:cstheme="majorBidi" w:hint="cs"/>
          <w:sz w:val="26"/>
          <w:szCs w:val="26"/>
          <w:rtl/>
          <w:lang w:bidi="ar-MA"/>
        </w:rPr>
        <w:t>9</w:t>
      </w:r>
      <w:r w:rsidR="009656A6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47396E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منها استقراره و</w:t>
      </w:r>
      <w:r w:rsidR="009656A6" w:rsidRPr="00536E6D">
        <w:rPr>
          <w:rFonts w:asciiTheme="majorBidi" w:hAnsiTheme="majorBidi" w:cstheme="majorBidi"/>
          <w:sz w:val="26"/>
          <w:szCs w:val="26"/>
          <w:rtl/>
          <w:lang w:bidi="ar-MA"/>
        </w:rPr>
        <w:t>14,</w:t>
      </w:r>
      <w:r w:rsidR="0043213C">
        <w:rPr>
          <w:rFonts w:asciiTheme="majorBidi" w:hAnsiTheme="majorBidi" w:cstheme="majorBidi" w:hint="cs"/>
          <w:sz w:val="26"/>
          <w:szCs w:val="26"/>
          <w:rtl/>
          <w:lang w:bidi="ar-MA"/>
        </w:rPr>
        <w:t>3</w:t>
      </w:r>
      <w:r w:rsidR="00B76026" w:rsidRPr="00536E6D">
        <w:rPr>
          <w:rFonts w:asciiTheme="majorBidi" w:hAnsiTheme="majorBidi" w:cstheme="majorBidi"/>
          <w:sz w:val="26"/>
          <w:szCs w:val="26"/>
          <w:rtl/>
          <w:lang w:bidi="ar-MA"/>
        </w:rPr>
        <w:t>%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تحسنه. وهكذا، استقر رصيد هذا المؤشر في مستوى سلبي بلغ ناقص </w:t>
      </w:r>
      <w:r w:rsidR="009656A6" w:rsidRPr="00536E6D">
        <w:rPr>
          <w:rFonts w:asciiTheme="majorBidi" w:hAnsiTheme="majorBidi" w:cstheme="majorBidi"/>
          <w:sz w:val="26"/>
          <w:szCs w:val="26"/>
          <w:lang w:bidi="ar-MA"/>
        </w:rPr>
        <w:t>50,5</w:t>
      </w:r>
      <w:r w:rsidR="0043213C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DB58F0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نقطة </w:t>
      </w:r>
      <w:r w:rsidR="00B62445" w:rsidRPr="00536E6D">
        <w:rPr>
          <w:rFonts w:asciiTheme="majorBidi" w:hAnsiTheme="majorBidi" w:cstheme="majorBidi"/>
          <w:sz w:val="26"/>
          <w:szCs w:val="26"/>
          <w:rtl/>
          <w:lang w:bidi="ar-MA"/>
        </w:rPr>
        <w:t>عوض ناقص</w:t>
      </w:r>
      <w:r w:rsidR="009656A6" w:rsidRPr="00536E6D">
        <w:rPr>
          <w:rFonts w:asciiTheme="majorBidi" w:hAnsiTheme="majorBidi" w:cstheme="majorBidi"/>
          <w:sz w:val="26"/>
          <w:szCs w:val="26"/>
          <w:lang w:bidi="ar-MA"/>
        </w:rPr>
        <w:t xml:space="preserve">46,6 </w:t>
      </w:r>
      <w:r w:rsidR="00B62445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نقطة خلال الفصل السابق وناقص</w:t>
      </w:r>
      <w:r w:rsidR="0043213C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D82FC2" w:rsidRPr="00536E6D">
        <w:rPr>
          <w:rFonts w:asciiTheme="majorBidi" w:hAnsiTheme="majorBidi" w:cstheme="majorBidi"/>
          <w:sz w:val="26"/>
          <w:szCs w:val="26"/>
          <w:lang w:bidi="ar-MA"/>
        </w:rPr>
        <w:t>19,8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نقطة خلال نفس الفصل من السنة الماضية</w:t>
      </w:r>
      <w:r w:rsidR="008052A4" w:rsidRPr="00536E6D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</w:p>
    <w:p w:rsidR="0047396E" w:rsidRPr="00536E6D" w:rsidRDefault="0047396E" w:rsidP="0043213C">
      <w:pPr>
        <w:bidi/>
        <w:spacing w:before="240" w:line="360" w:lineRule="auto"/>
        <w:jc w:val="both"/>
        <w:rPr>
          <w:rFonts w:asciiTheme="majorBidi" w:hAnsiTheme="majorBidi" w:cstheme="majorBidi"/>
          <w:sz w:val="26"/>
          <w:szCs w:val="26"/>
          <w:rtl/>
          <w:lang w:val="fr-MA"/>
        </w:rPr>
      </w:pP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أما بخصوص تطور مستوى المعيشة خلال 12 شهرا المقبلة، فتتوقع</w:t>
      </w:r>
      <w:r w:rsidR="0043213C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362483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151CC9" w:rsidRPr="00536E6D">
        <w:rPr>
          <w:rFonts w:asciiTheme="majorBidi" w:hAnsiTheme="majorBidi" w:cstheme="majorBidi"/>
          <w:sz w:val="26"/>
          <w:szCs w:val="26"/>
          <w:lang w:bidi="ar-MA"/>
        </w:rPr>
        <w:t>26,0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 الأسر تدهوره و</w:t>
      </w:r>
      <w:r w:rsidR="00362483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151CC9" w:rsidRPr="00536E6D">
        <w:rPr>
          <w:rFonts w:asciiTheme="majorBidi" w:hAnsiTheme="majorBidi" w:cstheme="majorBidi"/>
          <w:sz w:val="26"/>
          <w:szCs w:val="26"/>
          <w:lang w:bidi="ar-MA"/>
        </w:rPr>
        <w:t>34,8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استقراره في حين </w:t>
      </w:r>
      <w:r w:rsidR="00362483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151CC9" w:rsidRPr="00536E6D">
        <w:rPr>
          <w:rFonts w:asciiTheme="majorBidi" w:hAnsiTheme="majorBidi" w:cstheme="majorBidi"/>
          <w:sz w:val="26"/>
          <w:szCs w:val="26"/>
          <w:lang w:bidi="ar-MA"/>
        </w:rPr>
        <w:t>39,2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ترجح تحسنه. وهكذا</w:t>
      </w:r>
      <w:r w:rsidR="00622D42" w:rsidRPr="00536E6D">
        <w:rPr>
          <w:rFonts w:asciiTheme="majorBidi" w:hAnsiTheme="majorBidi" w:cstheme="majorBidi"/>
          <w:sz w:val="26"/>
          <w:szCs w:val="26"/>
          <w:rtl/>
          <w:lang w:bidi="ar-MA"/>
        </w:rPr>
        <w:t>،</w:t>
      </w:r>
      <w:r w:rsidR="0043213C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A9118A" w:rsidRPr="00536E6D">
        <w:rPr>
          <w:rFonts w:asciiTheme="majorBidi" w:hAnsiTheme="majorBidi" w:cstheme="majorBidi"/>
          <w:sz w:val="26"/>
          <w:szCs w:val="26"/>
          <w:rtl/>
          <w:lang w:bidi="ar-MA"/>
        </w:rPr>
        <w:t>استقر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رصيد هذا المؤشر </w:t>
      </w:r>
      <w:r w:rsidR="00A84E54" w:rsidRPr="00536E6D">
        <w:rPr>
          <w:rFonts w:asciiTheme="majorBidi" w:hAnsiTheme="majorBidi" w:cstheme="majorBidi"/>
          <w:sz w:val="26"/>
          <w:szCs w:val="26"/>
          <w:rtl/>
          <w:lang w:bidi="ar-MA"/>
        </w:rPr>
        <w:t>في</w:t>
      </w:r>
      <w:r w:rsidR="0043213C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A9118A" w:rsidRPr="00536E6D">
        <w:rPr>
          <w:rFonts w:asciiTheme="majorBidi" w:hAnsiTheme="majorBidi" w:cstheme="majorBidi"/>
          <w:color w:val="000000" w:themeColor="text1"/>
          <w:sz w:val="26"/>
          <w:szCs w:val="26"/>
        </w:rPr>
        <w:t>13,2</w:t>
      </w:r>
      <w:r w:rsidR="0043213C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</w:t>
      </w:r>
      <w:r w:rsidR="002041DE" w:rsidRPr="00536E6D">
        <w:rPr>
          <w:rFonts w:asciiTheme="majorBidi" w:hAnsiTheme="majorBidi" w:cstheme="majorBidi"/>
          <w:sz w:val="26"/>
          <w:szCs w:val="26"/>
          <w:rtl/>
          <w:lang w:bidi="ar-MA"/>
        </w:rPr>
        <w:t>نقطة</w:t>
      </w:r>
      <w:r w:rsidR="0043213C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43213C">
        <w:rPr>
          <w:rFonts w:asciiTheme="majorBidi" w:hAnsiTheme="majorBidi" w:cstheme="majorBidi"/>
          <w:sz w:val="26"/>
          <w:szCs w:val="26"/>
          <w:rtl/>
          <w:lang w:bidi="ar-MA"/>
        </w:rPr>
        <w:t>مسجلا تحسن</w:t>
      </w:r>
      <w:r w:rsidR="00A9118A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ا </w:t>
      </w:r>
      <w:r w:rsidR="0043213C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سواء </w:t>
      </w:r>
      <w:r w:rsidR="00A9118A" w:rsidRPr="00536E6D">
        <w:rPr>
          <w:rFonts w:asciiTheme="majorBidi" w:hAnsiTheme="majorBidi" w:cstheme="majorBidi"/>
          <w:sz w:val="26"/>
          <w:szCs w:val="26"/>
          <w:rtl/>
          <w:lang w:bidi="ar-MA"/>
        </w:rPr>
        <w:t>بال</w:t>
      </w:r>
      <w:r w:rsidR="0043213C">
        <w:rPr>
          <w:rFonts w:asciiTheme="majorBidi" w:hAnsiTheme="majorBidi" w:cstheme="majorBidi" w:hint="cs"/>
          <w:sz w:val="26"/>
          <w:szCs w:val="26"/>
          <w:rtl/>
          <w:lang w:bidi="ar-MA"/>
        </w:rPr>
        <w:t>مقارنة مع ا</w:t>
      </w:r>
      <w:r w:rsidR="00B559B9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لفصل السابق </w:t>
      </w:r>
      <w:r w:rsidR="0043213C">
        <w:rPr>
          <w:rFonts w:asciiTheme="majorBidi" w:hAnsiTheme="majorBidi" w:cstheme="majorBidi" w:hint="cs"/>
          <w:sz w:val="26"/>
          <w:szCs w:val="26"/>
          <w:rtl/>
          <w:lang w:bidi="ar-MA"/>
        </w:rPr>
        <w:t>أ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و</w:t>
      </w:r>
      <w:r w:rsidR="0043213C" w:rsidRPr="0043213C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43213C">
        <w:rPr>
          <w:rFonts w:asciiTheme="majorBidi" w:hAnsiTheme="majorBidi" w:cstheme="majorBidi" w:hint="cs"/>
          <w:sz w:val="26"/>
          <w:szCs w:val="26"/>
          <w:rtl/>
          <w:lang w:bidi="ar-MA"/>
        </w:rPr>
        <w:t>مع</w:t>
      </w:r>
      <w:r w:rsidR="0043213C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A9118A" w:rsidRPr="00536E6D">
        <w:rPr>
          <w:rFonts w:asciiTheme="majorBidi" w:hAnsiTheme="majorBidi" w:cstheme="majorBidi"/>
          <w:sz w:val="26"/>
          <w:szCs w:val="26"/>
          <w:rtl/>
          <w:lang w:bidi="ar-MA"/>
        </w:rPr>
        <w:t>نفس الفصل من السنة الماضية حيث استقر في ناقص</w:t>
      </w:r>
      <w:r w:rsidR="0043213C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A9118A" w:rsidRPr="00536E6D">
        <w:rPr>
          <w:rFonts w:asciiTheme="majorBidi" w:hAnsiTheme="majorBidi" w:cstheme="majorBidi"/>
          <w:color w:val="000000" w:themeColor="text1"/>
          <w:sz w:val="26"/>
          <w:szCs w:val="26"/>
        </w:rPr>
        <w:t>17,4</w:t>
      </w:r>
      <w:r w:rsidR="00A9118A" w:rsidRPr="00536E6D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</w:t>
      </w:r>
      <w:r w:rsidR="0043213C" w:rsidRPr="00536E6D">
        <w:rPr>
          <w:rFonts w:asciiTheme="majorBidi" w:hAnsiTheme="majorBidi" w:cstheme="majorBidi"/>
          <w:sz w:val="26"/>
          <w:szCs w:val="26"/>
          <w:rtl/>
          <w:lang w:bidi="ar-MA"/>
        </w:rPr>
        <w:t>نقطة</w:t>
      </w:r>
      <w:r w:rsidR="0043213C" w:rsidRPr="00536E6D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</w:t>
      </w:r>
      <w:r w:rsidR="0014738D" w:rsidRPr="00536E6D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وناقص </w:t>
      </w:r>
      <w:r w:rsidR="0043213C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A9118A" w:rsidRPr="00536E6D">
        <w:rPr>
          <w:rFonts w:asciiTheme="majorBidi" w:hAnsiTheme="majorBidi" w:cstheme="majorBidi"/>
          <w:color w:val="000000" w:themeColor="text1"/>
          <w:sz w:val="26"/>
          <w:szCs w:val="26"/>
        </w:rPr>
        <w:t>4,6</w:t>
      </w:r>
      <w:r w:rsidR="00A9118A" w:rsidRPr="00536E6D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</w:t>
      </w:r>
      <w:r w:rsidR="0043213C" w:rsidRPr="00536E6D">
        <w:rPr>
          <w:rFonts w:asciiTheme="majorBidi" w:hAnsiTheme="majorBidi" w:cstheme="majorBidi"/>
          <w:sz w:val="26"/>
          <w:szCs w:val="26"/>
          <w:rtl/>
          <w:lang w:bidi="ar-MA"/>
        </w:rPr>
        <w:t>نقطة</w:t>
      </w:r>
      <w:r w:rsidR="0043213C" w:rsidRPr="00536E6D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</w:t>
      </w:r>
      <w:r w:rsidR="00A9118A" w:rsidRPr="00536E6D">
        <w:rPr>
          <w:rFonts w:asciiTheme="majorBidi" w:hAnsiTheme="majorBidi" w:cstheme="majorBidi"/>
          <w:color w:val="000000" w:themeColor="text1"/>
          <w:sz w:val="26"/>
          <w:szCs w:val="26"/>
          <w:rtl/>
        </w:rPr>
        <w:t>على التوالي</w:t>
      </w:r>
      <w:r w:rsidR="00D01384" w:rsidRPr="00536E6D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</w:p>
    <w:p w:rsidR="00E83614" w:rsidRPr="00E83614" w:rsidRDefault="00E83614" w:rsidP="00E83614">
      <w:pPr>
        <w:bidi/>
        <w:spacing w:before="240" w:line="360" w:lineRule="auto"/>
        <w:rPr>
          <w:rFonts w:asciiTheme="majorBidi" w:hAnsiTheme="majorBidi" w:cstheme="majorBidi"/>
          <w:b/>
          <w:bCs/>
          <w:sz w:val="26"/>
          <w:szCs w:val="26"/>
          <w:lang w:bidi="ar-DZ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مبيان 2: </w:t>
      </w:r>
      <w:r w:rsidRPr="00E83614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 xml:space="preserve">تصور الأسر للتطور السابق </w:t>
      </w:r>
      <w:r w:rsidR="0014738D" w:rsidRPr="00E83614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>والمستقبلي للمستوى</w:t>
      </w:r>
      <w:r w:rsidRPr="00E83614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 xml:space="preserve"> العام للمعيشة</w:t>
      </w:r>
      <w:r w:rsidRPr="00E83614"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 </w:t>
      </w:r>
      <w:r w:rsidRPr="00E83614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>(أرصدة الآراء)</w:t>
      </w:r>
      <w:r w:rsidRPr="00E83614"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 </w:t>
      </w:r>
    </w:p>
    <w:p w:rsidR="00804AB7" w:rsidRPr="00536E6D" w:rsidRDefault="00D77518" w:rsidP="00536E6D">
      <w:pPr>
        <w:widowControl/>
        <w:autoSpaceDE/>
        <w:autoSpaceDN/>
        <w:bidi/>
        <w:adjustRightInd/>
        <w:spacing w:after="200" w:line="360" w:lineRule="auto"/>
        <w:jc w:val="center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536E6D"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5941060" cy="3610997"/>
            <wp:effectExtent l="19050" t="0" r="21590" b="8503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C77D8" w:rsidRDefault="00AC77D8" w:rsidP="00AC77D8">
      <w:pPr>
        <w:shd w:val="clear" w:color="auto" w:fill="FFFFFF" w:themeFill="background1"/>
        <w:bidi/>
        <w:spacing w:line="360" w:lineRule="auto"/>
        <w:jc w:val="both"/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</w:pP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المصدر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</w:rPr>
        <w:t xml:space="preserve">: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المندوبية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السامية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للتخطيط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>، البح</w:t>
      </w:r>
      <w:r w:rsidRPr="00AC77D8">
        <w:rPr>
          <w:rFonts w:asciiTheme="majorBidi" w:hAnsiTheme="majorBidi" w:cstheme="majorBidi" w:hint="eastAsia"/>
          <w:b/>
          <w:bCs/>
          <w:color w:val="202124"/>
          <w:sz w:val="22"/>
          <w:szCs w:val="22"/>
          <w:rtl/>
        </w:rPr>
        <w:t>ث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الوطني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الدائم حول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الظرفية لدى الأسر</w:t>
      </w:r>
    </w:p>
    <w:p w:rsidR="00AC77D8" w:rsidRPr="00AC77D8" w:rsidRDefault="00AC77D8" w:rsidP="00AC77D8">
      <w:pPr>
        <w:shd w:val="clear" w:color="auto" w:fill="FFFFFF" w:themeFill="background1"/>
        <w:bidi/>
        <w:spacing w:line="360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:rsidR="0047396E" w:rsidRPr="0055190C" w:rsidRDefault="0047396E" w:rsidP="00845469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line="360" w:lineRule="auto"/>
        <w:ind w:left="566" w:hanging="283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55190C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تطور مستوى البطالة</w:t>
      </w:r>
      <w:r w:rsidR="002041DE" w:rsidRPr="0055190C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: آ</w:t>
      </w:r>
      <w:r w:rsidR="00B41C33" w:rsidRPr="0055190C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راء</w:t>
      </w:r>
      <w:r w:rsidR="00B36679" w:rsidRPr="0055190C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</w:t>
      </w:r>
      <w:r w:rsidR="008454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أقل </w:t>
      </w:r>
      <w:r w:rsidR="00D721AF" w:rsidRPr="0055190C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تشاؤم</w:t>
      </w:r>
      <w:r w:rsidR="00D721A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ا</w:t>
      </w:r>
    </w:p>
    <w:p w:rsidR="0047396E" w:rsidRDefault="00F04DA1" w:rsidP="0055190C">
      <w:pPr>
        <w:bidi/>
        <w:spacing w:line="360" w:lineRule="auto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خلال الفصل الأول من سنة 202</w:t>
      </w:r>
      <w:r w:rsidR="00B36679" w:rsidRPr="00536E6D">
        <w:rPr>
          <w:rFonts w:asciiTheme="majorBidi" w:hAnsiTheme="majorBidi" w:cstheme="majorBidi"/>
          <w:sz w:val="26"/>
          <w:szCs w:val="26"/>
          <w:rtl/>
          <w:lang w:bidi="ar-MA"/>
        </w:rPr>
        <w:t>1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>، توقعت</w:t>
      </w:r>
      <w:r w:rsidR="0055190C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362483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B36679" w:rsidRPr="00536E6D">
        <w:rPr>
          <w:rFonts w:asciiTheme="majorBidi" w:hAnsiTheme="majorBidi" w:cstheme="majorBidi"/>
          <w:sz w:val="26"/>
          <w:szCs w:val="26"/>
          <w:lang w:bidi="ar-MA"/>
        </w:rPr>
        <w:t>76,1</w:t>
      </w:r>
      <w:r w:rsidR="0055190C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من الأسر مقابل </w:t>
      </w:r>
      <w:r w:rsidR="00362483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B36679" w:rsidRPr="00536E6D">
        <w:rPr>
          <w:rFonts w:asciiTheme="majorBidi" w:hAnsiTheme="majorBidi" w:cstheme="majorBidi"/>
          <w:sz w:val="26"/>
          <w:szCs w:val="26"/>
          <w:lang w:bidi="ar-MA"/>
        </w:rPr>
        <w:t>13,9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ارتفاعا في مستوى البطالة خلال 12 شهرا المقبلة. وهكذا استقر رصيد هذا المؤشر في مستوى سلبي بلغ ناقص</w:t>
      </w:r>
      <w:r w:rsidR="0014738D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55190C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536E6D">
        <w:rPr>
          <w:rFonts w:asciiTheme="majorBidi" w:hAnsiTheme="majorBidi" w:cstheme="majorBidi"/>
          <w:sz w:val="26"/>
          <w:szCs w:val="26"/>
          <w:lang w:bidi="ar-MA"/>
        </w:rPr>
        <w:t xml:space="preserve"> </w:t>
      </w:r>
      <w:r w:rsidR="00B36679" w:rsidRPr="00536E6D">
        <w:rPr>
          <w:rFonts w:asciiTheme="majorBidi" w:hAnsiTheme="majorBidi" w:cstheme="majorBidi"/>
          <w:sz w:val="26"/>
          <w:szCs w:val="26"/>
          <w:lang w:bidi="ar-MA"/>
        </w:rPr>
        <w:t>62,2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>نقطة، مقابل ناقص</w:t>
      </w:r>
      <w:r w:rsidR="00B36679" w:rsidRPr="00536E6D">
        <w:rPr>
          <w:rFonts w:asciiTheme="majorBidi" w:hAnsiTheme="majorBidi" w:cstheme="majorBidi"/>
          <w:sz w:val="26"/>
          <w:szCs w:val="26"/>
          <w:lang w:bidi="ar-MA"/>
        </w:rPr>
        <w:t xml:space="preserve">78,3 </w:t>
      </w:r>
      <w:r w:rsidR="0055190C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>نقطة خلال الفصل السابق و ناقص</w:t>
      </w:r>
      <w:r w:rsidR="0055190C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B36679" w:rsidRPr="00536E6D">
        <w:rPr>
          <w:rFonts w:asciiTheme="majorBidi" w:hAnsiTheme="majorBidi" w:cstheme="majorBidi"/>
          <w:sz w:val="26"/>
          <w:szCs w:val="26"/>
          <w:lang w:bidi="ar-MA"/>
        </w:rPr>
        <w:t>70,8</w:t>
      </w:r>
      <w:r w:rsidR="0055190C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>نقطة خلال نفس الفصل من السنة الماضية.</w:t>
      </w:r>
    </w:p>
    <w:p w:rsidR="00D721AF" w:rsidRDefault="00D721AF" w:rsidP="0055190C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</w:pPr>
    </w:p>
    <w:p w:rsidR="0047396E" w:rsidRPr="00536E6D" w:rsidRDefault="0055190C" w:rsidP="00D721AF">
      <w:pPr>
        <w:bidi/>
        <w:spacing w:line="360" w:lineRule="auto"/>
        <w:jc w:val="both"/>
        <w:rPr>
          <w:rFonts w:asciiTheme="majorBidi" w:hAnsiTheme="majorBidi" w:cstheme="majorBidi"/>
          <w:sz w:val="26"/>
          <w:szCs w:val="26"/>
          <w:lang w:bidi="ar-MA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lastRenderedPageBreak/>
        <w:t xml:space="preserve">مبيان 3: </w:t>
      </w:r>
      <w:r w:rsidRPr="0055190C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>التطور المستقبلي للبطالة</w:t>
      </w:r>
      <w:r w:rsidRPr="0055190C"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 </w:t>
      </w:r>
      <w:r w:rsidRPr="0055190C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>(أرصدة الآراء)</w:t>
      </w:r>
      <w:r w:rsidRPr="0055190C"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 </w:t>
      </w:r>
    </w:p>
    <w:p w:rsidR="0047396E" w:rsidRPr="00536E6D" w:rsidRDefault="00BA08DE" w:rsidP="00536E6D">
      <w:pPr>
        <w:bidi/>
        <w:spacing w:line="360" w:lineRule="auto"/>
        <w:jc w:val="center"/>
        <w:rPr>
          <w:rFonts w:asciiTheme="majorBidi" w:hAnsiTheme="majorBidi" w:cstheme="majorBidi"/>
          <w:sz w:val="26"/>
          <w:szCs w:val="26"/>
          <w:lang w:bidi="ar-MA"/>
        </w:rPr>
      </w:pPr>
      <w:r w:rsidRPr="00536E6D"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5945734" cy="3065069"/>
            <wp:effectExtent l="19050" t="0" r="16916" b="1981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77D8" w:rsidRDefault="00AC77D8" w:rsidP="00AC77D8">
      <w:pPr>
        <w:shd w:val="clear" w:color="auto" w:fill="FFFFFF" w:themeFill="background1"/>
        <w:bidi/>
        <w:spacing w:line="360" w:lineRule="auto"/>
        <w:jc w:val="both"/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</w:pP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المصدر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</w:rPr>
        <w:t xml:space="preserve">: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المندوبية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السامية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للتخطيط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>، البح</w:t>
      </w:r>
      <w:r w:rsidRPr="00AC77D8">
        <w:rPr>
          <w:rFonts w:asciiTheme="majorBidi" w:hAnsiTheme="majorBidi" w:cstheme="majorBidi" w:hint="eastAsia"/>
          <w:b/>
          <w:bCs/>
          <w:color w:val="202124"/>
          <w:sz w:val="22"/>
          <w:szCs w:val="22"/>
          <w:rtl/>
        </w:rPr>
        <w:t>ث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الوطني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الدائم حول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الظرفية لدى الأسر</w:t>
      </w:r>
    </w:p>
    <w:p w:rsidR="00795089" w:rsidRPr="00536E6D" w:rsidRDefault="00795089" w:rsidP="00536E6D">
      <w:pPr>
        <w:bidi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47396E" w:rsidRPr="0055190C" w:rsidRDefault="0047396E" w:rsidP="00536E6D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line="360" w:lineRule="auto"/>
        <w:ind w:left="566" w:hanging="283"/>
        <w:jc w:val="both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55190C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الظرفية غير ملائمة لاقتناء السلع</w:t>
      </w:r>
      <w:r w:rsidR="00B446F3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Pr="0055190C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المستديمة </w:t>
      </w:r>
    </w:p>
    <w:p w:rsidR="002B2F02" w:rsidRPr="00536E6D" w:rsidRDefault="0047396E" w:rsidP="00BB2364">
      <w:pPr>
        <w:bidi/>
        <w:spacing w:line="360" w:lineRule="auto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اعتبرت </w:t>
      </w:r>
      <w:r w:rsidR="004D12B5" w:rsidRPr="00536E6D">
        <w:rPr>
          <w:rFonts w:asciiTheme="majorBidi" w:hAnsiTheme="majorBidi" w:cstheme="majorBidi"/>
          <w:sz w:val="26"/>
          <w:szCs w:val="26"/>
          <w:lang w:bidi="ar-MA"/>
        </w:rPr>
        <w:t>73,2</w:t>
      </w:r>
      <w:r w:rsidR="0006156A" w:rsidRPr="00536E6D">
        <w:rPr>
          <w:rFonts w:asciiTheme="majorBidi" w:hAnsiTheme="majorBidi" w:cstheme="majorBidi"/>
          <w:sz w:val="26"/>
          <w:szCs w:val="26"/>
          <w:rtl/>
          <w:lang w:bidi="ar-MA"/>
        </w:rPr>
        <w:t>%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 الأسر، </w:t>
      </w:r>
      <w:r w:rsidR="00341A12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خلال الفصل الأول من سنة </w:t>
      </w:r>
      <w:r w:rsidR="0013669B" w:rsidRPr="00536E6D">
        <w:rPr>
          <w:rFonts w:asciiTheme="majorBidi" w:hAnsiTheme="majorBidi" w:cstheme="majorBidi"/>
          <w:sz w:val="26"/>
          <w:szCs w:val="26"/>
          <w:rtl/>
          <w:lang w:bidi="ar-MA"/>
        </w:rPr>
        <w:t>2021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، أن الظروف غير ملائمة للقيام بشراء سلع مستديمة</w:t>
      </w:r>
      <w:r w:rsidR="002041DE" w:rsidRPr="00536E6D">
        <w:rPr>
          <w:rFonts w:asciiTheme="majorBidi" w:hAnsiTheme="majorBidi" w:cstheme="majorBidi"/>
          <w:sz w:val="26"/>
          <w:szCs w:val="26"/>
          <w:rtl/>
          <w:lang w:bidi="ar-MA"/>
        </w:rPr>
        <w:t>،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في حين رأت </w:t>
      </w:r>
      <w:r w:rsidR="00BB2364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4D12B5" w:rsidRPr="00536E6D">
        <w:rPr>
          <w:rFonts w:asciiTheme="majorBidi" w:hAnsiTheme="majorBidi" w:cstheme="majorBidi"/>
          <w:sz w:val="26"/>
          <w:szCs w:val="26"/>
          <w:lang w:bidi="ar-MA"/>
        </w:rPr>
        <w:t>11,7</w:t>
      </w:r>
      <w:r w:rsidR="00BB2364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عكس ذلك. وهكذا استقر رصيد هذا المؤشر في مستواه السلبي مسجلا ناقص</w:t>
      </w:r>
      <w:r w:rsidR="002F3F0E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B446F3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61,5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نقطة مقابل ناقص </w:t>
      </w:r>
      <w:r w:rsidR="0013669B" w:rsidRPr="00536E6D">
        <w:rPr>
          <w:rFonts w:asciiTheme="majorBidi" w:hAnsiTheme="majorBidi" w:cstheme="majorBidi"/>
          <w:color w:val="000000" w:themeColor="text1"/>
          <w:sz w:val="26"/>
          <w:szCs w:val="26"/>
        </w:rPr>
        <w:t>61,2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نقطة خلال الفصل السابق وناقص </w:t>
      </w:r>
      <w:r w:rsidR="00B446F3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13669B" w:rsidRPr="00536E6D">
        <w:rPr>
          <w:rFonts w:asciiTheme="majorBidi" w:hAnsiTheme="majorBidi" w:cstheme="majorBidi"/>
          <w:sz w:val="26"/>
          <w:szCs w:val="26"/>
          <w:lang w:bidi="ar-MA"/>
        </w:rPr>
        <w:t>32,6</w:t>
      </w:r>
      <w:r w:rsidR="00B446F3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نقطة خلال </w:t>
      </w:r>
      <w:r w:rsidR="00B446F3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نفس الفصل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من</w:t>
      </w:r>
      <w:r w:rsidR="00362483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سنة</w:t>
      </w:r>
      <w:r w:rsidR="00B446F3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13669B" w:rsidRPr="00536E6D">
        <w:rPr>
          <w:rFonts w:asciiTheme="majorBidi" w:hAnsiTheme="majorBidi" w:cstheme="majorBidi"/>
          <w:sz w:val="26"/>
          <w:szCs w:val="26"/>
          <w:rtl/>
          <w:lang w:bidi="ar-MA"/>
        </w:rPr>
        <w:t>2020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</w:p>
    <w:p w:rsidR="00BC28E2" w:rsidRPr="00536E6D" w:rsidRDefault="0055190C" w:rsidP="0055190C">
      <w:pPr>
        <w:bidi/>
        <w:spacing w:line="360" w:lineRule="auto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مبيان 4: </w:t>
      </w:r>
      <w:r w:rsidRPr="0055190C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>فرص اقتناء السلع المستديمة</w:t>
      </w:r>
      <w:r w:rsidRPr="0055190C"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 </w:t>
      </w:r>
      <w:r w:rsidRPr="0055190C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>(أرصدة الآراء)</w:t>
      </w:r>
      <w:r w:rsidRPr="0055190C"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 </w:t>
      </w:r>
    </w:p>
    <w:p w:rsidR="00B41C33" w:rsidRPr="00536E6D" w:rsidRDefault="00CF7B14" w:rsidP="00536E6D">
      <w:pPr>
        <w:widowControl/>
        <w:autoSpaceDE/>
        <w:autoSpaceDN/>
        <w:bidi/>
        <w:adjustRightInd/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</w:pPr>
      <w:r w:rsidRPr="00536E6D"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5948274" cy="3006548"/>
            <wp:effectExtent l="19050" t="0" r="14376" b="3352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C77D8" w:rsidRDefault="00AC77D8" w:rsidP="00AC77D8">
      <w:pPr>
        <w:shd w:val="clear" w:color="auto" w:fill="FFFFFF" w:themeFill="background1"/>
        <w:bidi/>
        <w:spacing w:line="360" w:lineRule="auto"/>
        <w:jc w:val="both"/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</w:pP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المصدر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</w:rPr>
        <w:t xml:space="preserve">: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المندوبية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السامية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للتخطيط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>، البح</w:t>
      </w:r>
      <w:r w:rsidRPr="00AC77D8">
        <w:rPr>
          <w:rFonts w:asciiTheme="majorBidi" w:hAnsiTheme="majorBidi" w:cstheme="majorBidi" w:hint="eastAsia"/>
          <w:b/>
          <w:bCs/>
          <w:color w:val="202124"/>
          <w:sz w:val="22"/>
          <w:szCs w:val="22"/>
          <w:rtl/>
        </w:rPr>
        <w:t>ث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الوطني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الدائم حول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الظرفية لدى الأسر</w:t>
      </w:r>
    </w:p>
    <w:p w:rsidR="00AC77D8" w:rsidRPr="00AC77D8" w:rsidRDefault="00AC77D8" w:rsidP="00AC77D8">
      <w:pPr>
        <w:widowControl/>
        <w:autoSpaceDE/>
        <w:autoSpaceDN/>
        <w:bidi/>
        <w:adjustRightInd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076C6" w:rsidRPr="0055190C" w:rsidRDefault="00B50AFB" w:rsidP="00B50AFB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78250A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lastRenderedPageBreak/>
        <w:t xml:space="preserve">توقع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ا</w:t>
      </w:r>
      <w:r w:rsidRPr="0055190C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لأسر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Pr="0078250A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بتحس</w:t>
      </w:r>
      <w:r w:rsidRPr="0078250A">
        <w:rPr>
          <w:rFonts w:asciiTheme="majorBidi" w:hAnsiTheme="majorBidi" w:cstheme="majorBidi" w:hint="eastAsia"/>
          <w:b/>
          <w:bCs/>
          <w:sz w:val="28"/>
          <w:szCs w:val="28"/>
          <w:rtl/>
          <w:lang w:bidi="ar-MA"/>
        </w:rPr>
        <w:t>ن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="008052A4" w:rsidRPr="0055190C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وضعي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تهم</w:t>
      </w:r>
      <w:r w:rsidR="008052A4" w:rsidRPr="0055190C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</w:t>
      </w:r>
      <w:r w:rsidR="0047396E" w:rsidRPr="0055190C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المالية </w:t>
      </w:r>
    </w:p>
    <w:p w:rsidR="0047396E" w:rsidRPr="00536E6D" w:rsidRDefault="0047396E" w:rsidP="0014738D">
      <w:pPr>
        <w:bidi/>
        <w:spacing w:before="240" w:line="360" w:lineRule="auto"/>
        <w:jc w:val="both"/>
        <w:rPr>
          <w:rFonts w:asciiTheme="majorBidi" w:hAnsiTheme="majorBidi" w:cstheme="majorBidi"/>
          <w:sz w:val="26"/>
          <w:szCs w:val="26"/>
          <w:lang w:bidi="ar-MA"/>
        </w:rPr>
      </w:pP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صرحت </w:t>
      </w:r>
      <w:r w:rsidR="00362483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066304" w:rsidRPr="00536E6D">
        <w:rPr>
          <w:rFonts w:asciiTheme="majorBidi" w:hAnsiTheme="majorBidi" w:cstheme="majorBidi"/>
          <w:sz w:val="26"/>
          <w:szCs w:val="26"/>
          <w:lang w:bidi="ar-MA"/>
        </w:rPr>
        <w:t>55,</w:t>
      </w:r>
      <w:r w:rsidR="00A82598">
        <w:rPr>
          <w:rFonts w:asciiTheme="majorBidi" w:hAnsiTheme="majorBidi" w:cstheme="majorBidi"/>
          <w:sz w:val="26"/>
          <w:szCs w:val="26"/>
          <w:lang w:bidi="ar-MA"/>
        </w:rPr>
        <w:t>8</w:t>
      </w:r>
      <w:r w:rsidR="00BB2364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من الأسر، </w:t>
      </w:r>
      <w:r w:rsidR="00BA32A3" w:rsidRPr="00536E6D">
        <w:rPr>
          <w:rFonts w:asciiTheme="majorBidi" w:hAnsiTheme="majorBidi" w:cstheme="majorBidi"/>
          <w:sz w:val="26"/>
          <w:szCs w:val="26"/>
          <w:rtl/>
          <w:lang w:bidi="ar-MA"/>
        </w:rPr>
        <w:t>خلال الفصل الأول من سنة 202</w:t>
      </w:r>
      <w:r w:rsidR="00066304" w:rsidRPr="00536E6D">
        <w:rPr>
          <w:rFonts w:asciiTheme="majorBidi" w:hAnsiTheme="majorBidi" w:cstheme="majorBidi"/>
          <w:sz w:val="26"/>
          <w:szCs w:val="26"/>
          <w:rtl/>
          <w:lang w:bidi="ar-MA"/>
        </w:rPr>
        <w:t>1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، أن مداخيلها تغطي مصاريفها، فيما استنزفت </w:t>
      </w:r>
      <w:r w:rsidR="00BB2364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362483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066304" w:rsidRPr="00536E6D">
        <w:rPr>
          <w:rFonts w:asciiTheme="majorBidi" w:hAnsiTheme="majorBidi" w:cstheme="majorBidi"/>
          <w:sz w:val="26"/>
          <w:szCs w:val="26"/>
          <w:lang w:bidi="ar-MA"/>
        </w:rPr>
        <w:t>39,3</w:t>
      </w:r>
      <w:r w:rsidR="00BB2364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من مدخراتها أو لجأت إلى الاقتراض.</w:t>
      </w:r>
      <w:r w:rsidR="00BB2364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ولا يتجاوز معدل الأسر التي تمكنت من ادخار جزء من مداخيلها</w:t>
      </w:r>
      <w:r w:rsidR="00BB2364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4,9</w:t>
      </w:r>
      <w:r w:rsidR="0014738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BB2364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14738D">
        <w:rPr>
          <w:rFonts w:asciiTheme="majorBidi" w:hAnsiTheme="majorBidi" w:cstheme="majorBidi" w:hint="cs"/>
          <w:sz w:val="26"/>
          <w:szCs w:val="26"/>
          <w:rtl/>
          <w:lang w:bidi="ar-MA"/>
        </w:rPr>
        <w:t>وهكذا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استقر رصيد آراء الأسر حول وضعيتهم المالية الحالية في مستوى سلبي بلغ ناقص </w:t>
      </w:r>
      <w:r w:rsidR="00CE0DCF" w:rsidRPr="00536E6D">
        <w:rPr>
          <w:rFonts w:asciiTheme="majorBidi" w:hAnsiTheme="majorBidi" w:cstheme="majorBidi"/>
          <w:sz w:val="26"/>
          <w:szCs w:val="26"/>
          <w:lang w:bidi="ar-MA"/>
        </w:rPr>
        <w:t>34,4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نقطة</w:t>
      </w:r>
      <w:r w:rsidR="00BB2364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مقابل ناقص</w:t>
      </w:r>
      <w:r w:rsidR="00CE0DCF" w:rsidRPr="00536E6D">
        <w:rPr>
          <w:rFonts w:asciiTheme="majorBidi" w:hAnsiTheme="majorBidi" w:cstheme="majorBidi"/>
          <w:sz w:val="26"/>
          <w:szCs w:val="26"/>
          <w:lang w:bidi="ar-MA"/>
        </w:rPr>
        <w:t>29,1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نقطة خلال الفصل السابق وناقص</w:t>
      </w:r>
      <w:r w:rsidR="00CD4D50" w:rsidRPr="00536E6D">
        <w:rPr>
          <w:rFonts w:asciiTheme="majorBidi" w:hAnsiTheme="majorBidi" w:cstheme="majorBidi"/>
          <w:sz w:val="26"/>
          <w:szCs w:val="26"/>
          <w:lang w:bidi="ar-MA"/>
        </w:rPr>
        <w:t>27,7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نقطة خلال نفس الفصل من السنة الماضية.</w:t>
      </w:r>
    </w:p>
    <w:p w:rsidR="0047396E" w:rsidRPr="00536E6D" w:rsidRDefault="0047396E" w:rsidP="00A262D9">
      <w:pPr>
        <w:bidi/>
        <w:spacing w:before="240" w:line="360" w:lineRule="auto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وبخصوص تطور الوضعية المالية للأسر خلال 12 شهرا الماضية، صرحت </w:t>
      </w:r>
      <w:r w:rsidR="00BB2364">
        <w:rPr>
          <w:rFonts w:asciiTheme="majorBidi" w:hAnsiTheme="majorBidi" w:cstheme="majorBidi" w:hint="cs"/>
          <w:sz w:val="26"/>
          <w:szCs w:val="26"/>
          <w:rtl/>
          <w:lang w:bidi="ar-MA"/>
        </w:rPr>
        <w:t>54</w:t>
      </w:r>
      <w:r w:rsidR="00E74730" w:rsidRPr="00536E6D">
        <w:rPr>
          <w:rFonts w:asciiTheme="majorBidi" w:hAnsiTheme="majorBidi" w:cstheme="majorBidi"/>
          <w:sz w:val="26"/>
          <w:szCs w:val="26"/>
          <w:rtl/>
          <w:lang w:bidi="ar-MA"/>
        </w:rPr>
        <w:t>,</w:t>
      </w:r>
      <w:r w:rsidR="00BB2364">
        <w:rPr>
          <w:rFonts w:asciiTheme="majorBidi" w:hAnsiTheme="majorBidi" w:cstheme="majorBidi" w:hint="cs"/>
          <w:sz w:val="26"/>
          <w:szCs w:val="26"/>
          <w:rtl/>
          <w:lang w:bidi="ar-MA"/>
        </w:rPr>
        <w:t>4</w:t>
      </w:r>
      <w:r w:rsidRPr="00536E6D">
        <w:rPr>
          <w:rFonts w:asciiTheme="majorBidi" w:hAnsiTheme="majorBidi" w:cstheme="majorBidi"/>
          <w:sz w:val="26"/>
          <w:szCs w:val="26"/>
          <w:lang w:bidi="ar-MA"/>
        </w:rPr>
        <w:t xml:space="preserve"> %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من الأسر</w:t>
      </w:r>
      <w:r w:rsidR="00E74730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مقابل 7,0</w:t>
      </w:r>
      <w:r w:rsidR="00E74730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بتدهورها. وبذلك بقي هذا </w:t>
      </w:r>
      <w:r w:rsidR="00A262D9" w:rsidRPr="00536E6D">
        <w:rPr>
          <w:rFonts w:asciiTheme="majorBidi" w:hAnsiTheme="majorBidi" w:cstheme="majorBidi" w:hint="cs"/>
          <w:sz w:val="26"/>
          <w:szCs w:val="26"/>
          <w:rtl/>
          <w:lang w:bidi="ar-MA"/>
        </w:rPr>
        <w:t>التصور سلبي</w:t>
      </w:r>
      <w:r w:rsidR="00A262D9" w:rsidRPr="00536E6D">
        <w:rPr>
          <w:rFonts w:asciiTheme="majorBidi" w:hAnsiTheme="majorBidi" w:cstheme="majorBidi" w:hint="eastAsia"/>
          <w:sz w:val="26"/>
          <w:szCs w:val="26"/>
          <w:rtl/>
          <w:lang w:bidi="ar-MA"/>
        </w:rPr>
        <w:t>ا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حيث بلغ</w:t>
      </w:r>
      <w:r w:rsidR="00BB2364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BB2364" w:rsidRPr="00536E6D">
        <w:rPr>
          <w:rFonts w:asciiTheme="majorBidi" w:hAnsiTheme="majorBidi" w:cstheme="majorBidi"/>
          <w:sz w:val="26"/>
          <w:szCs w:val="26"/>
          <w:rtl/>
          <w:lang w:bidi="ar-MA"/>
        </w:rPr>
        <w:t>رصيد هذا المؤشر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ناقص</w:t>
      </w:r>
      <w:r w:rsidR="00BB2364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2F5099" w:rsidRPr="00536E6D">
        <w:rPr>
          <w:rFonts w:asciiTheme="majorBidi" w:hAnsiTheme="majorBidi" w:cstheme="majorBidi"/>
          <w:sz w:val="26"/>
          <w:szCs w:val="26"/>
          <w:lang w:bidi="ar-MA"/>
        </w:rPr>
        <w:t>47,4</w:t>
      </w:r>
      <w:r w:rsidR="00BB2364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نقطة </w:t>
      </w:r>
      <w:r w:rsidR="005C100E" w:rsidRPr="00536E6D">
        <w:rPr>
          <w:rFonts w:asciiTheme="majorBidi" w:hAnsiTheme="majorBidi" w:cstheme="majorBidi"/>
          <w:sz w:val="26"/>
          <w:szCs w:val="26"/>
          <w:rtl/>
          <w:lang w:bidi="ar-MA"/>
        </w:rPr>
        <w:t>مقابل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ناقص</w:t>
      </w:r>
      <w:r w:rsidR="00BB2364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2F5099" w:rsidRPr="00536E6D">
        <w:rPr>
          <w:rFonts w:asciiTheme="majorBidi" w:hAnsiTheme="majorBidi" w:cstheme="majorBidi"/>
          <w:sz w:val="26"/>
          <w:szCs w:val="26"/>
          <w:lang w:bidi="ar-MA"/>
        </w:rPr>
        <w:t>39,9</w:t>
      </w:r>
      <w:r w:rsidR="00BB2364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نقطة </w:t>
      </w:r>
      <w:r w:rsidR="005C100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خلال الفصل السابق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ناقص</w:t>
      </w:r>
      <w:r w:rsidR="002F5099" w:rsidRPr="00536E6D">
        <w:rPr>
          <w:rFonts w:asciiTheme="majorBidi" w:hAnsiTheme="majorBidi" w:cstheme="majorBidi"/>
          <w:sz w:val="26"/>
          <w:szCs w:val="26"/>
          <w:lang w:bidi="ar-MA"/>
        </w:rPr>
        <w:t xml:space="preserve">22,9 </w:t>
      </w:r>
      <w:r w:rsidR="00BB2364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3549B7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نقطة </w:t>
      </w:r>
      <w:r w:rsidR="005C100E" w:rsidRPr="00536E6D">
        <w:rPr>
          <w:rFonts w:asciiTheme="majorBidi" w:hAnsiTheme="majorBidi" w:cstheme="majorBidi"/>
          <w:sz w:val="26"/>
          <w:szCs w:val="26"/>
          <w:rtl/>
          <w:lang w:bidi="ar-MA"/>
        </w:rPr>
        <w:t>خلال</w:t>
      </w:r>
      <w:r w:rsidR="00BB2364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5C100E" w:rsidRPr="00536E6D">
        <w:rPr>
          <w:rFonts w:asciiTheme="majorBidi" w:hAnsiTheme="majorBidi" w:cstheme="majorBidi"/>
          <w:sz w:val="26"/>
          <w:szCs w:val="26"/>
          <w:rtl/>
          <w:lang w:bidi="ar-MA"/>
        </w:rPr>
        <w:t>نفس الفصل من السنة الماضية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</w:p>
    <w:p w:rsidR="0047396E" w:rsidRDefault="0047396E" w:rsidP="00A262D9">
      <w:pPr>
        <w:bidi/>
        <w:spacing w:before="240" w:line="360" w:lineRule="auto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أما بخصوص تصور الأسر لتطور وضعيتها المالية خلال 12 شهرا المقبلة، فتتوقع </w:t>
      </w:r>
      <w:r w:rsidR="002F5099" w:rsidRPr="00536E6D">
        <w:rPr>
          <w:rFonts w:asciiTheme="majorBidi" w:hAnsiTheme="majorBidi" w:cstheme="majorBidi"/>
          <w:sz w:val="26"/>
          <w:szCs w:val="26"/>
          <w:rtl/>
          <w:lang w:bidi="ar-MA"/>
        </w:rPr>
        <w:t>35,1</w:t>
      </w:r>
      <w:r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منها تحسنها مقابل </w:t>
      </w:r>
      <w:r w:rsidR="00BB2364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  </w:t>
      </w:r>
      <w:r w:rsidR="002F5099" w:rsidRPr="00536E6D">
        <w:rPr>
          <w:rFonts w:asciiTheme="majorBidi" w:hAnsiTheme="majorBidi" w:cstheme="majorBidi"/>
          <w:sz w:val="26"/>
          <w:szCs w:val="26"/>
          <w:rtl/>
          <w:lang w:bidi="ar-MA"/>
        </w:rPr>
        <w:t>13,8</w:t>
      </w:r>
      <w:r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BB2364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التي تنتظر تدهورها</w:t>
      </w:r>
      <w:r w:rsidR="00BB2364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8A1B89">
        <w:rPr>
          <w:rFonts w:asciiTheme="majorBidi" w:hAnsiTheme="majorBidi" w:cstheme="majorBidi" w:hint="cs"/>
          <w:sz w:val="26"/>
          <w:szCs w:val="26"/>
          <w:rtl/>
          <w:lang w:bidi="ar-MA"/>
        </w:rPr>
        <w:t>و 51,</w:t>
      </w:r>
      <w:r w:rsidR="00A262D9">
        <w:rPr>
          <w:rFonts w:asciiTheme="majorBidi" w:hAnsiTheme="majorBidi" w:cstheme="majorBidi" w:hint="cs"/>
          <w:sz w:val="26"/>
          <w:szCs w:val="26"/>
          <w:rtl/>
          <w:lang w:bidi="ar-MA"/>
        </w:rPr>
        <w:t>1</w:t>
      </w:r>
      <w:r w:rsidR="008A1B89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8A1B89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8A1B89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التي تتوقع </w:t>
      </w:r>
      <w:r w:rsidR="00BB2364" w:rsidRPr="00536E6D">
        <w:rPr>
          <w:rFonts w:asciiTheme="majorBidi" w:hAnsiTheme="majorBidi" w:cstheme="majorBidi"/>
          <w:sz w:val="26"/>
          <w:szCs w:val="26"/>
          <w:rtl/>
          <w:lang w:bidi="ar-MA"/>
        </w:rPr>
        <w:t>استقراره</w:t>
      </w:r>
      <w:r w:rsidR="008A1B89">
        <w:rPr>
          <w:rFonts w:asciiTheme="majorBidi" w:hAnsiTheme="majorBidi" w:cstheme="majorBidi" w:hint="cs"/>
          <w:sz w:val="26"/>
          <w:szCs w:val="26"/>
          <w:rtl/>
          <w:lang w:bidi="ar-MA"/>
        </w:rPr>
        <w:t>ا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. </w:t>
      </w:r>
      <w:r w:rsidR="00CD03A7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وهكذا، </w:t>
      </w:r>
      <w:r w:rsidR="008D692F">
        <w:rPr>
          <w:rFonts w:asciiTheme="majorBidi" w:hAnsiTheme="majorBidi" w:cstheme="majorBidi" w:hint="cs"/>
          <w:sz w:val="26"/>
          <w:szCs w:val="26"/>
          <w:rtl/>
          <w:lang w:bidi="ar-MA"/>
        </w:rPr>
        <w:t>ا</w:t>
      </w:r>
      <w:r w:rsidR="00CD03A7" w:rsidRPr="00536E6D">
        <w:rPr>
          <w:rFonts w:asciiTheme="majorBidi" w:hAnsiTheme="majorBidi" w:cstheme="majorBidi"/>
          <w:sz w:val="26"/>
          <w:szCs w:val="26"/>
          <w:rtl/>
          <w:lang w:bidi="ar-MA"/>
        </w:rPr>
        <w:t>س</w:t>
      </w:r>
      <w:r w:rsidR="008D692F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تقر </w:t>
      </w:r>
      <w:r w:rsidR="00CD03A7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رصيد هذا المؤشر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في</w:t>
      </w:r>
      <w:r w:rsidR="00BB2364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CD03A7" w:rsidRPr="00536E6D">
        <w:rPr>
          <w:rFonts w:asciiTheme="majorBidi" w:hAnsiTheme="majorBidi" w:cstheme="majorBidi"/>
          <w:sz w:val="26"/>
          <w:szCs w:val="26"/>
          <w:rtl/>
          <w:lang w:bidi="ar-MA"/>
        </w:rPr>
        <w:t>21,</w:t>
      </w:r>
      <w:r w:rsidR="008D692F">
        <w:rPr>
          <w:rFonts w:asciiTheme="majorBidi" w:hAnsiTheme="majorBidi" w:cstheme="majorBidi" w:hint="cs"/>
          <w:sz w:val="26"/>
          <w:szCs w:val="26"/>
          <w:rtl/>
          <w:lang w:bidi="ar-MA"/>
        </w:rPr>
        <w:t>3</w:t>
      </w:r>
      <w:r w:rsidR="00BB2364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نقطة مقابل </w:t>
      </w:r>
      <w:r w:rsidR="00CD03A7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0,6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نقطة خلال الفصل السابق و</w:t>
      </w:r>
      <w:r w:rsidR="00CD03A7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8,5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نقطة خلال نفس الفصل من السنة الماضية. </w:t>
      </w:r>
    </w:p>
    <w:p w:rsidR="00A52632" w:rsidRDefault="00A52632" w:rsidP="0055190C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</w:pPr>
    </w:p>
    <w:p w:rsidR="0055190C" w:rsidRPr="00536E6D" w:rsidRDefault="0055190C" w:rsidP="00A52632">
      <w:pPr>
        <w:bidi/>
        <w:spacing w:line="360" w:lineRule="auto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مبيان 5: </w:t>
      </w:r>
      <w:r w:rsidRPr="0055190C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>تصور الأسر حول وضعيتهم المالية</w:t>
      </w:r>
      <w:r w:rsidRPr="0055190C"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 </w:t>
      </w:r>
      <w:r w:rsidRPr="0055190C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>(أرصدة الآراء)</w:t>
      </w:r>
      <w:r w:rsidRPr="0055190C"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 </w:t>
      </w:r>
    </w:p>
    <w:p w:rsidR="0047396E" w:rsidRPr="00536E6D" w:rsidRDefault="004E7FFB" w:rsidP="00536E6D">
      <w:pPr>
        <w:bidi/>
        <w:spacing w:before="240" w:line="360" w:lineRule="auto"/>
        <w:ind w:left="-1"/>
        <w:jc w:val="center"/>
        <w:rPr>
          <w:rFonts w:asciiTheme="majorBidi" w:hAnsiTheme="majorBidi" w:cstheme="majorBidi"/>
          <w:sz w:val="26"/>
          <w:szCs w:val="26"/>
          <w:lang w:bidi="ar-MA"/>
        </w:rPr>
      </w:pPr>
      <w:r w:rsidRPr="00536E6D"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5941060" cy="3514990"/>
            <wp:effectExtent l="19050" t="0" r="21590" b="926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C77D8" w:rsidRDefault="00AC77D8" w:rsidP="00AC77D8">
      <w:pPr>
        <w:shd w:val="clear" w:color="auto" w:fill="FFFFFF" w:themeFill="background1"/>
        <w:bidi/>
        <w:spacing w:line="360" w:lineRule="auto"/>
        <w:jc w:val="both"/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</w:pP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المصدر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</w:rPr>
        <w:t xml:space="preserve">: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المندوبية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السامية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للتخطيط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>، البح</w:t>
      </w:r>
      <w:r w:rsidRPr="00AC77D8">
        <w:rPr>
          <w:rFonts w:asciiTheme="majorBidi" w:hAnsiTheme="majorBidi" w:cstheme="majorBidi" w:hint="eastAsia"/>
          <w:b/>
          <w:bCs/>
          <w:color w:val="202124"/>
          <w:sz w:val="22"/>
          <w:szCs w:val="22"/>
          <w:rtl/>
        </w:rPr>
        <w:t>ث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الوطني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الدائم حول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الظرفية لدى الأسر</w:t>
      </w:r>
    </w:p>
    <w:p w:rsidR="00BC28E2" w:rsidRDefault="00BC28E2" w:rsidP="00536E6D">
      <w:pPr>
        <w:bidi/>
        <w:spacing w:before="240" w:line="360" w:lineRule="auto"/>
        <w:ind w:left="-1"/>
        <w:jc w:val="both"/>
        <w:rPr>
          <w:rFonts w:asciiTheme="majorBidi" w:hAnsiTheme="majorBidi" w:cstheme="majorBidi"/>
          <w:sz w:val="26"/>
          <w:szCs w:val="26"/>
          <w:rtl/>
        </w:rPr>
      </w:pPr>
    </w:p>
    <w:p w:rsidR="00A52632" w:rsidRPr="00536E6D" w:rsidRDefault="00A52632" w:rsidP="00A52632">
      <w:pPr>
        <w:bidi/>
        <w:spacing w:before="240" w:line="360" w:lineRule="auto"/>
        <w:ind w:left="-1"/>
        <w:jc w:val="both"/>
        <w:rPr>
          <w:rFonts w:asciiTheme="majorBidi" w:hAnsiTheme="majorBidi" w:cstheme="majorBidi"/>
          <w:sz w:val="26"/>
          <w:szCs w:val="26"/>
          <w:rtl/>
        </w:rPr>
      </w:pPr>
    </w:p>
    <w:p w:rsidR="0047396E" w:rsidRPr="0055190C" w:rsidRDefault="0047396E" w:rsidP="00536E6D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55190C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lastRenderedPageBreak/>
        <w:t>تطور مؤشرات فصلية أخرى لآراء الأسر حول الظرفية</w:t>
      </w:r>
    </w:p>
    <w:p w:rsidR="0047396E" w:rsidRPr="00536E6D" w:rsidRDefault="0047396E" w:rsidP="00536E6D">
      <w:pPr>
        <w:widowControl/>
        <w:autoSpaceDE/>
        <w:autoSpaceDN/>
        <w:bidi/>
        <w:adjustRightInd/>
        <w:spacing w:after="200" w:line="360" w:lineRule="auto"/>
        <w:ind w:left="142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إضافة إلى المؤشرات السابقة، يوفر هذا البحث معطيات فصلية عن تصورات الأسر بخصوص جوانب أخرى لظروف معيشتها، منها القدرة على </w:t>
      </w:r>
      <w:r w:rsidR="001F7C00" w:rsidRPr="00536E6D">
        <w:rPr>
          <w:rFonts w:asciiTheme="majorBidi" w:hAnsiTheme="majorBidi" w:cstheme="majorBidi"/>
          <w:sz w:val="26"/>
          <w:szCs w:val="26"/>
          <w:rtl/>
          <w:lang w:bidi="ar-MA"/>
        </w:rPr>
        <w:t>الادخار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14738D" w:rsidRPr="00536E6D">
        <w:rPr>
          <w:rFonts w:asciiTheme="majorBidi" w:hAnsiTheme="majorBidi" w:cstheme="majorBidi" w:hint="cs"/>
          <w:sz w:val="26"/>
          <w:szCs w:val="26"/>
          <w:rtl/>
          <w:lang w:bidi="ar-MA"/>
        </w:rPr>
        <w:t>وتطور أثمنة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المواد الغذائية.</w:t>
      </w:r>
    </w:p>
    <w:p w:rsidR="0047396E" w:rsidRPr="0055190C" w:rsidRDefault="0047396E" w:rsidP="00A262D9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55190C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توقعات</w:t>
      </w:r>
      <w:r w:rsidR="00435BD5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="00A262D9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أقل </w:t>
      </w:r>
      <w:r w:rsidR="00A262D9" w:rsidRPr="0055190C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تشاؤم</w:t>
      </w:r>
      <w:r w:rsidR="00A262D9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ا</w:t>
      </w:r>
      <w:r w:rsidR="00435BD5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Pr="0055190C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بخصوص قدرة الأسر على الادخار </w:t>
      </w:r>
    </w:p>
    <w:p w:rsidR="001C3663" w:rsidRPr="00536E6D" w:rsidRDefault="00A11C67" w:rsidP="003033A7">
      <w:pPr>
        <w:pStyle w:val="Paragraphedeliste"/>
        <w:widowControl/>
        <w:autoSpaceDE/>
        <w:autoSpaceDN/>
        <w:bidi/>
        <w:adjustRightInd/>
        <w:spacing w:after="200" w:line="360" w:lineRule="auto"/>
        <w:ind w:left="502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خلال الفصل الأول من سنة 202</w:t>
      </w:r>
      <w:r w:rsidR="001F7C00" w:rsidRPr="00536E6D">
        <w:rPr>
          <w:rFonts w:asciiTheme="majorBidi" w:hAnsiTheme="majorBidi" w:cstheme="majorBidi"/>
          <w:sz w:val="26"/>
          <w:szCs w:val="26"/>
          <w:rtl/>
          <w:lang w:bidi="ar-MA"/>
        </w:rPr>
        <w:t>1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، صرحت </w:t>
      </w:r>
      <w:r w:rsidR="001A3C7F" w:rsidRPr="00536E6D">
        <w:rPr>
          <w:rFonts w:asciiTheme="majorBidi" w:hAnsiTheme="majorBidi" w:cstheme="majorBidi"/>
          <w:sz w:val="26"/>
          <w:szCs w:val="26"/>
          <w:rtl/>
          <w:lang w:bidi="ar-MA"/>
        </w:rPr>
        <w:t>19,6</w:t>
      </w:r>
      <w:r w:rsidR="0047396E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مقابل </w:t>
      </w:r>
      <w:r w:rsidR="00C02F8D" w:rsidRPr="00536E6D">
        <w:rPr>
          <w:rFonts w:asciiTheme="majorBidi" w:hAnsiTheme="majorBidi" w:cstheme="majorBidi"/>
          <w:sz w:val="26"/>
          <w:szCs w:val="26"/>
          <w:rtl/>
          <w:lang w:bidi="ar-MA"/>
        </w:rPr>
        <w:t>80,4</w:t>
      </w:r>
      <w:r w:rsidR="0047396E" w:rsidRPr="00536E6D">
        <w:rPr>
          <w:rFonts w:asciiTheme="majorBidi" w:hAnsiTheme="majorBidi" w:cstheme="majorBidi"/>
          <w:sz w:val="26"/>
          <w:szCs w:val="26"/>
          <w:lang w:bidi="ar-MA"/>
        </w:rPr>
        <w:t xml:space="preserve">% 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 الأسر بقدرتها على </w:t>
      </w:r>
      <w:r w:rsidR="004C7F37" w:rsidRPr="00536E6D">
        <w:rPr>
          <w:rFonts w:asciiTheme="majorBidi" w:hAnsiTheme="majorBidi" w:cstheme="majorBidi"/>
          <w:sz w:val="26"/>
          <w:szCs w:val="26"/>
          <w:rtl/>
          <w:lang w:bidi="ar-MA"/>
        </w:rPr>
        <w:t>الادخار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خلال 12 شهرا المقبلة، </w:t>
      </w:r>
      <w:r w:rsidR="00611F15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وهكذا استقر رصيد هذا المؤشر في مستواه السلبي مسجلا ناقص </w:t>
      </w:r>
      <w:r w:rsidR="00E47193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60,8 </w:t>
      </w:r>
      <w:r w:rsidR="00611F15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نقطة مقابل ناقص </w:t>
      </w:r>
      <w:r w:rsidR="00E47193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65,8 </w:t>
      </w:r>
      <w:r w:rsidR="00611F15" w:rsidRPr="00536E6D">
        <w:rPr>
          <w:rFonts w:asciiTheme="majorBidi" w:hAnsiTheme="majorBidi" w:cstheme="majorBidi"/>
          <w:sz w:val="26"/>
          <w:szCs w:val="26"/>
          <w:rtl/>
          <w:lang w:bidi="ar-MA"/>
        </w:rPr>
        <w:t>نقطة خلال الفصل السابق</w:t>
      </w:r>
      <w:r w:rsidR="00E47193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و</w:t>
      </w:r>
      <w:r w:rsidR="00435BD5" w:rsidRPr="00536E6D">
        <w:rPr>
          <w:rFonts w:asciiTheme="majorBidi" w:hAnsiTheme="majorBidi" w:cstheme="majorBidi"/>
          <w:sz w:val="26"/>
          <w:szCs w:val="26"/>
          <w:rtl/>
          <w:lang w:bidi="ar-MA"/>
        </w:rPr>
        <w:t>خلال</w:t>
      </w:r>
      <w:r w:rsidR="00E47193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نفس الفصل من السنة الماضية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</w:p>
    <w:p w:rsidR="000B04E0" w:rsidRPr="00536E6D" w:rsidRDefault="000B04E0" w:rsidP="00536E6D">
      <w:pPr>
        <w:pStyle w:val="Paragraphedeliste"/>
        <w:widowControl/>
        <w:autoSpaceDE/>
        <w:autoSpaceDN/>
        <w:bidi/>
        <w:adjustRightInd/>
        <w:spacing w:after="200" w:line="360" w:lineRule="auto"/>
        <w:ind w:left="502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47396E" w:rsidRPr="0055190C" w:rsidRDefault="000C6ABC" w:rsidP="00A262D9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55190C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أثمنة المواد الغذائية</w:t>
      </w:r>
      <w:r w:rsidR="00A262D9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: </w:t>
      </w:r>
      <w:r w:rsidR="00A262D9" w:rsidRPr="0055190C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توقع</w:t>
      </w:r>
      <w:r w:rsidR="00A262D9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ب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ا</w:t>
      </w:r>
      <w:r w:rsidR="003033A7" w:rsidRPr="003033A7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رتفاع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="00A262D9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أقل حدة</w:t>
      </w:r>
    </w:p>
    <w:p w:rsidR="0047396E" w:rsidRPr="00536E6D" w:rsidRDefault="00BE0366" w:rsidP="0014738D">
      <w:pPr>
        <w:pStyle w:val="Paragraphedeliste"/>
        <w:widowControl/>
        <w:autoSpaceDE/>
        <w:autoSpaceDN/>
        <w:bidi/>
        <w:adjustRightInd/>
        <w:spacing w:after="200" w:line="360" w:lineRule="auto"/>
        <w:ind w:left="502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خلال الفصل الأول من سنة 202</w:t>
      </w:r>
      <w:r w:rsidR="005819DD" w:rsidRPr="00536E6D">
        <w:rPr>
          <w:rFonts w:asciiTheme="majorBidi" w:hAnsiTheme="majorBidi" w:cstheme="majorBidi"/>
          <w:sz w:val="26"/>
          <w:szCs w:val="26"/>
          <w:rtl/>
          <w:lang w:bidi="ar-MA"/>
        </w:rPr>
        <w:t>1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>، صرحت</w:t>
      </w:r>
      <w:r w:rsidR="003033A7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362483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5819DD" w:rsidRPr="00536E6D">
        <w:rPr>
          <w:rFonts w:asciiTheme="majorBidi" w:hAnsiTheme="majorBidi" w:cstheme="majorBidi"/>
          <w:sz w:val="26"/>
          <w:szCs w:val="26"/>
          <w:lang w:bidi="ar-MA"/>
        </w:rPr>
        <w:t>74,9</w:t>
      </w:r>
      <w:r w:rsidR="003033A7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من </w:t>
      </w:r>
      <w:r w:rsidR="003033A7" w:rsidRPr="00536E6D">
        <w:rPr>
          <w:rFonts w:asciiTheme="majorBidi" w:hAnsiTheme="majorBidi" w:cstheme="majorBidi" w:hint="cs"/>
          <w:sz w:val="26"/>
          <w:szCs w:val="26"/>
          <w:rtl/>
          <w:lang w:bidi="ar-MA"/>
        </w:rPr>
        <w:t>الأسر بأ</w:t>
      </w:r>
      <w:r w:rsidR="003033A7" w:rsidRPr="00536E6D">
        <w:rPr>
          <w:rFonts w:asciiTheme="majorBidi" w:hAnsiTheme="majorBidi" w:cstheme="majorBidi" w:hint="eastAsia"/>
          <w:sz w:val="26"/>
          <w:szCs w:val="26"/>
          <w:rtl/>
          <w:lang w:bidi="ar-MA"/>
        </w:rPr>
        <w:t>ن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أسعار المواد الغذائية قد عرفت ارتفاعا خلال 12 شهرا الأخيرة، في حين رأت </w:t>
      </w:r>
      <w:r w:rsidR="005819DD" w:rsidRPr="00536E6D">
        <w:rPr>
          <w:rFonts w:asciiTheme="majorBidi" w:hAnsiTheme="majorBidi" w:cstheme="majorBidi"/>
          <w:sz w:val="26"/>
          <w:szCs w:val="26"/>
          <w:rtl/>
          <w:lang w:bidi="ar-MA"/>
        </w:rPr>
        <w:t>0,</w:t>
      </w:r>
      <w:r w:rsidR="003033A7">
        <w:rPr>
          <w:rFonts w:asciiTheme="majorBidi" w:hAnsiTheme="majorBidi" w:cstheme="majorBidi" w:hint="cs"/>
          <w:sz w:val="26"/>
          <w:szCs w:val="26"/>
          <w:rtl/>
          <w:lang w:bidi="ar-MA"/>
        </w:rPr>
        <w:t>8</w:t>
      </w:r>
      <w:r w:rsidR="0047396E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3033A7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>فقط عكس ذلك. وهكذا استقر رصيد هذا المؤشر في مستوى سلبي بلغ ناقص</w:t>
      </w:r>
      <w:r w:rsidR="003033A7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74,1 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نقطة عوض ناقص </w:t>
      </w:r>
      <w:r w:rsidR="005819DD" w:rsidRPr="00536E6D">
        <w:rPr>
          <w:rFonts w:asciiTheme="majorBidi" w:hAnsiTheme="majorBidi" w:cstheme="majorBidi"/>
          <w:sz w:val="26"/>
          <w:szCs w:val="26"/>
          <w:rtl/>
          <w:lang w:bidi="ar-MA"/>
        </w:rPr>
        <w:t>74,</w:t>
      </w:r>
      <w:r w:rsidR="0014738D" w:rsidRPr="00536E6D">
        <w:rPr>
          <w:rFonts w:asciiTheme="majorBidi" w:hAnsiTheme="majorBidi" w:cstheme="majorBidi" w:hint="cs"/>
          <w:sz w:val="26"/>
          <w:szCs w:val="26"/>
          <w:rtl/>
          <w:lang w:bidi="ar-MA"/>
        </w:rPr>
        <w:t>7 نقطة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خلال الفصل السابق وناقص </w:t>
      </w:r>
      <w:r w:rsidR="005819DD" w:rsidRPr="00536E6D">
        <w:rPr>
          <w:rFonts w:asciiTheme="majorBidi" w:hAnsiTheme="majorBidi" w:cstheme="majorBidi"/>
          <w:sz w:val="26"/>
          <w:szCs w:val="26"/>
          <w:rtl/>
          <w:lang w:bidi="ar-MA"/>
        </w:rPr>
        <w:t>82,8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نقطة خلال نفس </w:t>
      </w:r>
      <w:r w:rsidR="003033A7" w:rsidRPr="00536E6D">
        <w:rPr>
          <w:rFonts w:asciiTheme="majorBidi" w:hAnsiTheme="majorBidi" w:cstheme="majorBidi"/>
          <w:sz w:val="26"/>
          <w:szCs w:val="26"/>
          <w:rtl/>
          <w:lang w:bidi="ar-MA"/>
        </w:rPr>
        <w:t>الفصل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 السنة الماضية. </w:t>
      </w:r>
    </w:p>
    <w:p w:rsidR="00A52632" w:rsidRDefault="0047396E" w:rsidP="00A52632">
      <w:pPr>
        <w:pStyle w:val="Paragraphedeliste"/>
        <w:widowControl/>
        <w:autoSpaceDE/>
        <w:autoSpaceDN/>
        <w:bidi/>
        <w:adjustRightInd/>
        <w:spacing w:after="200" w:line="360" w:lineRule="auto"/>
        <w:ind w:left="502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أما بخصوص تطور أسعار المواد الغذائية خلال 12 شهرا المقبلة، فتتوقع </w:t>
      </w:r>
      <w:r w:rsidR="00E02045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D31007" w:rsidRPr="00536E6D">
        <w:rPr>
          <w:rFonts w:asciiTheme="majorBidi" w:hAnsiTheme="majorBidi" w:cstheme="majorBidi"/>
          <w:sz w:val="26"/>
          <w:szCs w:val="26"/>
          <w:lang w:bidi="ar-MA"/>
        </w:rPr>
        <w:t>64,0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 الأسر استمرارها في الارتفاع في حين لا يتجاوز معدل الأسر التي تنتظر انخفاضها </w:t>
      </w:r>
      <w:r w:rsidR="00D31007" w:rsidRPr="00536E6D">
        <w:rPr>
          <w:rFonts w:asciiTheme="majorBidi" w:hAnsiTheme="majorBidi" w:cstheme="majorBidi"/>
          <w:sz w:val="26"/>
          <w:szCs w:val="26"/>
          <w:rtl/>
          <w:lang w:bidi="ar-MA"/>
        </w:rPr>
        <w:t>3,9</w:t>
      </w:r>
      <w:r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. وهكذا استقر رصيد هذه الآراء في مستوى سلبي بلغ ناقص</w:t>
      </w:r>
      <w:r w:rsidR="003033A7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EA6CAB" w:rsidRPr="00536E6D">
        <w:rPr>
          <w:rFonts w:asciiTheme="majorBidi" w:hAnsiTheme="majorBidi" w:cstheme="majorBidi"/>
          <w:sz w:val="26"/>
          <w:szCs w:val="26"/>
          <w:rtl/>
          <w:lang w:bidi="ar-MA"/>
        </w:rPr>
        <w:t>60,</w:t>
      </w:r>
      <w:r w:rsidR="003033A7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1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نقطة، عوض ناقص </w:t>
      </w:r>
      <w:r w:rsidR="00EA6CAB" w:rsidRPr="00536E6D">
        <w:rPr>
          <w:rFonts w:asciiTheme="majorBidi" w:hAnsiTheme="majorBidi" w:cstheme="majorBidi"/>
          <w:sz w:val="26"/>
          <w:szCs w:val="26"/>
          <w:lang w:bidi="ar-MA"/>
        </w:rPr>
        <w:t>64,6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نقطة المسجلة خلال</w:t>
      </w:r>
      <w:r w:rsidR="003033A7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الفصل السابق و ناقص</w:t>
      </w:r>
      <w:r w:rsidR="00EA6CAB" w:rsidRPr="00536E6D">
        <w:rPr>
          <w:rFonts w:asciiTheme="majorBidi" w:hAnsiTheme="majorBidi" w:cstheme="majorBidi"/>
          <w:sz w:val="26"/>
          <w:szCs w:val="26"/>
          <w:lang w:bidi="ar-MA"/>
        </w:rPr>
        <w:t xml:space="preserve">82,6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نقطة المسجلة خلال نفس الفصل من السنة الماضية.</w:t>
      </w:r>
    </w:p>
    <w:p w:rsidR="00E57838" w:rsidRPr="00536E6D" w:rsidRDefault="0055190C" w:rsidP="00A52632">
      <w:pPr>
        <w:pStyle w:val="Paragraphedeliste"/>
        <w:widowControl/>
        <w:autoSpaceDE/>
        <w:autoSpaceDN/>
        <w:bidi/>
        <w:adjustRightInd/>
        <w:spacing w:after="200" w:line="360" w:lineRule="auto"/>
        <w:ind w:left="502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مبيان 6: </w:t>
      </w:r>
      <w:r w:rsidRPr="0055190C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 xml:space="preserve">تصور الأسر للتطور السابق </w:t>
      </w:r>
      <w:r w:rsidR="0014738D" w:rsidRPr="0055190C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>والمستقبلي لأثمنة</w:t>
      </w:r>
      <w:r w:rsidRPr="0055190C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 xml:space="preserve"> المواد الغذائية</w:t>
      </w:r>
      <w:r w:rsidRPr="0055190C"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 </w:t>
      </w:r>
      <w:r w:rsidRPr="0055190C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>(أرصدة الآراء)</w:t>
      </w:r>
      <w:r w:rsidRPr="0055190C"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 </w:t>
      </w:r>
    </w:p>
    <w:p w:rsidR="0047396E" w:rsidRPr="00536E6D" w:rsidRDefault="002B1580" w:rsidP="00536E6D">
      <w:pPr>
        <w:pStyle w:val="Paragraphedeliste"/>
        <w:widowControl/>
        <w:autoSpaceDE/>
        <w:autoSpaceDN/>
        <w:bidi/>
        <w:adjustRightInd/>
        <w:spacing w:after="200" w:line="360" w:lineRule="auto"/>
        <w:ind w:left="502"/>
        <w:jc w:val="center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536E6D"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5638800" cy="3409950"/>
            <wp:effectExtent l="19050" t="0" r="19050" b="0"/>
            <wp:docPr id="11" name="Graphique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C77D8" w:rsidRDefault="00A52632" w:rsidP="00AC77D8">
      <w:pPr>
        <w:shd w:val="clear" w:color="auto" w:fill="FFFFFF" w:themeFill="background1"/>
        <w:bidi/>
        <w:spacing w:line="360" w:lineRule="auto"/>
        <w:jc w:val="both"/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</w:pPr>
      <w:r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          </w:t>
      </w:r>
      <w:r w:rsidR="00AC77D8"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المصدر</w:t>
      </w:r>
      <w:r w:rsidR="00AC77D8" w:rsidRPr="00AC77D8">
        <w:rPr>
          <w:rFonts w:asciiTheme="majorBidi" w:hAnsiTheme="majorBidi" w:cstheme="majorBidi"/>
          <w:b/>
          <w:bCs/>
          <w:color w:val="202124"/>
          <w:sz w:val="22"/>
          <w:szCs w:val="22"/>
        </w:rPr>
        <w:t xml:space="preserve">: </w:t>
      </w:r>
      <w:r w:rsidR="00AC77D8"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المندوبية</w:t>
      </w:r>
      <w:r w:rsidR="00AC77D8"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="00AC77D8"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السامية</w:t>
      </w:r>
      <w:r w:rsidR="00AC77D8"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="00AC77D8"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للتخطيط</w:t>
      </w:r>
      <w:r w:rsidR="00AC77D8"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>، البح</w:t>
      </w:r>
      <w:r w:rsidR="00AC77D8" w:rsidRPr="00AC77D8">
        <w:rPr>
          <w:rFonts w:asciiTheme="majorBidi" w:hAnsiTheme="majorBidi" w:cstheme="majorBidi" w:hint="eastAsia"/>
          <w:b/>
          <w:bCs/>
          <w:color w:val="202124"/>
          <w:sz w:val="22"/>
          <w:szCs w:val="22"/>
          <w:rtl/>
        </w:rPr>
        <w:t>ث</w:t>
      </w:r>
      <w:r w:rsidR="00AC77D8"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="00AC77D8"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الوطني</w:t>
      </w:r>
      <w:r w:rsidR="00AC77D8"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الدائم حول </w:t>
      </w:r>
      <w:r w:rsidR="00AC77D8"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الظرفية لدى الأسر</w:t>
      </w:r>
    </w:p>
    <w:p w:rsidR="0047396E" w:rsidRPr="00536E6D" w:rsidRDefault="0047396E" w:rsidP="00536E6D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</w:pPr>
      <w:r w:rsidRPr="00536E6D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lastRenderedPageBreak/>
        <w:t xml:space="preserve">فيما يلي تفصيل لنتائج مختلف المؤشرات </w:t>
      </w:r>
      <w:r w:rsidR="0014738D" w:rsidRPr="00536E6D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>وتذكير بأهم</w:t>
      </w:r>
      <w:r w:rsidRPr="00536E6D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 xml:space="preserve"> المفاهيم.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2"/>
      </w:tblGrid>
      <w:tr w:rsidR="0047396E" w:rsidRPr="00536E6D" w:rsidTr="00A1303D">
        <w:trPr>
          <w:trHeight w:val="6017"/>
          <w:jc w:val="center"/>
        </w:trPr>
        <w:tc>
          <w:tcPr>
            <w:tcW w:w="5000" w:type="pct"/>
          </w:tcPr>
          <w:p w:rsidR="0047396E" w:rsidRPr="00536E6D" w:rsidRDefault="0047396E" w:rsidP="00536E6D">
            <w:pPr>
              <w:bidi/>
              <w:spacing w:line="360" w:lineRule="auto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</w:p>
          <w:p w:rsidR="0047396E" w:rsidRPr="00536E6D" w:rsidRDefault="0047396E" w:rsidP="00536E6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>يتم التعبير في الرسوم البيانية عن</w:t>
            </w:r>
            <w:r w:rsidR="0014738D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</w:t>
            </w: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>تطور مكونات</w:t>
            </w:r>
            <w:r w:rsidR="0014738D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</w:t>
            </w: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مؤشر ثقة الأسر والمؤشرات الأخرى للبحث بأرصدة الآراء </w:t>
            </w:r>
          </w:p>
          <w:p w:rsidR="0047396E" w:rsidRPr="00536E6D" w:rsidRDefault="0047396E" w:rsidP="00536E6D">
            <w:pPr>
              <w:bidi/>
              <w:spacing w:line="360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MA"/>
              </w:rPr>
            </w:pPr>
            <w:r w:rsidRPr="00536E6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MA"/>
              </w:rPr>
              <w:t>للتذكير فإن:</w:t>
            </w:r>
          </w:p>
          <w:p w:rsidR="0047396E" w:rsidRPr="00536E6D" w:rsidRDefault="0047396E" w:rsidP="00536E6D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>الأسئلة المطروحة تعتبر كيفية</w:t>
            </w:r>
            <w:r w:rsidR="0014738D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</w:t>
            </w: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تتم الأجوبة عليها </w:t>
            </w:r>
            <w:r w:rsidR="0014738D" w:rsidRPr="00536E6D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>بثلاثة خيارا</w:t>
            </w:r>
            <w:r w:rsidR="0014738D" w:rsidRPr="00536E6D">
              <w:rPr>
                <w:rFonts w:asciiTheme="majorBidi" w:hAnsiTheme="majorBidi" w:cstheme="majorBidi" w:hint="eastAsia"/>
                <w:sz w:val="26"/>
                <w:szCs w:val="26"/>
                <w:rtl/>
                <w:lang w:bidi="ar-MA"/>
              </w:rPr>
              <w:t>ت</w:t>
            </w: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 (تحسن، استقرار أو تدهور</w:t>
            </w:r>
            <w:r w:rsidR="0014738D" w:rsidRPr="00536E6D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>). تتعل</w:t>
            </w:r>
            <w:r w:rsidR="0014738D" w:rsidRPr="00536E6D">
              <w:rPr>
                <w:rFonts w:asciiTheme="majorBidi" w:hAnsiTheme="majorBidi" w:cstheme="majorBidi" w:hint="eastAsia"/>
                <w:sz w:val="26"/>
                <w:szCs w:val="26"/>
                <w:rtl/>
                <w:lang w:bidi="ar-MA"/>
              </w:rPr>
              <w:t>ق</w:t>
            </w: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 التغييرات بـ 12 شهرا وتقدم النتائج على شكل أرصدة (الفرق بين نسب الأجوبة "تحسن"</w:t>
            </w:r>
            <w:r w:rsidR="0014738D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</w:t>
            </w: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>والأجوبة</w:t>
            </w:r>
            <w:r w:rsidR="0014738D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</w:t>
            </w: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>"تدهور"</w:t>
            </w:r>
            <w:r w:rsidR="0014738D" w:rsidRPr="00536E6D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>). ول</w:t>
            </w:r>
            <w:r w:rsidR="0014738D" w:rsidRPr="00536E6D">
              <w:rPr>
                <w:rFonts w:asciiTheme="majorBidi" w:hAnsiTheme="majorBidi" w:cstheme="majorBidi" w:hint="eastAsia"/>
                <w:sz w:val="26"/>
                <w:szCs w:val="26"/>
                <w:rtl/>
                <w:lang w:bidi="ar-MA"/>
              </w:rPr>
              <w:t>ا</w:t>
            </w:r>
            <w:r w:rsidR="0014738D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</w:t>
            </w: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>يحلل مستوى الأرصدة مباشرة بل أن تطورها هو المعتمد في التحليل.</w:t>
            </w:r>
          </w:p>
          <w:p w:rsidR="0047396E" w:rsidRPr="00536E6D" w:rsidRDefault="0047396E" w:rsidP="00536E6D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يتم حساب مؤشر ثقة الأسر على أساس 7 مؤشرات تتعلق أربعة منها بالوضعية العامة في حين تخص الباقية الوضعية الخاصة بالأسرة وهي </w:t>
            </w:r>
            <w:r w:rsidR="0014738D" w:rsidRPr="00536E6D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>كالتالي:</w:t>
            </w:r>
          </w:p>
          <w:p w:rsidR="0047396E" w:rsidRPr="00536E6D" w:rsidRDefault="0047396E" w:rsidP="00536E6D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التطورات السابقة لمستوى </w:t>
            </w:r>
            <w:r w:rsidR="0014738D" w:rsidRPr="00536E6D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>المعيشة؛</w:t>
            </w:r>
          </w:p>
          <w:p w:rsidR="0047396E" w:rsidRPr="00536E6D" w:rsidRDefault="0047396E" w:rsidP="00536E6D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آفاق تطور مستوى </w:t>
            </w:r>
            <w:r w:rsidR="0014738D" w:rsidRPr="00536E6D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>المعيشة؛</w:t>
            </w:r>
          </w:p>
          <w:p w:rsidR="0047396E" w:rsidRPr="00536E6D" w:rsidRDefault="0047396E" w:rsidP="00536E6D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آفاق تطور أعداد </w:t>
            </w:r>
            <w:r w:rsidR="0014738D" w:rsidRPr="00536E6D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>العاطلين؛</w:t>
            </w:r>
          </w:p>
          <w:p w:rsidR="0047396E" w:rsidRPr="00536E6D" w:rsidRDefault="0047396E" w:rsidP="00536E6D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فرص اقتناء السلع </w:t>
            </w:r>
            <w:r w:rsidR="0014738D" w:rsidRPr="00536E6D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>المستديمة؛</w:t>
            </w:r>
          </w:p>
          <w:p w:rsidR="0047396E" w:rsidRPr="00536E6D" w:rsidRDefault="0047396E" w:rsidP="00536E6D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الوضعية المالية الراهنة </w:t>
            </w:r>
            <w:r w:rsidR="0014738D" w:rsidRPr="00536E6D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>للأسر؛</w:t>
            </w:r>
          </w:p>
          <w:p w:rsidR="0047396E" w:rsidRPr="00536E6D" w:rsidRDefault="0047396E" w:rsidP="00536E6D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spacing w:line="360" w:lineRule="auto"/>
              <w:ind w:left="1434" w:hanging="357"/>
              <w:jc w:val="both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التطور السابق للوضعية المالية </w:t>
            </w:r>
            <w:r w:rsidR="0014738D" w:rsidRPr="00536E6D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>للأسر؛</w:t>
            </w:r>
          </w:p>
          <w:p w:rsidR="0047396E" w:rsidRPr="00536E6D" w:rsidRDefault="0047396E" w:rsidP="00536E6D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>التطور المستقبلي للوضعية المالية للأسر.</w:t>
            </w:r>
          </w:p>
          <w:p w:rsidR="0047396E" w:rsidRPr="00536E6D" w:rsidRDefault="0047396E" w:rsidP="00536E6D">
            <w:pPr>
              <w:pStyle w:val="Paragraphedeliste"/>
              <w:numPr>
                <w:ilvl w:val="0"/>
                <w:numId w:val="6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يتم حساب هذا المؤشر التركيبي باعتماد المعدل الحسابي لأرصدة المؤشرات السبعة المكونة له مع إضافة 100 وبالتالي تتأرجح قيمته بين 0 </w:t>
            </w:r>
            <w:r w:rsidR="0014738D" w:rsidRPr="00536E6D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>و200</w:t>
            </w: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>.</w:t>
            </w:r>
          </w:p>
          <w:p w:rsidR="0047396E" w:rsidRPr="00536E6D" w:rsidRDefault="0047396E" w:rsidP="00A40E58">
            <w:pPr>
              <w:pStyle w:val="Paragraphedeliste"/>
              <w:numPr>
                <w:ilvl w:val="0"/>
                <w:numId w:val="6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لقد مكنت اختبارات </w:t>
            </w:r>
            <w:r w:rsidR="0014738D" w:rsidRPr="00536E6D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>إحصائية</w:t>
            </w:r>
            <w:r w:rsidR="0014738D" w:rsidRPr="00536E6D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(</w:t>
            </w:r>
            <w:r w:rsidRPr="00536E6D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test de </w:t>
            </w:r>
            <w:r w:rsidR="0014738D" w:rsidRPr="00536E6D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Fisher) </w:t>
            </w:r>
            <w:r w:rsidR="0014738D"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>على</w:t>
            </w: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 سلسلة مؤشر ثقة الأسر خلال الفترة الممتدة من 2008 إلى201</w:t>
            </w:r>
            <w:r w:rsidR="00A40E58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>9</w:t>
            </w: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 من تأكيد غياب التغييرات الموسمية سواء الثابتة أو المتحركة.</w:t>
            </w:r>
          </w:p>
          <w:p w:rsidR="0047396E" w:rsidRPr="00536E6D" w:rsidRDefault="0047396E" w:rsidP="00536E6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  <w:p w:rsidR="0047396E" w:rsidRPr="00536E6D" w:rsidRDefault="0047396E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للمزيد من المعلومات حول الجوانب المنهجية لهذا البحث: زوروا الموقع الإلكتروني للمندوبية السامية للتخطيط   </w:t>
            </w:r>
            <w:hyperlink r:id="rId14" w:history="1">
              <w:r w:rsidRPr="00536E6D">
                <w:rPr>
                  <w:rStyle w:val="Lienhypertexte"/>
                  <w:rFonts w:asciiTheme="majorBidi" w:hAnsiTheme="majorBidi" w:cstheme="majorBidi"/>
                  <w:sz w:val="26"/>
                  <w:szCs w:val="26"/>
                  <w:lang w:bidi="ar-MA"/>
                </w:rPr>
                <w:t>www.hcp.ma</w:t>
              </w:r>
            </w:hyperlink>
          </w:p>
        </w:tc>
      </w:tr>
    </w:tbl>
    <w:p w:rsidR="0047396E" w:rsidRPr="00536E6D" w:rsidRDefault="00B77F0C" w:rsidP="00536E6D">
      <w:pPr>
        <w:widowControl/>
        <w:autoSpaceDE/>
        <w:autoSpaceDN/>
        <w:adjustRightInd/>
        <w:spacing w:line="360" w:lineRule="auto"/>
        <w:jc w:val="both"/>
        <w:rPr>
          <w:rFonts w:asciiTheme="majorBidi" w:hAnsiTheme="majorBidi" w:cstheme="majorBidi"/>
          <w:sz w:val="26"/>
          <w:szCs w:val="26"/>
          <w:lang w:bidi="ar-MA"/>
        </w:rPr>
        <w:sectPr w:rsidR="0047396E" w:rsidRPr="00536E6D" w:rsidSect="0047396E">
          <w:footerReference w:type="default" r:id="rId15"/>
          <w:pgSz w:w="11906" w:h="16838"/>
          <w:pgMar w:top="1247" w:right="1274" w:bottom="1191" w:left="1276" w:header="567" w:footer="567" w:gutter="0"/>
          <w:cols w:space="708"/>
          <w:docGrid w:linePitch="360"/>
        </w:sectPr>
      </w:pPr>
      <w:r>
        <w:rPr>
          <w:rFonts w:asciiTheme="majorBidi" w:hAnsiTheme="majorBidi" w:cstheme="majorBidi"/>
          <w:sz w:val="26"/>
          <w:szCs w:val="26"/>
          <w:lang w:bidi="ar-MA"/>
        </w:rPr>
        <w:t xml:space="preserve">               </w:t>
      </w:r>
    </w:p>
    <w:p w:rsidR="0047396E" w:rsidRPr="00DA181A" w:rsidRDefault="0047396E" w:rsidP="00536E6D">
      <w:pPr>
        <w:widowControl/>
        <w:autoSpaceDE/>
        <w:autoSpaceDN/>
        <w:bidi/>
        <w:adjustRightInd/>
        <w:spacing w:after="200" w:line="360" w:lineRule="auto"/>
        <w:ind w:firstLine="360"/>
        <w:jc w:val="center"/>
        <w:rPr>
          <w:rFonts w:asciiTheme="majorBidi" w:hAnsiTheme="majorBidi" w:cstheme="majorBidi"/>
          <w:sz w:val="28"/>
          <w:szCs w:val="28"/>
        </w:rPr>
      </w:pPr>
      <w:r w:rsidRPr="00DA181A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lastRenderedPageBreak/>
        <w:t>تطور مؤشر الثقة لدى الأسر المغربية ومكوناته</w:t>
      </w: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563"/>
        <w:gridCol w:w="2886"/>
      </w:tblGrid>
      <w:tr w:rsidR="00DA181A" w:rsidRPr="00DA181A" w:rsidTr="00822825">
        <w:trPr>
          <w:trHeight w:val="897"/>
        </w:trPr>
        <w:tc>
          <w:tcPr>
            <w:tcW w:w="5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vAlign w:val="center"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960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vAlign w:val="center"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2020</w:t>
            </w:r>
          </w:p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960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60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960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2017</w:t>
            </w:r>
          </w:p>
        </w:tc>
        <w:tc>
          <w:tcPr>
            <w:tcW w:w="1960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2033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886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المؤشرات</w:t>
            </w:r>
          </w:p>
        </w:tc>
      </w:tr>
      <w:tr w:rsidR="00DA181A" w:rsidRPr="00DA181A" w:rsidTr="00822825">
        <w:trPr>
          <w:trHeight w:val="565"/>
        </w:trPr>
        <w:tc>
          <w:tcPr>
            <w:tcW w:w="5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ف4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ف3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ف2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2886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DA181A" w:rsidRPr="00DA181A" w:rsidRDefault="00DA181A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8101D" w:rsidRPr="00DA181A" w:rsidTr="00DA181A">
        <w:trPr>
          <w:trHeight w:val="448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E2E" w:rsidRPr="00DA181A" w:rsidRDefault="001B4436" w:rsidP="00DA181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68,3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E2E" w:rsidRPr="00DA181A" w:rsidRDefault="006D4E2E" w:rsidP="00DA181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60,6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65,6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75,7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77,8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74,8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74,9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79,8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87,3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87,3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85,9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85,5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85,8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73,5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75,7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71,6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77,1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76,3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76,1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73,7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4E2E" w:rsidRPr="00DA181A" w:rsidRDefault="006D4E2E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مؤشر ثقة الأسر المغربية</w:t>
            </w:r>
          </w:p>
        </w:tc>
      </w:tr>
      <w:tr w:rsidR="00E8101D" w:rsidRPr="00DA181A" w:rsidTr="00DA181A">
        <w:trPr>
          <w:trHeight w:val="448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E2E" w:rsidRPr="00DA181A" w:rsidRDefault="001B4436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-62,2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-78,3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-82,0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-75,2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-70,8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-71,6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-71,8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-76,9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Cs/>
                <w:color w:val="000000"/>
                <w:sz w:val="16"/>
                <w:szCs w:val="16"/>
              </w:rPr>
              <w:t>-75,6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-65,2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-54,5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-58,5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-59,9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-54,3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-66,8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-70,6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-67,7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-66,2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-67,1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-65,2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4E2E" w:rsidRPr="00DA181A" w:rsidRDefault="006D4E2E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المستقبلي للبطالة</w:t>
            </w:r>
          </w:p>
        </w:tc>
      </w:tr>
      <w:tr w:rsidR="00E8101D" w:rsidRPr="00DA181A" w:rsidTr="00DA181A">
        <w:trPr>
          <w:trHeight w:val="448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E2E" w:rsidRPr="00DA181A" w:rsidRDefault="001B4436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-50,5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-46,6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-35,6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-24,8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-19,8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-20,2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-13,3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-17,5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-17,4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-15,2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-22,9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-13,8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-15,1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-12,8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-14,1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4E2E" w:rsidRPr="00DA181A" w:rsidRDefault="006D4E2E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السابق لمستوى المعيشة بصفة عامة</w:t>
            </w:r>
          </w:p>
        </w:tc>
      </w:tr>
      <w:tr w:rsidR="00E8101D" w:rsidRPr="00DA181A" w:rsidTr="00DA181A">
        <w:trPr>
          <w:trHeight w:val="448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E2E" w:rsidRPr="00DA181A" w:rsidRDefault="001B4436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-17,4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-17,4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val="fr-MA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-14,2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-7,3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-8,9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4E2E" w:rsidRPr="00DA181A" w:rsidRDefault="006D4E2E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آفاق تطور مستوى المعيشة بصفة عامة</w:t>
            </w:r>
          </w:p>
        </w:tc>
      </w:tr>
      <w:tr w:rsidR="00E8101D" w:rsidRPr="00DA181A" w:rsidTr="00DA181A">
        <w:trPr>
          <w:trHeight w:val="448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E2E" w:rsidRPr="00DA181A" w:rsidRDefault="001B4436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-61,</w:t>
            </w:r>
            <w:r w:rsid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-61,2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-63,5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-32,6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-37,7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-41,4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-36,3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-36,7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-30,2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-31,5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-40,5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-40,2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-37,5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-37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4E2E" w:rsidRPr="00DA181A" w:rsidRDefault="006D4E2E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فرص اقتناء السلع المستديمة</w:t>
            </w:r>
          </w:p>
        </w:tc>
      </w:tr>
      <w:tr w:rsidR="00E8101D" w:rsidRPr="00DA181A" w:rsidTr="00DA181A">
        <w:trPr>
          <w:trHeight w:val="448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E2E" w:rsidRPr="00DA181A" w:rsidRDefault="001B4436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-34,4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-29,1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-31,5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-26,4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-30,8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-24,1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-24,4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-22,6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-32,4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4E2E" w:rsidRPr="00DA181A" w:rsidRDefault="006D4E2E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الوضعية المالية الحالية للأسرة</w:t>
            </w:r>
          </w:p>
        </w:tc>
      </w:tr>
      <w:tr w:rsidR="00E8101D" w:rsidRPr="00DA181A" w:rsidTr="00DA181A">
        <w:trPr>
          <w:trHeight w:val="448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E2E" w:rsidRPr="00DA181A" w:rsidRDefault="001B4436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-47,4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-39,9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-34,0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-22,9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-22,1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-24,2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-21,2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-20,7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-18,2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-15,2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-18,1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-16,7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-14,5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-16,6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-26,8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-33,3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-22,8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-18,5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-20,8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-20.2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4E2E" w:rsidRPr="00DA181A" w:rsidRDefault="006D4E2E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السابق للوضعية المالية للأسرة</w:t>
            </w:r>
          </w:p>
        </w:tc>
      </w:tr>
      <w:tr w:rsidR="00E8101D" w:rsidRPr="00DA181A" w:rsidTr="00DA181A">
        <w:trPr>
          <w:trHeight w:val="448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E2E" w:rsidRPr="00DA181A" w:rsidRDefault="001B4436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21,</w:t>
            </w:r>
            <w:r w:rsid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-11,9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4E2E" w:rsidRPr="00DA181A" w:rsidRDefault="006D4E2E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المرتقب للوضعية المالية للأسرة</w:t>
            </w:r>
          </w:p>
        </w:tc>
      </w:tr>
      <w:tr w:rsidR="001B4436" w:rsidRPr="00DA181A" w:rsidTr="00271DDA">
        <w:trPr>
          <w:trHeight w:val="447"/>
        </w:trPr>
        <w:tc>
          <w:tcPr>
            <w:tcW w:w="15219" w:type="dxa"/>
            <w:gridSpan w:val="2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1B4436" w:rsidRPr="00DA181A" w:rsidRDefault="001B4436" w:rsidP="00271DDA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</w:p>
          <w:p w:rsidR="001B4436" w:rsidRPr="00DA181A" w:rsidRDefault="001B4436" w:rsidP="00271DDA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مؤشرات أخرى</w:t>
            </w:r>
          </w:p>
        </w:tc>
      </w:tr>
      <w:tr w:rsidR="00E8101D" w:rsidRPr="00DA181A" w:rsidTr="00DA181A">
        <w:trPr>
          <w:trHeight w:val="622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E2E" w:rsidRPr="00DA181A" w:rsidRDefault="001B4436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-60,</w:t>
            </w:r>
            <w:r w:rsid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-64,6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-68,1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-82,6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-82,2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-83,3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-86,5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-87,5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-86,6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-82,1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-82,9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-79,6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-74,5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-77,7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-77,3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-77,9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-77,3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-79,3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-75,2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-75,3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-75.6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-77.2</w:t>
            </w:r>
          </w:p>
        </w:tc>
        <w:tc>
          <w:tcPr>
            <w:tcW w:w="288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4E2E" w:rsidRPr="00DA181A" w:rsidRDefault="006D4E2E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المرتقب لأسعار المواد الغذائية</w:t>
            </w:r>
          </w:p>
        </w:tc>
      </w:tr>
      <w:tr w:rsidR="00E8101D" w:rsidRPr="00DA181A" w:rsidTr="00DA181A">
        <w:trPr>
          <w:trHeight w:val="71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E2E" w:rsidRPr="00DA181A" w:rsidRDefault="001B4436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-74,</w:t>
            </w:r>
            <w:r w:rsid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-74,7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-75,1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-67,6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-82,8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-85,1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-83,7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-88,9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-88,1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-90,3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-88,1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-88,2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-86,7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-88,5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-82,8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-86,4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-86,8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-87,3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-87,7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-87,9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-85,5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-85,4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-84,3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-85,3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-87.2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4E2E" w:rsidRPr="00DA181A" w:rsidRDefault="006D4E2E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السابق لأسعار المواد الغذائية</w:t>
            </w:r>
          </w:p>
        </w:tc>
      </w:tr>
      <w:tr w:rsidR="00E8101D" w:rsidRPr="00DA181A" w:rsidTr="00DA181A">
        <w:trPr>
          <w:trHeight w:val="80"/>
        </w:trPr>
        <w:tc>
          <w:tcPr>
            <w:tcW w:w="500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6D4E2E" w:rsidRPr="00DA181A" w:rsidRDefault="006D4E2E" w:rsidP="00DA181A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6D4E2E" w:rsidRPr="00DA181A" w:rsidRDefault="006D4E2E" w:rsidP="00DA181A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-65,8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-75,1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-70,4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-65,8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-64,6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-64,4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-66,6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-63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-63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-64,6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-57,9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-54,5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-58,6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-55,7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-59,1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-64,1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-68,7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-67,9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-66,6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-69,7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-70,6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-67,4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-69,8</w:t>
            </w:r>
          </w:p>
        </w:tc>
        <w:tc>
          <w:tcPr>
            <w:tcW w:w="28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4E2E" w:rsidRPr="00DA181A" w:rsidRDefault="006D4E2E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قدرة الأسر على الادخار خلال الأشهر المقبلة</w:t>
            </w:r>
          </w:p>
        </w:tc>
      </w:tr>
      <w:tr w:rsidR="00E8101D" w:rsidRPr="00DA181A" w:rsidTr="00DA181A">
        <w:trPr>
          <w:trHeight w:val="429"/>
        </w:trPr>
        <w:tc>
          <w:tcPr>
            <w:tcW w:w="50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4E2E" w:rsidRPr="00DA181A" w:rsidRDefault="001B4436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-60,8</w:t>
            </w: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-69,2</w:t>
            </w: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E2E" w:rsidRPr="00DA181A" w:rsidRDefault="006D4E2E" w:rsidP="00536E6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8101D" w:rsidRPr="00DA181A" w:rsidTr="00DA181A">
        <w:trPr>
          <w:trHeight w:val="47"/>
        </w:trPr>
        <w:tc>
          <w:tcPr>
            <w:tcW w:w="500" w:type="dxa"/>
            <w:tcBorders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E2E" w:rsidRPr="00DA181A" w:rsidRDefault="006D4E2E" w:rsidP="00DA181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E2E" w:rsidRPr="00DA181A" w:rsidRDefault="006D4E2E" w:rsidP="00536E6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51E40" w:rsidRPr="00DA181A" w:rsidRDefault="00B51E40" w:rsidP="00536E6D">
      <w:pPr>
        <w:bidi/>
        <w:spacing w:line="360" w:lineRule="auto"/>
        <w:jc w:val="both"/>
        <w:rPr>
          <w:rFonts w:asciiTheme="majorBidi" w:hAnsiTheme="majorBidi" w:cstheme="majorBidi"/>
          <w:sz w:val="18"/>
          <w:szCs w:val="18"/>
          <w:lang w:val="fr-MA" w:bidi="ar-MA"/>
        </w:rPr>
      </w:pPr>
    </w:p>
    <w:sectPr w:rsidR="00B51E40" w:rsidRPr="00DA181A" w:rsidSect="00E335F4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92F" w:rsidRDefault="00DF492F" w:rsidP="00FB5154">
      <w:r>
        <w:separator/>
      </w:r>
    </w:p>
  </w:endnote>
  <w:endnote w:type="continuationSeparator" w:id="0">
    <w:p w:rsidR="00DF492F" w:rsidRDefault="00DF492F" w:rsidP="00FB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59E" w:rsidRDefault="00505491">
    <w:pPr>
      <w:pStyle w:val="Pieddepage"/>
      <w:jc w:val="center"/>
    </w:pPr>
    <w:r>
      <w:fldChar w:fldCharType="begin"/>
    </w:r>
    <w:r w:rsidR="00030A33">
      <w:instrText xml:space="preserve"> PAGE   \* MERGEFORMAT </w:instrText>
    </w:r>
    <w:r>
      <w:fldChar w:fldCharType="separate"/>
    </w:r>
    <w:r w:rsidR="00B77F0C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92F" w:rsidRDefault="00DF492F" w:rsidP="00FB5154">
      <w:r>
        <w:separator/>
      </w:r>
    </w:p>
  </w:footnote>
  <w:footnote w:type="continuationSeparator" w:id="0">
    <w:p w:rsidR="00DF492F" w:rsidRDefault="00DF492F" w:rsidP="00FB5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D5B400E4"/>
    <w:lvl w:ilvl="0" w:tplc="3B72FCD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04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E7449C"/>
    <w:multiLevelType w:val="hybridMultilevel"/>
    <w:tmpl w:val="F3EE99E2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352B3"/>
    <w:multiLevelType w:val="hybridMultilevel"/>
    <w:tmpl w:val="835265B6"/>
    <w:lvl w:ilvl="0" w:tplc="64BC1742">
      <w:start w:val="1"/>
      <w:numFmt w:val="decimal"/>
      <w:lvlText w:val="(%1)"/>
      <w:lvlJc w:val="left"/>
      <w:pPr>
        <w:ind w:left="785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>
    <w:nsid w:val="64BB2837"/>
    <w:multiLevelType w:val="hybridMultilevel"/>
    <w:tmpl w:val="21A8AF70"/>
    <w:lvl w:ilvl="0" w:tplc="6D2CC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56717"/>
    <w:multiLevelType w:val="hybridMultilevel"/>
    <w:tmpl w:val="75165EB6"/>
    <w:lvl w:ilvl="0" w:tplc="FA5E9E3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AF6C0A"/>
    <w:multiLevelType w:val="hybridMultilevel"/>
    <w:tmpl w:val="2020F5B6"/>
    <w:lvl w:ilvl="0" w:tplc="6D2CC28E">
      <w:start w:val="1"/>
      <w:numFmt w:val="decimal"/>
      <w:lvlText w:val="%1"/>
      <w:lvlJc w:val="left"/>
      <w:pPr>
        <w:ind w:left="35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03" w:hanging="360"/>
      </w:pPr>
    </w:lvl>
    <w:lvl w:ilvl="2" w:tplc="040C001B" w:tentative="1">
      <w:start w:val="1"/>
      <w:numFmt w:val="lowerRoman"/>
      <w:lvlText w:val="%3."/>
      <w:lvlJc w:val="right"/>
      <w:pPr>
        <w:ind w:left="5023" w:hanging="180"/>
      </w:pPr>
    </w:lvl>
    <w:lvl w:ilvl="3" w:tplc="040C000F" w:tentative="1">
      <w:start w:val="1"/>
      <w:numFmt w:val="decimal"/>
      <w:lvlText w:val="%4."/>
      <w:lvlJc w:val="left"/>
      <w:pPr>
        <w:ind w:left="5743" w:hanging="360"/>
      </w:pPr>
    </w:lvl>
    <w:lvl w:ilvl="4" w:tplc="040C0019" w:tentative="1">
      <w:start w:val="1"/>
      <w:numFmt w:val="lowerLetter"/>
      <w:lvlText w:val="%5."/>
      <w:lvlJc w:val="left"/>
      <w:pPr>
        <w:ind w:left="6463" w:hanging="360"/>
      </w:pPr>
    </w:lvl>
    <w:lvl w:ilvl="5" w:tplc="040C001B" w:tentative="1">
      <w:start w:val="1"/>
      <w:numFmt w:val="lowerRoman"/>
      <w:lvlText w:val="%6."/>
      <w:lvlJc w:val="right"/>
      <w:pPr>
        <w:ind w:left="7183" w:hanging="180"/>
      </w:pPr>
    </w:lvl>
    <w:lvl w:ilvl="6" w:tplc="040C000F" w:tentative="1">
      <w:start w:val="1"/>
      <w:numFmt w:val="decimal"/>
      <w:lvlText w:val="%7."/>
      <w:lvlJc w:val="left"/>
      <w:pPr>
        <w:ind w:left="7903" w:hanging="360"/>
      </w:pPr>
    </w:lvl>
    <w:lvl w:ilvl="7" w:tplc="040C0019" w:tentative="1">
      <w:start w:val="1"/>
      <w:numFmt w:val="lowerLetter"/>
      <w:lvlText w:val="%8."/>
      <w:lvlJc w:val="left"/>
      <w:pPr>
        <w:ind w:left="8623" w:hanging="360"/>
      </w:pPr>
    </w:lvl>
    <w:lvl w:ilvl="8" w:tplc="040C001B" w:tentative="1">
      <w:start w:val="1"/>
      <w:numFmt w:val="lowerRoman"/>
      <w:lvlText w:val="%9."/>
      <w:lvlJc w:val="right"/>
      <w:pPr>
        <w:ind w:left="9343" w:hanging="180"/>
      </w:pPr>
    </w:lvl>
  </w:abstractNum>
  <w:abstractNum w:abstractNumId="10">
    <w:nsid w:val="7DD520AB"/>
    <w:multiLevelType w:val="hybridMultilevel"/>
    <w:tmpl w:val="7728B6E4"/>
    <w:lvl w:ilvl="0" w:tplc="FA5E9E3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154"/>
    <w:rsid w:val="00001CFD"/>
    <w:rsid w:val="0000277D"/>
    <w:rsid w:val="00002C4D"/>
    <w:rsid w:val="00003AD0"/>
    <w:rsid w:val="00005383"/>
    <w:rsid w:val="000053B0"/>
    <w:rsid w:val="000055C9"/>
    <w:rsid w:val="00007DB8"/>
    <w:rsid w:val="0001056E"/>
    <w:rsid w:val="00012214"/>
    <w:rsid w:val="000124FB"/>
    <w:rsid w:val="00012F59"/>
    <w:rsid w:val="00013F2C"/>
    <w:rsid w:val="00014615"/>
    <w:rsid w:val="000158E5"/>
    <w:rsid w:val="00015CC3"/>
    <w:rsid w:val="0001642B"/>
    <w:rsid w:val="00016667"/>
    <w:rsid w:val="00017D49"/>
    <w:rsid w:val="00017F39"/>
    <w:rsid w:val="00020B80"/>
    <w:rsid w:val="000210BB"/>
    <w:rsid w:val="00023B39"/>
    <w:rsid w:val="00023D51"/>
    <w:rsid w:val="00023D5B"/>
    <w:rsid w:val="00023DE3"/>
    <w:rsid w:val="00023FCD"/>
    <w:rsid w:val="00024034"/>
    <w:rsid w:val="00027878"/>
    <w:rsid w:val="00027CE8"/>
    <w:rsid w:val="0003089A"/>
    <w:rsid w:val="00030A33"/>
    <w:rsid w:val="000316DF"/>
    <w:rsid w:val="00031A44"/>
    <w:rsid w:val="00032A33"/>
    <w:rsid w:val="00034D7A"/>
    <w:rsid w:val="000356AC"/>
    <w:rsid w:val="00036A3E"/>
    <w:rsid w:val="00037417"/>
    <w:rsid w:val="000377F1"/>
    <w:rsid w:val="00040601"/>
    <w:rsid w:val="00040872"/>
    <w:rsid w:val="00040A0F"/>
    <w:rsid w:val="0004224D"/>
    <w:rsid w:val="00042B74"/>
    <w:rsid w:val="00043971"/>
    <w:rsid w:val="0004405A"/>
    <w:rsid w:val="000468D3"/>
    <w:rsid w:val="00046B93"/>
    <w:rsid w:val="000501D5"/>
    <w:rsid w:val="000501F3"/>
    <w:rsid w:val="00050D46"/>
    <w:rsid w:val="00051406"/>
    <w:rsid w:val="00051FEC"/>
    <w:rsid w:val="00052202"/>
    <w:rsid w:val="000527EB"/>
    <w:rsid w:val="000534A5"/>
    <w:rsid w:val="000548F9"/>
    <w:rsid w:val="00055217"/>
    <w:rsid w:val="0006156A"/>
    <w:rsid w:val="00062597"/>
    <w:rsid w:val="00063E19"/>
    <w:rsid w:val="00063F28"/>
    <w:rsid w:val="000647FE"/>
    <w:rsid w:val="00064F12"/>
    <w:rsid w:val="00065EBF"/>
    <w:rsid w:val="00066304"/>
    <w:rsid w:val="00066D16"/>
    <w:rsid w:val="0006750F"/>
    <w:rsid w:val="00067D74"/>
    <w:rsid w:val="000708EE"/>
    <w:rsid w:val="00073B26"/>
    <w:rsid w:val="00074577"/>
    <w:rsid w:val="0007598E"/>
    <w:rsid w:val="00075E5A"/>
    <w:rsid w:val="00076021"/>
    <w:rsid w:val="000800CE"/>
    <w:rsid w:val="000818E4"/>
    <w:rsid w:val="00081D50"/>
    <w:rsid w:val="00084B8A"/>
    <w:rsid w:val="000874A8"/>
    <w:rsid w:val="000901AE"/>
    <w:rsid w:val="000919FA"/>
    <w:rsid w:val="00092ADE"/>
    <w:rsid w:val="00092D42"/>
    <w:rsid w:val="000933BD"/>
    <w:rsid w:val="00093A05"/>
    <w:rsid w:val="00093CD0"/>
    <w:rsid w:val="00093D6B"/>
    <w:rsid w:val="00093FB7"/>
    <w:rsid w:val="000943DF"/>
    <w:rsid w:val="0009466F"/>
    <w:rsid w:val="00094954"/>
    <w:rsid w:val="00094FF2"/>
    <w:rsid w:val="00095E84"/>
    <w:rsid w:val="00096DF6"/>
    <w:rsid w:val="000A0912"/>
    <w:rsid w:val="000A0F7B"/>
    <w:rsid w:val="000A1AFF"/>
    <w:rsid w:val="000A258B"/>
    <w:rsid w:val="000A2BE2"/>
    <w:rsid w:val="000A43AB"/>
    <w:rsid w:val="000A456E"/>
    <w:rsid w:val="000A46A4"/>
    <w:rsid w:val="000A60CC"/>
    <w:rsid w:val="000A6343"/>
    <w:rsid w:val="000A7773"/>
    <w:rsid w:val="000A77B0"/>
    <w:rsid w:val="000A7DEF"/>
    <w:rsid w:val="000B00E5"/>
    <w:rsid w:val="000B03B2"/>
    <w:rsid w:val="000B04E0"/>
    <w:rsid w:val="000B170F"/>
    <w:rsid w:val="000B1D9C"/>
    <w:rsid w:val="000B3E0B"/>
    <w:rsid w:val="000B548C"/>
    <w:rsid w:val="000B783E"/>
    <w:rsid w:val="000B7A23"/>
    <w:rsid w:val="000C0C36"/>
    <w:rsid w:val="000C17AC"/>
    <w:rsid w:val="000C1FD6"/>
    <w:rsid w:val="000C24F1"/>
    <w:rsid w:val="000C39A4"/>
    <w:rsid w:val="000C4188"/>
    <w:rsid w:val="000C4CDC"/>
    <w:rsid w:val="000C542A"/>
    <w:rsid w:val="000C59A2"/>
    <w:rsid w:val="000C6ABC"/>
    <w:rsid w:val="000C7397"/>
    <w:rsid w:val="000C7854"/>
    <w:rsid w:val="000D25E7"/>
    <w:rsid w:val="000D34AE"/>
    <w:rsid w:val="000D5E19"/>
    <w:rsid w:val="000D5FAB"/>
    <w:rsid w:val="000D626F"/>
    <w:rsid w:val="000D62D2"/>
    <w:rsid w:val="000D79A1"/>
    <w:rsid w:val="000E0292"/>
    <w:rsid w:val="000E1043"/>
    <w:rsid w:val="000E21B3"/>
    <w:rsid w:val="000E3A3B"/>
    <w:rsid w:val="000E4043"/>
    <w:rsid w:val="000E4965"/>
    <w:rsid w:val="000E4DB6"/>
    <w:rsid w:val="000E598D"/>
    <w:rsid w:val="000F02BA"/>
    <w:rsid w:val="000F0CAB"/>
    <w:rsid w:val="000F1AFE"/>
    <w:rsid w:val="000F2F41"/>
    <w:rsid w:val="000F370F"/>
    <w:rsid w:val="000F3B8E"/>
    <w:rsid w:val="000F499D"/>
    <w:rsid w:val="000F5D92"/>
    <w:rsid w:val="000F62DE"/>
    <w:rsid w:val="000F7102"/>
    <w:rsid w:val="000F7A6C"/>
    <w:rsid w:val="001001D9"/>
    <w:rsid w:val="00101EF8"/>
    <w:rsid w:val="001022C1"/>
    <w:rsid w:val="00102A83"/>
    <w:rsid w:val="0010398A"/>
    <w:rsid w:val="001039B0"/>
    <w:rsid w:val="00105111"/>
    <w:rsid w:val="00105F6E"/>
    <w:rsid w:val="0011034A"/>
    <w:rsid w:val="00111B44"/>
    <w:rsid w:val="00111E47"/>
    <w:rsid w:val="0011409B"/>
    <w:rsid w:val="00116CCA"/>
    <w:rsid w:val="001200B6"/>
    <w:rsid w:val="001203F7"/>
    <w:rsid w:val="001214F9"/>
    <w:rsid w:val="00121FE4"/>
    <w:rsid w:val="001222CC"/>
    <w:rsid w:val="00122369"/>
    <w:rsid w:val="00122474"/>
    <w:rsid w:val="00122BBD"/>
    <w:rsid w:val="00123D58"/>
    <w:rsid w:val="00123E30"/>
    <w:rsid w:val="00127E48"/>
    <w:rsid w:val="00131625"/>
    <w:rsid w:val="00132C76"/>
    <w:rsid w:val="00135734"/>
    <w:rsid w:val="00135C3A"/>
    <w:rsid w:val="0013669B"/>
    <w:rsid w:val="00136CFC"/>
    <w:rsid w:val="00136F4E"/>
    <w:rsid w:val="00137B43"/>
    <w:rsid w:val="001417AD"/>
    <w:rsid w:val="00141E9B"/>
    <w:rsid w:val="00143BF2"/>
    <w:rsid w:val="00143D45"/>
    <w:rsid w:val="001451F9"/>
    <w:rsid w:val="001469D2"/>
    <w:rsid w:val="00147008"/>
    <w:rsid w:val="0014738D"/>
    <w:rsid w:val="00147AAF"/>
    <w:rsid w:val="00150840"/>
    <w:rsid w:val="00151435"/>
    <w:rsid w:val="00151CC9"/>
    <w:rsid w:val="001527A3"/>
    <w:rsid w:val="001529FF"/>
    <w:rsid w:val="00153603"/>
    <w:rsid w:val="00155E7E"/>
    <w:rsid w:val="00156FDB"/>
    <w:rsid w:val="001604B1"/>
    <w:rsid w:val="00160CD6"/>
    <w:rsid w:val="001615E7"/>
    <w:rsid w:val="00162F0B"/>
    <w:rsid w:val="00163573"/>
    <w:rsid w:val="00163A7D"/>
    <w:rsid w:val="0016457A"/>
    <w:rsid w:val="001650C7"/>
    <w:rsid w:val="00165B54"/>
    <w:rsid w:val="001669E6"/>
    <w:rsid w:val="00167E60"/>
    <w:rsid w:val="00167E87"/>
    <w:rsid w:val="00170761"/>
    <w:rsid w:val="001708BF"/>
    <w:rsid w:val="0017103A"/>
    <w:rsid w:val="00171AFC"/>
    <w:rsid w:val="001730A1"/>
    <w:rsid w:val="00173E32"/>
    <w:rsid w:val="0017460D"/>
    <w:rsid w:val="001747ED"/>
    <w:rsid w:val="00174AA2"/>
    <w:rsid w:val="00176575"/>
    <w:rsid w:val="00176658"/>
    <w:rsid w:val="001767CD"/>
    <w:rsid w:val="00177108"/>
    <w:rsid w:val="0017770A"/>
    <w:rsid w:val="0018075C"/>
    <w:rsid w:val="0018282E"/>
    <w:rsid w:val="00183556"/>
    <w:rsid w:val="001839B1"/>
    <w:rsid w:val="00183A85"/>
    <w:rsid w:val="00184F9F"/>
    <w:rsid w:val="00185C38"/>
    <w:rsid w:val="0018659E"/>
    <w:rsid w:val="00190362"/>
    <w:rsid w:val="00190B98"/>
    <w:rsid w:val="00192084"/>
    <w:rsid w:val="00192991"/>
    <w:rsid w:val="0019443D"/>
    <w:rsid w:val="00194803"/>
    <w:rsid w:val="00195748"/>
    <w:rsid w:val="00196E61"/>
    <w:rsid w:val="00197537"/>
    <w:rsid w:val="00197E28"/>
    <w:rsid w:val="001A02EE"/>
    <w:rsid w:val="001A06F6"/>
    <w:rsid w:val="001A0B0C"/>
    <w:rsid w:val="001A0B75"/>
    <w:rsid w:val="001A0F67"/>
    <w:rsid w:val="001A12E0"/>
    <w:rsid w:val="001A1FBB"/>
    <w:rsid w:val="001A2E0F"/>
    <w:rsid w:val="001A3C7F"/>
    <w:rsid w:val="001A50AC"/>
    <w:rsid w:val="001A6534"/>
    <w:rsid w:val="001A6DC0"/>
    <w:rsid w:val="001B0A37"/>
    <w:rsid w:val="001B288F"/>
    <w:rsid w:val="001B4436"/>
    <w:rsid w:val="001B57AE"/>
    <w:rsid w:val="001B5E1A"/>
    <w:rsid w:val="001B69E0"/>
    <w:rsid w:val="001B775D"/>
    <w:rsid w:val="001B7FB6"/>
    <w:rsid w:val="001C068B"/>
    <w:rsid w:val="001C1DC7"/>
    <w:rsid w:val="001C1ECC"/>
    <w:rsid w:val="001C2E48"/>
    <w:rsid w:val="001C3663"/>
    <w:rsid w:val="001C36A0"/>
    <w:rsid w:val="001C4A0B"/>
    <w:rsid w:val="001C544F"/>
    <w:rsid w:val="001C58AD"/>
    <w:rsid w:val="001C7614"/>
    <w:rsid w:val="001D0651"/>
    <w:rsid w:val="001D0ADA"/>
    <w:rsid w:val="001D0B9C"/>
    <w:rsid w:val="001D0D6A"/>
    <w:rsid w:val="001D25F8"/>
    <w:rsid w:val="001D278A"/>
    <w:rsid w:val="001D288C"/>
    <w:rsid w:val="001D2C5D"/>
    <w:rsid w:val="001D2FA1"/>
    <w:rsid w:val="001D3B53"/>
    <w:rsid w:val="001D6107"/>
    <w:rsid w:val="001D6480"/>
    <w:rsid w:val="001D7239"/>
    <w:rsid w:val="001D7572"/>
    <w:rsid w:val="001E1ECA"/>
    <w:rsid w:val="001E329A"/>
    <w:rsid w:val="001E55D0"/>
    <w:rsid w:val="001E583F"/>
    <w:rsid w:val="001E664F"/>
    <w:rsid w:val="001F08FC"/>
    <w:rsid w:val="001F0A87"/>
    <w:rsid w:val="001F1014"/>
    <w:rsid w:val="001F1A58"/>
    <w:rsid w:val="001F1B17"/>
    <w:rsid w:val="001F1EA8"/>
    <w:rsid w:val="001F729D"/>
    <w:rsid w:val="001F7C00"/>
    <w:rsid w:val="002004DC"/>
    <w:rsid w:val="00202646"/>
    <w:rsid w:val="002041DE"/>
    <w:rsid w:val="00204E3E"/>
    <w:rsid w:val="00206CBA"/>
    <w:rsid w:val="00207B77"/>
    <w:rsid w:val="00211597"/>
    <w:rsid w:val="002122D0"/>
    <w:rsid w:val="0021249E"/>
    <w:rsid w:val="00213F1E"/>
    <w:rsid w:val="0021515F"/>
    <w:rsid w:val="00215F90"/>
    <w:rsid w:val="0022035B"/>
    <w:rsid w:val="00220BFD"/>
    <w:rsid w:val="00222633"/>
    <w:rsid w:val="00223DD2"/>
    <w:rsid w:val="002244C9"/>
    <w:rsid w:val="00224CF5"/>
    <w:rsid w:val="00225ADC"/>
    <w:rsid w:val="00225CC8"/>
    <w:rsid w:val="00225D94"/>
    <w:rsid w:val="00227A99"/>
    <w:rsid w:val="0023068B"/>
    <w:rsid w:val="00232F37"/>
    <w:rsid w:val="002336B9"/>
    <w:rsid w:val="00233FDB"/>
    <w:rsid w:val="0023549A"/>
    <w:rsid w:val="002367BA"/>
    <w:rsid w:val="00237549"/>
    <w:rsid w:val="002405A5"/>
    <w:rsid w:val="002419EE"/>
    <w:rsid w:val="002441C7"/>
    <w:rsid w:val="002447B7"/>
    <w:rsid w:val="0024594C"/>
    <w:rsid w:val="0024601E"/>
    <w:rsid w:val="00246AB5"/>
    <w:rsid w:val="002501E1"/>
    <w:rsid w:val="002518F7"/>
    <w:rsid w:val="0025256E"/>
    <w:rsid w:val="00253930"/>
    <w:rsid w:val="002539F4"/>
    <w:rsid w:val="00254A47"/>
    <w:rsid w:val="00254D8C"/>
    <w:rsid w:val="00254F5D"/>
    <w:rsid w:val="002550E6"/>
    <w:rsid w:val="00255827"/>
    <w:rsid w:val="00256064"/>
    <w:rsid w:val="00257304"/>
    <w:rsid w:val="002610CC"/>
    <w:rsid w:val="002617FA"/>
    <w:rsid w:val="00262199"/>
    <w:rsid w:val="00262E16"/>
    <w:rsid w:val="0026342E"/>
    <w:rsid w:val="00264143"/>
    <w:rsid w:val="0026423C"/>
    <w:rsid w:val="00264823"/>
    <w:rsid w:val="00264A1F"/>
    <w:rsid w:val="00264AAC"/>
    <w:rsid w:val="002655BD"/>
    <w:rsid w:val="00267246"/>
    <w:rsid w:val="00267C04"/>
    <w:rsid w:val="00271AD5"/>
    <w:rsid w:val="00271D13"/>
    <w:rsid w:val="00271DDA"/>
    <w:rsid w:val="002730D2"/>
    <w:rsid w:val="002731D5"/>
    <w:rsid w:val="0027335D"/>
    <w:rsid w:val="002738F1"/>
    <w:rsid w:val="00274C15"/>
    <w:rsid w:val="00276571"/>
    <w:rsid w:val="002804A3"/>
    <w:rsid w:val="002816DB"/>
    <w:rsid w:val="0028283C"/>
    <w:rsid w:val="00282A76"/>
    <w:rsid w:val="00283F52"/>
    <w:rsid w:val="002844D8"/>
    <w:rsid w:val="0028577F"/>
    <w:rsid w:val="00287AB0"/>
    <w:rsid w:val="002908FC"/>
    <w:rsid w:val="002909C0"/>
    <w:rsid w:val="00290D24"/>
    <w:rsid w:val="00294A82"/>
    <w:rsid w:val="00294D15"/>
    <w:rsid w:val="00295120"/>
    <w:rsid w:val="002A02EA"/>
    <w:rsid w:val="002A07F0"/>
    <w:rsid w:val="002A080C"/>
    <w:rsid w:val="002A0E57"/>
    <w:rsid w:val="002A2468"/>
    <w:rsid w:val="002A2576"/>
    <w:rsid w:val="002A2E4E"/>
    <w:rsid w:val="002A369A"/>
    <w:rsid w:val="002A44F9"/>
    <w:rsid w:val="002A71C9"/>
    <w:rsid w:val="002B0885"/>
    <w:rsid w:val="002B1580"/>
    <w:rsid w:val="002B1780"/>
    <w:rsid w:val="002B2F02"/>
    <w:rsid w:val="002B3B14"/>
    <w:rsid w:val="002B43C5"/>
    <w:rsid w:val="002B4CA1"/>
    <w:rsid w:val="002B56E7"/>
    <w:rsid w:val="002B5D5E"/>
    <w:rsid w:val="002B6282"/>
    <w:rsid w:val="002B668B"/>
    <w:rsid w:val="002B6E48"/>
    <w:rsid w:val="002B72F5"/>
    <w:rsid w:val="002B7CB7"/>
    <w:rsid w:val="002C315C"/>
    <w:rsid w:val="002C3B75"/>
    <w:rsid w:val="002C3DF6"/>
    <w:rsid w:val="002C41F9"/>
    <w:rsid w:val="002C44BF"/>
    <w:rsid w:val="002C5D78"/>
    <w:rsid w:val="002C7745"/>
    <w:rsid w:val="002D1876"/>
    <w:rsid w:val="002D39D6"/>
    <w:rsid w:val="002D3D04"/>
    <w:rsid w:val="002D4F45"/>
    <w:rsid w:val="002D58E3"/>
    <w:rsid w:val="002D59E5"/>
    <w:rsid w:val="002D649E"/>
    <w:rsid w:val="002D7086"/>
    <w:rsid w:val="002E0ADB"/>
    <w:rsid w:val="002E2CB3"/>
    <w:rsid w:val="002E5376"/>
    <w:rsid w:val="002E6635"/>
    <w:rsid w:val="002E7A4A"/>
    <w:rsid w:val="002F0FB7"/>
    <w:rsid w:val="002F3305"/>
    <w:rsid w:val="002F39AB"/>
    <w:rsid w:val="002F3F0E"/>
    <w:rsid w:val="002F5099"/>
    <w:rsid w:val="002F6C71"/>
    <w:rsid w:val="002F7CB7"/>
    <w:rsid w:val="0030041D"/>
    <w:rsid w:val="00300D33"/>
    <w:rsid w:val="00301D35"/>
    <w:rsid w:val="00303111"/>
    <w:rsid w:val="003033A7"/>
    <w:rsid w:val="00304271"/>
    <w:rsid w:val="00304C66"/>
    <w:rsid w:val="00304F41"/>
    <w:rsid w:val="003054DA"/>
    <w:rsid w:val="00305621"/>
    <w:rsid w:val="00305668"/>
    <w:rsid w:val="00306A01"/>
    <w:rsid w:val="00306B5B"/>
    <w:rsid w:val="0030712F"/>
    <w:rsid w:val="0030785C"/>
    <w:rsid w:val="00307A5B"/>
    <w:rsid w:val="00310353"/>
    <w:rsid w:val="003123A4"/>
    <w:rsid w:val="003129C4"/>
    <w:rsid w:val="0031379F"/>
    <w:rsid w:val="00313AB9"/>
    <w:rsid w:val="00313D8D"/>
    <w:rsid w:val="00313DAF"/>
    <w:rsid w:val="0031641F"/>
    <w:rsid w:val="00316A54"/>
    <w:rsid w:val="0032032C"/>
    <w:rsid w:val="003211BC"/>
    <w:rsid w:val="00321810"/>
    <w:rsid w:val="00323553"/>
    <w:rsid w:val="00323EF8"/>
    <w:rsid w:val="0032715A"/>
    <w:rsid w:val="0033012D"/>
    <w:rsid w:val="003304BC"/>
    <w:rsid w:val="00330B2D"/>
    <w:rsid w:val="00331F00"/>
    <w:rsid w:val="003321E4"/>
    <w:rsid w:val="003325D6"/>
    <w:rsid w:val="003327D6"/>
    <w:rsid w:val="0033483C"/>
    <w:rsid w:val="00334865"/>
    <w:rsid w:val="00334D0F"/>
    <w:rsid w:val="0033541B"/>
    <w:rsid w:val="00335964"/>
    <w:rsid w:val="00336AC7"/>
    <w:rsid w:val="00340446"/>
    <w:rsid w:val="00340AA6"/>
    <w:rsid w:val="0034158E"/>
    <w:rsid w:val="00341A12"/>
    <w:rsid w:val="00342122"/>
    <w:rsid w:val="00342635"/>
    <w:rsid w:val="00342898"/>
    <w:rsid w:val="00343D5A"/>
    <w:rsid w:val="003441CD"/>
    <w:rsid w:val="00346369"/>
    <w:rsid w:val="00346F4B"/>
    <w:rsid w:val="003505A4"/>
    <w:rsid w:val="0035206B"/>
    <w:rsid w:val="003526E0"/>
    <w:rsid w:val="0035293A"/>
    <w:rsid w:val="00353952"/>
    <w:rsid w:val="003549B7"/>
    <w:rsid w:val="00355DE2"/>
    <w:rsid w:val="00356465"/>
    <w:rsid w:val="00357020"/>
    <w:rsid w:val="00360807"/>
    <w:rsid w:val="00361074"/>
    <w:rsid w:val="00362483"/>
    <w:rsid w:val="0036388B"/>
    <w:rsid w:val="003639B6"/>
    <w:rsid w:val="00363FED"/>
    <w:rsid w:val="00365421"/>
    <w:rsid w:val="0036634B"/>
    <w:rsid w:val="0036643E"/>
    <w:rsid w:val="0036683F"/>
    <w:rsid w:val="0036731F"/>
    <w:rsid w:val="003708C3"/>
    <w:rsid w:val="003731F3"/>
    <w:rsid w:val="00373CA1"/>
    <w:rsid w:val="003748E7"/>
    <w:rsid w:val="003764DE"/>
    <w:rsid w:val="00377363"/>
    <w:rsid w:val="003774FD"/>
    <w:rsid w:val="0037790B"/>
    <w:rsid w:val="003810D0"/>
    <w:rsid w:val="00381B13"/>
    <w:rsid w:val="003832F7"/>
    <w:rsid w:val="00385EA8"/>
    <w:rsid w:val="003866C9"/>
    <w:rsid w:val="003875BA"/>
    <w:rsid w:val="00387B6D"/>
    <w:rsid w:val="0039103E"/>
    <w:rsid w:val="003915CF"/>
    <w:rsid w:val="00392A21"/>
    <w:rsid w:val="0039544A"/>
    <w:rsid w:val="00397340"/>
    <w:rsid w:val="0039764C"/>
    <w:rsid w:val="00397951"/>
    <w:rsid w:val="003A008A"/>
    <w:rsid w:val="003A1537"/>
    <w:rsid w:val="003A2E50"/>
    <w:rsid w:val="003A5AEE"/>
    <w:rsid w:val="003A6AAA"/>
    <w:rsid w:val="003B0304"/>
    <w:rsid w:val="003B48EE"/>
    <w:rsid w:val="003B50A3"/>
    <w:rsid w:val="003B658A"/>
    <w:rsid w:val="003B6952"/>
    <w:rsid w:val="003B758F"/>
    <w:rsid w:val="003C03A4"/>
    <w:rsid w:val="003C08DE"/>
    <w:rsid w:val="003C18CC"/>
    <w:rsid w:val="003C1BB4"/>
    <w:rsid w:val="003C1E02"/>
    <w:rsid w:val="003C1FDE"/>
    <w:rsid w:val="003C3C0C"/>
    <w:rsid w:val="003C41F4"/>
    <w:rsid w:val="003C525A"/>
    <w:rsid w:val="003C5A97"/>
    <w:rsid w:val="003C6FDB"/>
    <w:rsid w:val="003D2472"/>
    <w:rsid w:val="003D2F3E"/>
    <w:rsid w:val="003D6572"/>
    <w:rsid w:val="003D76CB"/>
    <w:rsid w:val="003D7AF5"/>
    <w:rsid w:val="003E0407"/>
    <w:rsid w:val="003E0E5B"/>
    <w:rsid w:val="003E2375"/>
    <w:rsid w:val="003E2DE1"/>
    <w:rsid w:val="003E37B6"/>
    <w:rsid w:val="003E4E24"/>
    <w:rsid w:val="003E7980"/>
    <w:rsid w:val="003F0041"/>
    <w:rsid w:val="003F10A2"/>
    <w:rsid w:val="003F16A4"/>
    <w:rsid w:val="003F2F10"/>
    <w:rsid w:val="003F35F7"/>
    <w:rsid w:val="003F4456"/>
    <w:rsid w:val="003F4E59"/>
    <w:rsid w:val="004002BC"/>
    <w:rsid w:val="00401AE2"/>
    <w:rsid w:val="00403792"/>
    <w:rsid w:val="00406DA7"/>
    <w:rsid w:val="0040708A"/>
    <w:rsid w:val="0041124B"/>
    <w:rsid w:val="0041230B"/>
    <w:rsid w:val="00412C17"/>
    <w:rsid w:val="004137F0"/>
    <w:rsid w:val="00413913"/>
    <w:rsid w:val="00414F76"/>
    <w:rsid w:val="00416B31"/>
    <w:rsid w:val="00417038"/>
    <w:rsid w:val="00417BC7"/>
    <w:rsid w:val="004221A9"/>
    <w:rsid w:val="00422C2D"/>
    <w:rsid w:val="00424701"/>
    <w:rsid w:val="00424A6C"/>
    <w:rsid w:val="004259DA"/>
    <w:rsid w:val="00426888"/>
    <w:rsid w:val="00430329"/>
    <w:rsid w:val="00430D3F"/>
    <w:rsid w:val="004317A2"/>
    <w:rsid w:val="0043213C"/>
    <w:rsid w:val="00432805"/>
    <w:rsid w:val="004335D4"/>
    <w:rsid w:val="00434B75"/>
    <w:rsid w:val="00435BD5"/>
    <w:rsid w:val="00435F3C"/>
    <w:rsid w:val="00436324"/>
    <w:rsid w:val="004367B3"/>
    <w:rsid w:val="00440B2C"/>
    <w:rsid w:val="004414E7"/>
    <w:rsid w:val="00441C14"/>
    <w:rsid w:val="004426C4"/>
    <w:rsid w:val="004451EA"/>
    <w:rsid w:val="00446004"/>
    <w:rsid w:val="004479A1"/>
    <w:rsid w:val="00447F5A"/>
    <w:rsid w:val="00453689"/>
    <w:rsid w:val="00453863"/>
    <w:rsid w:val="0045623F"/>
    <w:rsid w:val="00456931"/>
    <w:rsid w:val="0045696E"/>
    <w:rsid w:val="00456B08"/>
    <w:rsid w:val="00457685"/>
    <w:rsid w:val="0046035D"/>
    <w:rsid w:val="004627A2"/>
    <w:rsid w:val="00462C5B"/>
    <w:rsid w:val="00464BE4"/>
    <w:rsid w:val="004662C1"/>
    <w:rsid w:val="0046693A"/>
    <w:rsid w:val="00466D3A"/>
    <w:rsid w:val="00467660"/>
    <w:rsid w:val="004708FB"/>
    <w:rsid w:val="0047185F"/>
    <w:rsid w:val="004719B5"/>
    <w:rsid w:val="00472DBD"/>
    <w:rsid w:val="00472F8A"/>
    <w:rsid w:val="004733A6"/>
    <w:rsid w:val="0047396E"/>
    <w:rsid w:val="00473FD4"/>
    <w:rsid w:val="004744D0"/>
    <w:rsid w:val="004749DE"/>
    <w:rsid w:val="004762FA"/>
    <w:rsid w:val="00476366"/>
    <w:rsid w:val="004766CA"/>
    <w:rsid w:val="00476C9E"/>
    <w:rsid w:val="00476E69"/>
    <w:rsid w:val="004776ED"/>
    <w:rsid w:val="0048029E"/>
    <w:rsid w:val="00480CA5"/>
    <w:rsid w:val="0048182B"/>
    <w:rsid w:val="00481EFE"/>
    <w:rsid w:val="00482067"/>
    <w:rsid w:val="00483BE9"/>
    <w:rsid w:val="00485521"/>
    <w:rsid w:val="00485763"/>
    <w:rsid w:val="00486B84"/>
    <w:rsid w:val="00491FC0"/>
    <w:rsid w:val="00496B43"/>
    <w:rsid w:val="0049768C"/>
    <w:rsid w:val="00497946"/>
    <w:rsid w:val="004A0337"/>
    <w:rsid w:val="004A0A68"/>
    <w:rsid w:val="004A0D10"/>
    <w:rsid w:val="004A0F0D"/>
    <w:rsid w:val="004A1A98"/>
    <w:rsid w:val="004A1D3D"/>
    <w:rsid w:val="004A2939"/>
    <w:rsid w:val="004A300A"/>
    <w:rsid w:val="004A321B"/>
    <w:rsid w:val="004A5633"/>
    <w:rsid w:val="004A5752"/>
    <w:rsid w:val="004A5F8A"/>
    <w:rsid w:val="004B10C3"/>
    <w:rsid w:val="004B2B17"/>
    <w:rsid w:val="004B2CF6"/>
    <w:rsid w:val="004B448E"/>
    <w:rsid w:val="004B47BC"/>
    <w:rsid w:val="004B5740"/>
    <w:rsid w:val="004B5F68"/>
    <w:rsid w:val="004B6AF1"/>
    <w:rsid w:val="004B79A9"/>
    <w:rsid w:val="004C1865"/>
    <w:rsid w:val="004C2E15"/>
    <w:rsid w:val="004C2E3C"/>
    <w:rsid w:val="004C3136"/>
    <w:rsid w:val="004C5AD7"/>
    <w:rsid w:val="004C7F37"/>
    <w:rsid w:val="004C7FE4"/>
    <w:rsid w:val="004D0015"/>
    <w:rsid w:val="004D03B3"/>
    <w:rsid w:val="004D0C77"/>
    <w:rsid w:val="004D10A3"/>
    <w:rsid w:val="004D12B5"/>
    <w:rsid w:val="004D2C07"/>
    <w:rsid w:val="004D3675"/>
    <w:rsid w:val="004D3AC3"/>
    <w:rsid w:val="004D4F3C"/>
    <w:rsid w:val="004D5745"/>
    <w:rsid w:val="004D5AEC"/>
    <w:rsid w:val="004E0811"/>
    <w:rsid w:val="004E102A"/>
    <w:rsid w:val="004E3A59"/>
    <w:rsid w:val="004E426A"/>
    <w:rsid w:val="004E4DF1"/>
    <w:rsid w:val="004E5F17"/>
    <w:rsid w:val="004E6D10"/>
    <w:rsid w:val="004E6F49"/>
    <w:rsid w:val="004E7AA1"/>
    <w:rsid w:val="004E7FFB"/>
    <w:rsid w:val="004F094D"/>
    <w:rsid w:val="004F1F8A"/>
    <w:rsid w:val="004F4677"/>
    <w:rsid w:val="004F6E4F"/>
    <w:rsid w:val="00500767"/>
    <w:rsid w:val="00500AA9"/>
    <w:rsid w:val="005011E5"/>
    <w:rsid w:val="00502046"/>
    <w:rsid w:val="005034E0"/>
    <w:rsid w:val="00504DDB"/>
    <w:rsid w:val="00505491"/>
    <w:rsid w:val="005059EA"/>
    <w:rsid w:val="00506AE4"/>
    <w:rsid w:val="00510209"/>
    <w:rsid w:val="00510502"/>
    <w:rsid w:val="005116B4"/>
    <w:rsid w:val="00512D03"/>
    <w:rsid w:val="00513331"/>
    <w:rsid w:val="00513A07"/>
    <w:rsid w:val="00513CDE"/>
    <w:rsid w:val="00514628"/>
    <w:rsid w:val="005148C5"/>
    <w:rsid w:val="00515511"/>
    <w:rsid w:val="00516647"/>
    <w:rsid w:val="0051667C"/>
    <w:rsid w:val="0051752F"/>
    <w:rsid w:val="00517538"/>
    <w:rsid w:val="005226E3"/>
    <w:rsid w:val="00524451"/>
    <w:rsid w:val="005249D8"/>
    <w:rsid w:val="005268BB"/>
    <w:rsid w:val="00526C1E"/>
    <w:rsid w:val="0052708E"/>
    <w:rsid w:val="00527F86"/>
    <w:rsid w:val="00530DA5"/>
    <w:rsid w:val="00530FFD"/>
    <w:rsid w:val="005332F6"/>
    <w:rsid w:val="00533E6F"/>
    <w:rsid w:val="005361FA"/>
    <w:rsid w:val="00536E6D"/>
    <w:rsid w:val="005370AD"/>
    <w:rsid w:val="00537B2F"/>
    <w:rsid w:val="005407A5"/>
    <w:rsid w:val="0054173D"/>
    <w:rsid w:val="005417F0"/>
    <w:rsid w:val="00542E22"/>
    <w:rsid w:val="00542E8A"/>
    <w:rsid w:val="0054372D"/>
    <w:rsid w:val="0054396F"/>
    <w:rsid w:val="00543D43"/>
    <w:rsid w:val="00544648"/>
    <w:rsid w:val="00545871"/>
    <w:rsid w:val="005461C7"/>
    <w:rsid w:val="0054625D"/>
    <w:rsid w:val="00546BFA"/>
    <w:rsid w:val="00546F50"/>
    <w:rsid w:val="0055190C"/>
    <w:rsid w:val="00551BD7"/>
    <w:rsid w:val="0055413F"/>
    <w:rsid w:val="00554D00"/>
    <w:rsid w:val="00556966"/>
    <w:rsid w:val="0055746E"/>
    <w:rsid w:val="00557807"/>
    <w:rsid w:val="005607B0"/>
    <w:rsid w:val="00561537"/>
    <w:rsid w:val="00561C13"/>
    <w:rsid w:val="0056293A"/>
    <w:rsid w:val="00563D30"/>
    <w:rsid w:val="00564C62"/>
    <w:rsid w:val="00566189"/>
    <w:rsid w:val="005668CF"/>
    <w:rsid w:val="00567F91"/>
    <w:rsid w:val="0057089E"/>
    <w:rsid w:val="00570A60"/>
    <w:rsid w:val="00572C45"/>
    <w:rsid w:val="0057415A"/>
    <w:rsid w:val="00576788"/>
    <w:rsid w:val="005768CE"/>
    <w:rsid w:val="005776A9"/>
    <w:rsid w:val="005810E2"/>
    <w:rsid w:val="005819DD"/>
    <w:rsid w:val="00581E57"/>
    <w:rsid w:val="00586DD9"/>
    <w:rsid w:val="00586FD6"/>
    <w:rsid w:val="00587280"/>
    <w:rsid w:val="00587D10"/>
    <w:rsid w:val="00587DC3"/>
    <w:rsid w:val="0059004C"/>
    <w:rsid w:val="005901D8"/>
    <w:rsid w:val="00591390"/>
    <w:rsid w:val="0059222A"/>
    <w:rsid w:val="0059278D"/>
    <w:rsid w:val="00592D04"/>
    <w:rsid w:val="00594830"/>
    <w:rsid w:val="00596AB7"/>
    <w:rsid w:val="0059711C"/>
    <w:rsid w:val="00597787"/>
    <w:rsid w:val="00597C7F"/>
    <w:rsid w:val="005A0430"/>
    <w:rsid w:val="005A142C"/>
    <w:rsid w:val="005A1B82"/>
    <w:rsid w:val="005A1CB8"/>
    <w:rsid w:val="005A21E2"/>
    <w:rsid w:val="005A2385"/>
    <w:rsid w:val="005A2D0A"/>
    <w:rsid w:val="005A45B7"/>
    <w:rsid w:val="005A4C7C"/>
    <w:rsid w:val="005A640C"/>
    <w:rsid w:val="005A7C02"/>
    <w:rsid w:val="005B1C7E"/>
    <w:rsid w:val="005B30C2"/>
    <w:rsid w:val="005B475A"/>
    <w:rsid w:val="005B5D9B"/>
    <w:rsid w:val="005B6985"/>
    <w:rsid w:val="005B69FE"/>
    <w:rsid w:val="005C100E"/>
    <w:rsid w:val="005C1C08"/>
    <w:rsid w:val="005C23D9"/>
    <w:rsid w:val="005C24BD"/>
    <w:rsid w:val="005C311A"/>
    <w:rsid w:val="005C36E7"/>
    <w:rsid w:val="005C3C2D"/>
    <w:rsid w:val="005C3E33"/>
    <w:rsid w:val="005C4E3B"/>
    <w:rsid w:val="005C7210"/>
    <w:rsid w:val="005C7953"/>
    <w:rsid w:val="005C79C5"/>
    <w:rsid w:val="005D21DC"/>
    <w:rsid w:val="005D2CBE"/>
    <w:rsid w:val="005D3E17"/>
    <w:rsid w:val="005D51CA"/>
    <w:rsid w:val="005E2333"/>
    <w:rsid w:val="005E30B1"/>
    <w:rsid w:val="005E4263"/>
    <w:rsid w:val="005E53EE"/>
    <w:rsid w:val="005E75B8"/>
    <w:rsid w:val="005E7DB3"/>
    <w:rsid w:val="005F04D0"/>
    <w:rsid w:val="005F0E53"/>
    <w:rsid w:val="005F0E73"/>
    <w:rsid w:val="005F0ED8"/>
    <w:rsid w:val="005F4016"/>
    <w:rsid w:val="005F42BA"/>
    <w:rsid w:val="005F4C0B"/>
    <w:rsid w:val="005F5895"/>
    <w:rsid w:val="005F6D36"/>
    <w:rsid w:val="005F704D"/>
    <w:rsid w:val="005F7B80"/>
    <w:rsid w:val="005F7F29"/>
    <w:rsid w:val="0060024A"/>
    <w:rsid w:val="00601E92"/>
    <w:rsid w:val="006024F0"/>
    <w:rsid w:val="00602E19"/>
    <w:rsid w:val="00607B45"/>
    <w:rsid w:val="00611033"/>
    <w:rsid w:val="00611AA3"/>
    <w:rsid w:val="00611F15"/>
    <w:rsid w:val="006128D5"/>
    <w:rsid w:val="00612F7A"/>
    <w:rsid w:val="00614661"/>
    <w:rsid w:val="00615993"/>
    <w:rsid w:val="00620802"/>
    <w:rsid w:val="00621804"/>
    <w:rsid w:val="006225D1"/>
    <w:rsid w:val="00622A3A"/>
    <w:rsid w:val="00622D42"/>
    <w:rsid w:val="006259C3"/>
    <w:rsid w:val="0062655E"/>
    <w:rsid w:val="00627259"/>
    <w:rsid w:val="00630E9E"/>
    <w:rsid w:val="00631571"/>
    <w:rsid w:val="00631AF4"/>
    <w:rsid w:val="00632165"/>
    <w:rsid w:val="0063275B"/>
    <w:rsid w:val="00632A0D"/>
    <w:rsid w:val="00632BA8"/>
    <w:rsid w:val="00634D0A"/>
    <w:rsid w:val="00636446"/>
    <w:rsid w:val="0063796C"/>
    <w:rsid w:val="00642F6E"/>
    <w:rsid w:val="0064366A"/>
    <w:rsid w:val="00643DBC"/>
    <w:rsid w:val="006463D8"/>
    <w:rsid w:val="006500BA"/>
    <w:rsid w:val="00652E79"/>
    <w:rsid w:val="00657AAF"/>
    <w:rsid w:val="00660179"/>
    <w:rsid w:val="006620AA"/>
    <w:rsid w:val="00663D65"/>
    <w:rsid w:val="00664B34"/>
    <w:rsid w:val="00665595"/>
    <w:rsid w:val="006656D8"/>
    <w:rsid w:val="00667AB1"/>
    <w:rsid w:val="00667F70"/>
    <w:rsid w:val="00670340"/>
    <w:rsid w:val="006705DD"/>
    <w:rsid w:val="0067071E"/>
    <w:rsid w:val="00680044"/>
    <w:rsid w:val="0068038B"/>
    <w:rsid w:val="006809E3"/>
    <w:rsid w:val="00681042"/>
    <w:rsid w:val="0068132A"/>
    <w:rsid w:val="00682679"/>
    <w:rsid w:val="00682F97"/>
    <w:rsid w:val="00685317"/>
    <w:rsid w:val="00685E30"/>
    <w:rsid w:val="00687E05"/>
    <w:rsid w:val="00693796"/>
    <w:rsid w:val="006937A8"/>
    <w:rsid w:val="006938A6"/>
    <w:rsid w:val="00694905"/>
    <w:rsid w:val="0069557F"/>
    <w:rsid w:val="00695597"/>
    <w:rsid w:val="00696CBF"/>
    <w:rsid w:val="00697BCD"/>
    <w:rsid w:val="006A019B"/>
    <w:rsid w:val="006A0FD3"/>
    <w:rsid w:val="006A1177"/>
    <w:rsid w:val="006A17DF"/>
    <w:rsid w:val="006A600B"/>
    <w:rsid w:val="006A64D4"/>
    <w:rsid w:val="006A6DA5"/>
    <w:rsid w:val="006A752D"/>
    <w:rsid w:val="006B076D"/>
    <w:rsid w:val="006B1374"/>
    <w:rsid w:val="006B15AB"/>
    <w:rsid w:val="006B1887"/>
    <w:rsid w:val="006B1F26"/>
    <w:rsid w:val="006B2192"/>
    <w:rsid w:val="006B5175"/>
    <w:rsid w:val="006B6034"/>
    <w:rsid w:val="006B7121"/>
    <w:rsid w:val="006B7866"/>
    <w:rsid w:val="006B7D9F"/>
    <w:rsid w:val="006C2E02"/>
    <w:rsid w:val="006C6538"/>
    <w:rsid w:val="006C6950"/>
    <w:rsid w:val="006C6C31"/>
    <w:rsid w:val="006D03A6"/>
    <w:rsid w:val="006D060F"/>
    <w:rsid w:val="006D1A39"/>
    <w:rsid w:val="006D2622"/>
    <w:rsid w:val="006D32C4"/>
    <w:rsid w:val="006D449E"/>
    <w:rsid w:val="006D45F0"/>
    <w:rsid w:val="006D4E2E"/>
    <w:rsid w:val="006D54BD"/>
    <w:rsid w:val="006D5E23"/>
    <w:rsid w:val="006D61DB"/>
    <w:rsid w:val="006D7C61"/>
    <w:rsid w:val="006E0B7B"/>
    <w:rsid w:val="006E351F"/>
    <w:rsid w:val="006E4001"/>
    <w:rsid w:val="006E4D83"/>
    <w:rsid w:val="006E4F29"/>
    <w:rsid w:val="006E5675"/>
    <w:rsid w:val="006F11AF"/>
    <w:rsid w:val="006F2166"/>
    <w:rsid w:val="006F2FF4"/>
    <w:rsid w:val="006F6164"/>
    <w:rsid w:val="006F7FF2"/>
    <w:rsid w:val="00700AC9"/>
    <w:rsid w:val="00701282"/>
    <w:rsid w:val="00701722"/>
    <w:rsid w:val="00703299"/>
    <w:rsid w:val="00703C64"/>
    <w:rsid w:val="00704B0E"/>
    <w:rsid w:val="00707C3E"/>
    <w:rsid w:val="0071072C"/>
    <w:rsid w:val="00711669"/>
    <w:rsid w:val="00711A50"/>
    <w:rsid w:val="00712CE2"/>
    <w:rsid w:val="007133AB"/>
    <w:rsid w:val="0071371E"/>
    <w:rsid w:val="00713AEA"/>
    <w:rsid w:val="00714F2C"/>
    <w:rsid w:val="00716460"/>
    <w:rsid w:val="00717898"/>
    <w:rsid w:val="0072041A"/>
    <w:rsid w:val="00720D19"/>
    <w:rsid w:val="00721002"/>
    <w:rsid w:val="00722111"/>
    <w:rsid w:val="00722495"/>
    <w:rsid w:val="00722B36"/>
    <w:rsid w:val="007249BA"/>
    <w:rsid w:val="00725118"/>
    <w:rsid w:val="00726AA8"/>
    <w:rsid w:val="00727EE4"/>
    <w:rsid w:val="0073188D"/>
    <w:rsid w:val="00731C5E"/>
    <w:rsid w:val="00732540"/>
    <w:rsid w:val="00732867"/>
    <w:rsid w:val="00732DCF"/>
    <w:rsid w:val="00733628"/>
    <w:rsid w:val="00735E42"/>
    <w:rsid w:val="007378C8"/>
    <w:rsid w:val="0074287F"/>
    <w:rsid w:val="0074437E"/>
    <w:rsid w:val="00745BD3"/>
    <w:rsid w:val="0074631B"/>
    <w:rsid w:val="007464E3"/>
    <w:rsid w:val="00750142"/>
    <w:rsid w:val="00750690"/>
    <w:rsid w:val="0075104C"/>
    <w:rsid w:val="0075170A"/>
    <w:rsid w:val="00751DD8"/>
    <w:rsid w:val="00751E8B"/>
    <w:rsid w:val="00755B45"/>
    <w:rsid w:val="00757C27"/>
    <w:rsid w:val="0076084A"/>
    <w:rsid w:val="00761563"/>
    <w:rsid w:val="0076230F"/>
    <w:rsid w:val="007639BE"/>
    <w:rsid w:val="00763AE8"/>
    <w:rsid w:val="0076463C"/>
    <w:rsid w:val="00765C12"/>
    <w:rsid w:val="00766D96"/>
    <w:rsid w:val="00767BD9"/>
    <w:rsid w:val="00770467"/>
    <w:rsid w:val="00770A6D"/>
    <w:rsid w:val="0077217F"/>
    <w:rsid w:val="0077288B"/>
    <w:rsid w:val="0077354D"/>
    <w:rsid w:val="00775D3A"/>
    <w:rsid w:val="00777103"/>
    <w:rsid w:val="00780289"/>
    <w:rsid w:val="0078250A"/>
    <w:rsid w:val="00782A39"/>
    <w:rsid w:val="00782FD5"/>
    <w:rsid w:val="0078374D"/>
    <w:rsid w:val="00786765"/>
    <w:rsid w:val="00787065"/>
    <w:rsid w:val="0079294D"/>
    <w:rsid w:val="007931A2"/>
    <w:rsid w:val="00793D4F"/>
    <w:rsid w:val="00795089"/>
    <w:rsid w:val="00795EDD"/>
    <w:rsid w:val="00796424"/>
    <w:rsid w:val="00796A15"/>
    <w:rsid w:val="00796ABF"/>
    <w:rsid w:val="00797092"/>
    <w:rsid w:val="007A1F39"/>
    <w:rsid w:val="007A2963"/>
    <w:rsid w:val="007A5E82"/>
    <w:rsid w:val="007A5ECA"/>
    <w:rsid w:val="007A6005"/>
    <w:rsid w:val="007A6EC8"/>
    <w:rsid w:val="007A7B5F"/>
    <w:rsid w:val="007B06C6"/>
    <w:rsid w:val="007B105D"/>
    <w:rsid w:val="007B1BB0"/>
    <w:rsid w:val="007B2624"/>
    <w:rsid w:val="007B278D"/>
    <w:rsid w:val="007B3646"/>
    <w:rsid w:val="007B47F2"/>
    <w:rsid w:val="007B5275"/>
    <w:rsid w:val="007B6797"/>
    <w:rsid w:val="007B6F00"/>
    <w:rsid w:val="007B70C4"/>
    <w:rsid w:val="007B784C"/>
    <w:rsid w:val="007B7C63"/>
    <w:rsid w:val="007B7F8C"/>
    <w:rsid w:val="007C11A7"/>
    <w:rsid w:val="007C152B"/>
    <w:rsid w:val="007C157E"/>
    <w:rsid w:val="007C2046"/>
    <w:rsid w:val="007C28A3"/>
    <w:rsid w:val="007C3399"/>
    <w:rsid w:val="007C5535"/>
    <w:rsid w:val="007C5D40"/>
    <w:rsid w:val="007C61B4"/>
    <w:rsid w:val="007C676A"/>
    <w:rsid w:val="007C69D8"/>
    <w:rsid w:val="007C7072"/>
    <w:rsid w:val="007D1CF0"/>
    <w:rsid w:val="007D2155"/>
    <w:rsid w:val="007D2924"/>
    <w:rsid w:val="007D35E5"/>
    <w:rsid w:val="007D36F3"/>
    <w:rsid w:val="007D45FF"/>
    <w:rsid w:val="007D6A8A"/>
    <w:rsid w:val="007D7613"/>
    <w:rsid w:val="007D77CF"/>
    <w:rsid w:val="007E05E2"/>
    <w:rsid w:val="007E1D09"/>
    <w:rsid w:val="007E21CC"/>
    <w:rsid w:val="007E2893"/>
    <w:rsid w:val="007E3974"/>
    <w:rsid w:val="007E52A5"/>
    <w:rsid w:val="007E61A5"/>
    <w:rsid w:val="007E754C"/>
    <w:rsid w:val="007E766D"/>
    <w:rsid w:val="007F086C"/>
    <w:rsid w:val="007F2BF7"/>
    <w:rsid w:val="007F2D66"/>
    <w:rsid w:val="007F3BFD"/>
    <w:rsid w:val="007F3DEA"/>
    <w:rsid w:val="007F508E"/>
    <w:rsid w:val="007F50A8"/>
    <w:rsid w:val="007F57C6"/>
    <w:rsid w:val="007F5826"/>
    <w:rsid w:val="007F5D2C"/>
    <w:rsid w:val="007F6595"/>
    <w:rsid w:val="007F7404"/>
    <w:rsid w:val="007F75D2"/>
    <w:rsid w:val="00800A1E"/>
    <w:rsid w:val="00800F93"/>
    <w:rsid w:val="00804146"/>
    <w:rsid w:val="00804AB7"/>
    <w:rsid w:val="008051C3"/>
    <w:rsid w:val="008052A4"/>
    <w:rsid w:val="008052DF"/>
    <w:rsid w:val="008058DA"/>
    <w:rsid w:val="008069D2"/>
    <w:rsid w:val="00812BA1"/>
    <w:rsid w:val="00812BFB"/>
    <w:rsid w:val="008131B4"/>
    <w:rsid w:val="00813D72"/>
    <w:rsid w:val="00817133"/>
    <w:rsid w:val="00821C57"/>
    <w:rsid w:val="00822166"/>
    <w:rsid w:val="00822CE8"/>
    <w:rsid w:val="00823034"/>
    <w:rsid w:val="008230D7"/>
    <w:rsid w:val="00823743"/>
    <w:rsid w:val="00824ED9"/>
    <w:rsid w:val="0082589D"/>
    <w:rsid w:val="00825FBF"/>
    <w:rsid w:val="008320BE"/>
    <w:rsid w:val="008333EA"/>
    <w:rsid w:val="00833CD1"/>
    <w:rsid w:val="00836B1D"/>
    <w:rsid w:val="00840121"/>
    <w:rsid w:val="00840471"/>
    <w:rsid w:val="0084363B"/>
    <w:rsid w:val="00845469"/>
    <w:rsid w:val="00845A53"/>
    <w:rsid w:val="00846137"/>
    <w:rsid w:val="00846E2F"/>
    <w:rsid w:val="00850227"/>
    <w:rsid w:val="00851E7C"/>
    <w:rsid w:val="00853458"/>
    <w:rsid w:val="00853A3B"/>
    <w:rsid w:val="00854F89"/>
    <w:rsid w:val="00855574"/>
    <w:rsid w:val="00856DF0"/>
    <w:rsid w:val="0085717B"/>
    <w:rsid w:val="008604C9"/>
    <w:rsid w:val="00860DE7"/>
    <w:rsid w:val="00864A28"/>
    <w:rsid w:val="008662A8"/>
    <w:rsid w:val="00867624"/>
    <w:rsid w:val="00870CFD"/>
    <w:rsid w:val="00870DB1"/>
    <w:rsid w:val="00872E0D"/>
    <w:rsid w:val="00873EFF"/>
    <w:rsid w:val="00874E58"/>
    <w:rsid w:val="00875735"/>
    <w:rsid w:val="00875A69"/>
    <w:rsid w:val="00875E6F"/>
    <w:rsid w:val="0087625F"/>
    <w:rsid w:val="008765D9"/>
    <w:rsid w:val="00877253"/>
    <w:rsid w:val="00877472"/>
    <w:rsid w:val="00877F28"/>
    <w:rsid w:val="00877F48"/>
    <w:rsid w:val="00880A10"/>
    <w:rsid w:val="00881423"/>
    <w:rsid w:val="0088321D"/>
    <w:rsid w:val="0088397A"/>
    <w:rsid w:val="00884267"/>
    <w:rsid w:val="00884C67"/>
    <w:rsid w:val="00885A82"/>
    <w:rsid w:val="00885D76"/>
    <w:rsid w:val="0088623B"/>
    <w:rsid w:val="0088672F"/>
    <w:rsid w:val="00886E9F"/>
    <w:rsid w:val="0088706B"/>
    <w:rsid w:val="0088789A"/>
    <w:rsid w:val="00887947"/>
    <w:rsid w:val="0089053D"/>
    <w:rsid w:val="00891D95"/>
    <w:rsid w:val="008933AB"/>
    <w:rsid w:val="00897A03"/>
    <w:rsid w:val="008A00BF"/>
    <w:rsid w:val="008A1445"/>
    <w:rsid w:val="008A1B89"/>
    <w:rsid w:val="008A21C5"/>
    <w:rsid w:val="008A2D3E"/>
    <w:rsid w:val="008A3BA3"/>
    <w:rsid w:val="008A415C"/>
    <w:rsid w:val="008A5081"/>
    <w:rsid w:val="008B0E5B"/>
    <w:rsid w:val="008B179E"/>
    <w:rsid w:val="008B1C9B"/>
    <w:rsid w:val="008B3016"/>
    <w:rsid w:val="008B3A54"/>
    <w:rsid w:val="008B3A9C"/>
    <w:rsid w:val="008B3E93"/>
    <w:rsid w:val="008B4C9A"/>
    <w:rsid w:val="008B6E7C"/>
    <w:rsid w:val="008B7357"/>
    <w:rsid w:val="008B799B"/>
    <w:rsid w:val="008C3315"/>
    <w:rsid w:val="008C3943"/>
    <w:rsid w:val="008C396C"/>
    <w:rsid w:val="008C4C0F"/>
    <w:rsid w:val="008C6B06"/>
    <w:rsid w:val="008D13EB"/>
    <w:rsid w:val="008D5C27"/>
    <w:rsid w:val="008D692F"/>
    <w:rsid w:val="008E0585"/>
    <w:rsid w:val="008E0881"/>
    <w:rsid w:val="008E176C"/>
    <w:rsid w:val="008E4AB6"/>
    <w:rsid w:val="008E684B"/>
    <w:rsid w:val="008E6AB7"/>
    <w:rsid w:val="008E70C9"/>
    <w:rsid w:val="008F03B0"/>
    <w:rsid w:val="008F1441"/>
    <w:rsid w:val="008F1754"/>
    <w:rsid w:val="008F1B23"/>
    <w:rsid w:val="008F1FE8"/>
    <w:rsid w:val="008F25FA"/>
    <w:rsid w:val="008F2E66"/>
    <w:rsid w:val="008F30A9"/>
    <w:rsid w:val="008F471D"/>
    <w:rsid w:val="008F6075"/>
    <w:rsid w:val="008F7CE5"/>
    <w:rsid w:val="0090193B"/>
    <w:rsid w:val="00903583"/>
    <w:rsid w:val="0090370D"/>
    <w:rsid w:val="0090540A"/>
    <w:rsid w:val="0090595D"/>
    <w:rsid w:val="00905974"/>
    <w:rsid w:val="00910A78"/>
    <w:rsid w:val="0091175D"/>
    <w:rsid w:val="00912432"/>
    <w:rsid w:val="0091447E"/>
    <w:rsid w:val="00914781"/>
    <w:rsid w:val="009153B0"/>
    <w:rsid w:val="009161CE"/>
    <w:rsid w:val="0091665C"/>
    <w:rsid w:val="00917745"/>
    <w:rsid w:val="0091774E"/>
    <w:rsid w:val="00917EC0"/>
    <w:rsid w:val="009200E9"/>
    <w:rsid w:val="0092037B"/>
    <w:rsid w:val="00920811"/>
    <w:rsid w:val="0092383F"/>
    <w:rsid w:val="00924566"/>
    <w:rsid w:val="00924964"/>
    <w:rsid w:val="00925993"/>
    <w:rsid w:val="00925C29"/>
    <w:rsid w:val="00926EE2"/>
    <w:rsid w:val="0093011F"/>
    <w:rsid w:val="00930662"/>
    <w:rsid w:val="00930D40"/>
    <w:rsid w:val="009324EB"/>
    <w:rsid w:val="00932827"/>
    <w:rsid w:val="00933226"/>
    <w:rsid w:val="00933B37"/>
    <w:rsid w:val="00934055"/>
    <w:rsid w:val="00936ABF"/>
    <w:rsid w:val="00936BAB"/>
    <w:rsid w:val="00940EB5"/>
    <w:rsid w:val="00941744"/>
    <w:rsid w:val="00941ADA"/>
    <w:rsid w:val="00941EA3"/>
    <w:rsid w:val="009425D1"/>
    <w:rsid w:val="009439C3"/>
    <w:rsid w:val="00944BCB"/>
    <w:rsid w:val="00945689"/>
    <w:rsid w:val="00946208"/>
    <w:rsid w:val="00947C44"/>
    <w:rsid w:val="00947DCF"/>
    <w:rsid w:val="00951643"/>
    <w:rsid w:val="00953D97"/>
    <w:rsid w:val="00955BC4"/>
    <w:rsid w:val="009569BA"/>
    <w:rsid w:val="00956A57"/>
    <w:rsid w:val="009571DB"/>
    <w:rsid w:val="00957E9E"/>
    <w:rsid w:val="0096041D"/>
    <w:rsid w:val="00960573"/>
    <w:rsid w:val="00961F83"/>
    <w:rsid w:val="00963708"/>
    <w:rsid w:val="009656A6"/>
    <w:rsid w:val="00966260"/>
    <w:rsid w:val="00967406"/>
    <w:rsid w:val="00971E00"/>
    <w:rsid w:val="0097270B"/>
    <w:rsid w:val="00972777"/>
    <w:rsid w:val="00972BD5"/>
    <w:rsid w:val="009738D3"/>
    <w:rsid w:val="0097498A"/>
    <w:rsid w:val="00974DF7"/>
    <w:rsid w:val="00976102"/>
    <w:rsid w:val="009763FB"/>
    <w:rsid w:val="00977848"/>
    <w:rsid w:val="0098148E"/>
    <w:rsid w:val="00981DEA"/>
    <w:rsid w:val="00985534"/>
    <w:rsid w:val="00985F3C"/>
    <w:rsid w:val="0098605A"/>
    <w:rsid w:val="00986B14"/>
    <w:rsid w:val="00987220"/>
    <w:rsid w:val="0098747B"/>
    <w:rsid w:val="00987FAA"/>
    <w:rsid w:val="0099059A"/>
    <w:rsid w:val="009920C3"/>
    <w:rsid w:val="0099280D"/>
    <w:rsid w:val="009928BB"/>
    <w:rsid w:val="00993736"/>
    <w:rsid w:val="00996A25"/>
    <w:rsid w:val="0099755F"/>
    <w:rsid w:val="009A05B6"/>
    <w:rsid w:val="009A080B"/>
    <w:rsid w:val="009A0CE1"/>
    <w:rsid w:val="009A19BD"/>
    <w:rsid w:val="009A1F07"/>
    <w:rsid w:val="009A27DE"/>
    <w:rsid w:val="009A3032"/>
    <w:rsid w:val="009A32B7"/>
    <w:rsid w:val="009A32C7"/>
    <w:rsid w:val="009A4896"/>
    <w:rsid w:val="009B0E38"/>
    <w:rsid w:val="009B2202"/>
    <w:rsid w:val="009B3F6C"/>
    <w:rsid w:val="009B4A5D"/>
    <w:rsid w:val="009B53C6"/>
    <w:rsid w:val="009B5B17"/>
    <w:rsid w:val="009B5BC3"/>
    <w:rsid w:val="009B66EF"/>
    <w:rsid w:val="009B7782"/>
    <w:rsid w:val="009C0B86"/>
    <w:rsid w:val="009C11F4"/>
    <w:rsid w:val="009C15BC"/>
    <w:rsid w:val="009C1BDC"/>
    <w:rsid w:val="009C3011"/>
    <w:rsid w:val="009C47EB"/>
    <w:rsid w:val="009C6459"/>
    <w:rsid w:val="009C77F2"/>
    <w:rsid w:val="009D00C3"/>
    <w:rsid w:val="009D049E"/>
    <w:rsid w:val="009D0E58"/>
    <w:rsid w:val="009D2F82"/>
    <w:rsid w:val="009D7DC2"/>
    <w:rsid w:val="009E0E01"/>
    <w:rsid w:val="009E0E2A"/>
    <w:rsid w:val="009E158B"/>
    <w:rsid w:val="009E1623"/>
    <w:rsid w:val="009E35F3"/>
    <w:rsid w:val="009E67CB"/>
    <w:rsid w:val="009F00A5"/>
    <w:rsid w:val="009F1CF6"/>
    <w:rsid w:val="009F4A32"/>
    <w:rsid w:val="00A00E87"/>
    <w:rsid w:val="00A010B5"/>
    <w:rsid w:val="00A03786"/>
    <w:rsid w:val="00A03926"/>
    <w:rsid w:val="00A03ED5"/>
    <w:rsid w:val="00A04061"/>
    <w:rsid w:val="00A0641C"/>
    <w:rsid w:val="00A06CE7"/>
    <w:rsid w:val="00A072CC"/>
    <w:rsid w:val="00A07735"/>
    <w:rsid w:val="00A10157"/>
    <w:rsid w:val="00A10B1A"/>
    <w:rsid w:val="00A11AA2"/>
    <w:rsid w:val="00A11C67"/>
    <w:rsid w:val="00A1303D"/>
    <w:rsid w:val="00A13DB3"/>
    <w:rsid w:val="00A14721"/>
    <w:rsid w:val="00A148D9"/>
    <w:rsid w:val="00A1671D"/>
    <w:rsid w:val="00A16DE0"/>
    <w:rsid w:val="00A17650"/>
    <w:rsid w:val="00A17857"/>
    <w:rsid w:val="00A206FE"/>
    <w:rsid w:val="00A209C7"/>
    <w:rsid w:val="00A20F48"/>
    <w:rsid w:val="00A214E5"/>
    <w:rsid w:val="00A21DD0"/>
    <w:rsid w:val="00A22020"/>
    <w:rsid w:val="00A22216"/>
    <w:rsid w:val="00A240FF"/>
    <w:rsid w:val="00A24465"/>
    <w:rsid w:val="00A2494B"/>
    <w:rsid w:val="00A262D9"/>
    <w:rsid w:val="00A27178"/>
    <w:rsid w:val="00A273CE"/>
    <w:rsid w:val="00A2787E"/>
    <w:rsid w:val="00A30EDE"/>
    <w:rsid w:val="00A3155D"/>
    <w:rsid w:val="00A32208"/>
    <w:rsid w:val="00A333D5"/>
    <w:rsid w:val="00A35F5C"/>
    <w:rsid w:val="00A367E6"/>
    <w:rsid w:val="00A374FC"/>
    <w:rsid w:val="00A40E58"/>
    <w:rsid w:val="00A4220D"/>
    <w:rsid w:val="00A4281E"/>
    <w:rsid w:val="00A4340C"/>
    <w:rsid w:val="00A43F86"/>
    <w:rsid w:val="00A44892"/>
    <w:rsid w:val="00A448BA"/>
    <w:rsid w:val="00A44914"/>
    <w:rsid w:val="00A46940"/>
    <w:rsid w:val="00A50A31"/>
    <w:rsid w:val="00A51077"/>
    <w:rsid w:val="00A52632"/>
    <w:rsid w:val="00A52A6E"/>
    <w:rsid w:val="00A53216"/>
    <w:rsid w:val="00A54DBB"/>
    <w:rsid w:val="00A553E9"/>
    <w:rsid w:val="00A55AE3"/>
    <w:rsid w:val="00A57782"/>
    <w:rsid w:val="00A57FC8"/>
    <w:rsid w:val="00A60C6B"/>
    <w:rsid w:val="00A61CF9"/>
    <w:rsid w:val="00A62F66"/>
    <w:rsid w:val="00A6300E"/>
    <w:rsid w:val="00A64AE5"/>
    <w:rsid w:val="00A65BF3"/>
    <w:rsid w:val="00A7047C"/>
    <w:rsid w:val="00A72B59"/>
    <w:rsid w:val="00A73D72"/>
    <w:rsid w:val="00A73F09"/>
    <w:rsid w:val="00A74066"/>
    <w:rsid w:val="00A745BC"/>
    <w:rsid w:val="00A754EB"/>
    <w:rsid w:val="00A77179"/>
    <w:rsid w:val="00A8093A"/>
    <w:rsid w:val="00A82598"/>
    <w:rsid w:val="00A82F0E"/>
    <w:rsid w:val="00A83C1A"/>
    <w:rsid w:val="00A843B7"/>
    <w:rsid w:val="00A84E54"/>
    <w:rsid w:val="00A8552D"/>
    <w:rsid w:val="00A865CE"/>
    <w:rsid w:val="00A86C91"/>
    <w:rsid w:val="00A87826"/>
    <w:rsid w:val="00A87B93"/>
    <w:rsid w:val="00A9118A"/>
    <w:rsid w:val="00A91526"/>
    <w:rsid w:val="00A92AD1"/>
    <w:rsid w:val="00A93739"/>
    <w:rsid w:val="00A964B8"/>
    <w:rsid w:val="00A97818"/>
    <w:rsid w:val="00A97848"/>
    <w:rsid w:val="00AA0101"/>
    <w:rsid w:val="00AA1519"/>
    <w:rsid w:val="00AA1E0E"/>
    <w:rsid w:val="00AA20CA"/>
    <w:rsid w:val="00AA3B9F"/>
    <w:rsid w:val="00AA4CB9"/>
    <w:rsid w:val="00AA4EB5"/>
    <w:rsid w:val="00AA50D0"/>
    <w:rsid w:val="00AA6437"/>
    <w:rsid w:val="00AA6C74"/>
    <w:rsid w:val="00AB0590"/>
    <w:rsid w:val="00AB2CF1"/>
    <w:rsid w:val="00AB31AC"/>
    <w:rsid w:val="00AB4028"/>
    <w:rsid w:val="00AB52CE"/>
    <w:rsid w:val="00AB7028"/>
    <w:rsid w:val="00AB7390"/>
    <w:rsid w:val="00AB7A01"/>
    <w:rsid w:val="00AC0047"/>
    <w:rsid w:val="00AC3383"/>
    <w:rsid w:val="00AC43FD"/>
    <w:rsid w:val="00AC630A"/>
    <w:rsid w:val="00AC77D8"/>
    <w:rsid w:val="00AC7F2B"/>
    <w:rsid w:val="00AD0BEF"/>
    <w:rsid w:val="00AD27A3"/>
    <w:rsid w:val="00AD4B21"/>
    <w:rsid w:val="00AD65B8"/>
    <w:rsid w:val="00AE09D2"/>
    <w:rsid w:val="00AE270D"/>
    <w:rsid w:val="00AE2F32"/>
    <w:rsid w:val="00AF12DE"/>
    <w:rsid w:val="00AF1EE9"/>
    <w:rsid w:val="00AF2C6A"/>
    <w:rsid w:val="00AF3E93"/>
    <w:rsid w:val="00AF4A28"/>
    <w:rsid w:val="00AF69B7"/>
    <w:rsid w:val="00AF6CD7"/>
    <w:rsid w:val="00B0165C"/>
    <w:rsid w:val="00B01E1E"/>
    <w:rsid w:val="00B03094"/>
    <w:rsid w:val="00B054D3"/>
    <w:rsid w:val="00B05916"/>
    <w:rsid w:val="00B10412"/>
    <w:rsid w:val="00B107F4"/>
    <w:rsid w:val="00B10F14"/>
    <w:rsid w:val="00B12659"/>
    <w:rsid w:val="00B12E9D"/>
    <w:rsid w:val="00B1554E"/>
    <w:rsid w:val="00B156E3"/>
    <w:rsid w:val="00B1576B"/>
    <w:rsid w:val="00B1639D"/>
    <w:rsid w:val="00B1772B"/>
    <w:rsid w:val="00B17ABB"/>
    <w:rsid w:val="00B20EC1"/>
    <w:rsid w:val="00B2145A"/>
    <w:rsid w:val="00B21FE3"/>
    <w:rsid w:val="00B224E6"/>
    <w:rsid w:val="00B22776"/>
    <w:rsid w:val="00B230FC"/>
    <w:rsid w:val="00B23642"/>
    <w:rsid w:val="00B23C8C"/>
    <w:rsid w:val="00B30C1F"/>
    <w:rsid w:val="00B30EB1"/>
    <w:rsid w:val="00B31DF9"/>
    <w:rsid w:val="00B31EEF"/>
    <w:rsid w:val="00B337E0"/>
    <w:rsid w:val="00B346AE"/>
    <w:rsid w:val="00B35F02"/>
    <w:rsid w:val="00B36679"/>
    <w:rsid w:val="00B36DCD"/>
    <w:rsid w:val="00B401EE"/>
    <w:rsid w:val="00B41C33"/>
    <w:rsid w:val="00B426C3"/>
    <w:rsid w:val="00B4355D"/>
    <w:rsid w:val="00B43F20"/>
    <w:rsid w:val="00B44317"/>
    <w:rsid w:val="00B446F3"/>
    <w:rsid w:val="00B44768"/>
    <w:rsid w:val="00B45958"/>
    <w:rsid w:val="00B46251"/>
    <w:rsid w:val="00B46A91"/>
    <w:rsid w:val="00B4744D"/>
    <w:rsid w:val="00B476B4"/>
    <w:rsid w:val="00B4789B"/>
    <w:rsid w:val="00B50AFB"/>
    <w:rsid w:val="00B51C49"/>
    <w:rsid w:val="00B51E40"/>
    <w:rsid w:val="00B5280F"/>
    <w:rsid w:val="00B529DB"/>
    <w:rsid w:val="00B539BE"/>
    <w:rsid w:val="00B559B9"/>
    <w:rsid w:val="00B55B0F"/>
    <w:rsid w:val="00B55BE1"/>
    <w:rsid w:val="00B55DCA"/>
    <w:rsid w:val="00B56FE1"/>
    <w:rsid w:val="00B57373"/>
    <w:rsid w:val="00B60126"/>
    <w:rsid w:val="00B62445"/>
    <w:rsid w:val="00B6301D"/>
    <w:rsid w:val="00B631C4"/>
    <w:rsid w:val="00B63628"/>
    <w:rsid w:val="00B651D4"/>
    <w:rsid w:val="00B66797"/>
    <w:rsid w:val="00B731DD"/>
    <w:rsid w:val="00B73403"/>
    <w:rsid w:val="00B74353"/>
    <w:rsid w:val="00B76026"/>
    <w:rsid w:val="00B77F0C"/>
    <w:rsid w:val="00B77F33"/>
    <w:rsid w:val="00B805D4"/>
    <w:rsid w:val="00B80E5A"/>
    <w:rsid w:val="00B81062"/>
    <w:rsid w:val="00B86C16"/>
    <w:rsid w:val="00B91E02"/>
    <w:rsid w:val="00B92466"/>
    <w:rsid w:val="00B927E3"/>
    <w:rsid w:val="00B9414B"/>
    <w:rsid w:val="00B94777"/>
    <w:rsid w:val="00B95643"/>
    <w:rsid w:val="00B95B8F"/>
    <w:rsid w:val="00B95D34"/>
    <w:rsid w:val="00B96052"/>
    <w:rsid w:val="00B9686D"/>
    <w:rsid w:val="00B97410"/>
    <w:rsid w:val="00B979A3"/>
    <w:rsid w:val="00BA03CE"/>
    <w:rsid w:val="00BA05B0"/>
    <w:rsid w:val="00BA08DE"/>
    <w:rsid w:val="00BA32A3"/>
    <w:rsid w:val="00BA371E"/>
    <w:rsid w:val="00BA3B99"/>
    <w:rsid w:val="00BA517E"/>
    <w:rsid w:val="00BA537A"/>
    <w:rsid w:val="00BA70F2"/>
    <w:rsid w:val="00BB2364"/>
    <w:rsid w:val="00BB2CF3"/>
    <w:rsid w:val="00BB334D"/>
    <w:rsid w:val="00BB3B84"/>
    <w:rsid w:val="00BB5D7C"/>
    <w:rsid w:val="00BB6DDD"/>
    <w:rsid w:val="00BC03B1"/>
    <w:rsid w:val="00BC060E"/>
    <w:rsid w:val="00BC1D30"/>
    <w:rsid w:val="00BC235D"/>
    <w:rsid w:val="00BC28E2"/>
    <w:rsid w:val="00BC28F4"/>
    <w:rsid w:val="00BC2C3B"/>
    <w:rsid w:val="00BC5E73"/>
    <w:rsid w:val="00BC7302"/>
    <w:rsid w:val="00BD06CF"/>
    <w:rsid w:val="00BD3618"/>
    <w:rsid w:val="00BD3831"/>
    <w:rsid w:val="00BD6ECC"/>
    <w:rsid w:val="00BE0366"/>
    <w:rsid w:val="00BE0FF5"/>
    <w:rsid w:val="00BE2007"/>
    <w:rsid w:val="00BE2B94"/>
    <w:rsid w:val="00BE2FF6"/>
    <w:rsid w:val="00BE3573"/>
    <w:rsid w:val="00BE54AF"/>
    <w:rsid w:val="00BE6191"/>
    <w:rsid w:val="00BE78CD"/>
    <w:rsid w:val="00BF0C06"/>
    <w:rsid w:val="00BF0CAE"/>
    <w:rsid w:val="00BF5711"/>
    <w:rsid w:val="00BF5CFA"/>
    <w:rsid w:val="00C000EC"/>
    <w:rsid w:val="00C01778"/>
    <w:rsid w:val="00C01A85"/>
    <w:rsid w:val="00C01F79"/>
    <w:rsid w:val="00C02F8D"/>
    <w:rsid w:val="00C03356"/>
    <w:rsid w:val="00C04909"/>
    <w:rsid w:val="00C05D64"/>
    <w:rsid w:val="00C062A5"/>
    <w:rsid w:val="00C07D36"/>
    <w:rsid w:val="00C1247B"/>
    <w:rsid w:val="00C1289A"/>
    <w:rsid w:val="00C12FD1"/>
    <w:rsid w:val="00C13245"/>
    <w:rsid w:val="00C13340"/>
    <w:rsid w:val="00C143EE"/>
    <w:rsid w:val="00C15BD5"/>
    <w:rsid w:val="00C17780"/>
    <w:rsid w:val="00C17D4A"/>
    <w:rsid w:val="00C22F52"/>
    <w:rsid w:val="00C254E5"/>
    <w:rsid w:val="00C30106"/>
    <w:rsid w:val="00C308B8"/>
    <w:rsid w:val="00C331F5"/>
    <w:rsid w:val="00C33816"/>
    <w:rsid w:val="00C33F61"/>
    <w:rsid w:val="00C35C32"/>
    <w:rsid w:val="00C367C6"/>
    <w:rsid w:val="00C3687F"/>
    <w:rsid w:val="00C36D30"/>
    <w:rsid w:val="00C3724B"/>
    <w:rsid w:val="00C37878"/>
    <w:rsid w:val="00C3791A"/>
    <w:rsid w:val="00C40181"/>
    <w:rsid w:val="00C40710"/>
    <w:rsid w:val="00C412DC"/>
    <w:rsid w:val="00C446EC"/>
    <w:rsid w:val="00C4484F"/>
    <w:rsid w:val="00C450FB"/>
    <w:rsid w:val="00C47946"/>
    <w:rsid w:val="00C501DE"/>
    <w:rsid w:val="00C50B8D"/>
    <w:rsid w:val="00C5234E"/>
    <w:rsid w:val="00C528B5"/>
    <w:rsid w:val="00C53082"/>
    <w:rsid w:val="00C55C52"/>
    <w:rsid w:val="00C5640E"/>
    <w:rsid w:val="00C57243"/>
    <w:rsid w:val="00C61F46"/>
    <w:rsid w:val="00C620B6"/>
    <w:rsid w:val="00C620FA"/>
    <w:rsid w:val="00C623F7"/>
    <w:rsid w:val="00C627C6"/>
    <w:rsid w:val="00C63D4E"/>
    <w:rsid w:val="00C64B20"/>
    <w:rsid w:val="00C650B9"/>
    <w:rsid w:val="00C711B5"/>
    <w:rsid w:val="00C711D6"/>
    <w:rsid w:val="00C7462B"/>
    <w:rsid w:val="00C77121"/>
    <w:rsid w:val="00C77367"/>
    <w:rsid w:val="00C77851"/>
    <w:rsid w:val="00C81DB3"/>
    <w:rsid w:val="00C82369"/>
    <w:rsid w:val="00C842EA"/>
    <w:rsid w:val="00C85C5D"/>
    <w:rsid w:val="00C85DEA"/>
    <w:rsid w:val="00C87607"/>
    <w:rsid w:val="00C87645"/>
    <w:rsid w:val="00C90F31"/>
    <w:rsid w:val="00C91537"/>
    <w:rsid w:val="00C91658"/>
    <w:rsid w:val="00C92969"/>
    <w:rsid w:val="00C92B1B"/>
    <w:rsid w:val="00C9379C"/>
    <w:rsid w:val="00C93AD6"/>
    <w:rsid w:val="00C94012"/>
    <w:rsid w:val="00C9429C"/>
    <w:rsid w:val="00C947BB"/>
    <w:rsid w:val="00C952F6"/>
    <w:rsid w:val="00C95317"/>
    <w:rsid w:val="00C9541E"/>
    <w:rsid w:val="00C95A86"/>
    <w:rsid w:val="00C97654"/>
    <w:rsid w:val="00C97A5C"/>
    <w:rsid w:val="00C97B35"/>
    <w:rsid w:val="00CA0478"/>
    <w:rsid w:val="00CA04C4"/>
    <w:rsid w:val="00CA1116"/>
    <w:rsid w:val="00CA31B0"/>
    <w:rsid w:val="00CA479E"/>
    <w:rsid w:val="00CA679E"/>
    <w:rsid w:val="00CA67D5"/>
    <w:rsid w:val="00CA6A4C"/>
    <w:rsid w:val="00CA6D7E"/>
    <w:rsid w:val="00CB1822"/>
    <w:rsid w:val="00CB225B"/>
    <w:rsid w:val="00CB2A34"/>
    <w:rsid w:val="00CB3F41"/>
    <w:rsid w:val="00CB44F0"/>
    <w:rsid w:val="00CB4FF4"/>
    <w:rsid w:val="00CB504D"/>
    <w:rsid w:val="00CB5D0D"/>
    <w:rsid w:val="00CB69B4"/>
    <w:rsid w:val="00CB6DA4"/>
    <w:rsid w:val="00CB7EF1"/>
    <w:rsid w:val="00CC0D2C"/>
    <w:rsid w:val="00CC12C4"/>
    <w:rsid w:val="00CC16E1"/>
    <w:rsid w:val="00CC481D"/>
    <w:rsid w:val="00CC5195"/>
    <w:rsid w:val="00CC529F"/>
    <w:rsid w:val="00CC55C3"/>
    <w:rsid w:val="00CC627E"/>
    <w:rsid w:val="00CC6815"/>
    <w:rsid w:val="00CC6944"/>
    <w:rsid w:val="00CC6D5B"/>
    <w:rsid w:val="00CD03A7"/>
    <w:rsid w:val="00CD0C47"/>
    <w:rsid w:val="00CD0D27"/>
    <w:rsid w:val="00CD1544"/>
    <w:rsid w:val="00CD2562"/>
    <w:rsid w:val="00CD2D6A"/>
    <w:rsid w:val="00CD3444"/>
    <w:rsid w:val="00CD4D50"/>
    <w:rsid w:val="00CD590D"/>
    <w:rsid w:val="00CD6EA6"/>
    <w:rsid w:val="00CD7023"/>
    <w:rsid w:val="00CE0DCF"/>
    <w:rsid w:val="00CE10AE"/>
    <w:rsid w:val="00CE3D8D"/>
    <w:rsid w:val="00CE52E9"/>
    <w:rsid w:val="00CE6D4B"/>
    <w:rsid w:val="00CF172D"/>
    <w:rsid w:val="00CF1A2E"/>
    <w:rsid w:val="00CF3B9B"/>
    <w:rsid w:val="00CF4B74"/>
    <w:rsid w:val="00CF4BC9"/>
    <w:rsid w:val="00CF5749"/>
    <w:rsid w:val="00CF5A1C"/>
    <w:rsid w:val="00CF7B14"/>
    <w:rsid w:val="00D01384"/>
    <w:rsid w:val="00D033E3"/>
    <w:rsid w:val="00D03FF9"/>
    <w:rsid w:val="00D07129"/>
    <w:rsid w:val="00D076C6"/>
    <w:rsid w:val="00D11296"/>
    <w:rsid w:val="00D1164E"/>
    <w:rsid w:val="00D12B7C"/>
    <w:rsid w:val="00D12EE3"/>
    <w:rsid w:val="00D12FE4"/>
    <w:rsid w:val="00D155CE"/>
    <w:rsid w:val="00D17912"/>
    <w:rsid w:val="00D201EF"/>
    <w:rsid w:val="00D20B1A"/>
    <w:rsid w:val="00D20D48"/>
    <w:rsid w:val="00D212C6"/>
    <w:rsid w:val="00D22424"/>
    <w:rsid w:val="00D2415E"/>
    <w:rsid w:val="00D25D18"/>
    <w:rsid w:val="00D26FC3"/>
    <w:rsid w:val="00D31007"/>
    <w:rsid w:val="00D32293"/>
    <w:rsid w:val="00D324E4"/>
    <w:rsid w:val="00D339EB"/>
    <w:rsid w:val="00D33C8C"/>
    <w:rsid w:val="00D34672"/>
    <w:rsid w:val="00D358C0"/>
    <w:rsid w:val="00D36F19"/>
    <w:rsid w:val="00D37A13"/>
    <w:rsid w:val="00D40493"/>
    <w:rsid w:val="00D41B86"/>
    <w:rsid w:val="00D41EBC"/>
    <w:rsid w:val="00D427F1"/>
    <w:rsid w:val="00D44881"/>
    <w:rsid w:val="00D45319"/>
    <w:rsid w:val="00D45BD6"/>
    <w:rsid w:val="00D50E48"/>
    <w:rsid w:val="00D518A6"/>
    <w:rsid w:val="00D5352C"/>
    <w:rsid w:val="00D55496"/>
    <w:rsid w:val="00D554A9"/>
    <w:rsid w:val="00D55A0D"/>
    <w:rsid w:val="00D55AD0"/>
    <w:rsid w:val="00D56D2A"/>
    <w:rsid w:val="00D60873"/>
    <w:rsid w:val="00D609D6"/>
    <w:rsid w:val="00D621ED"/>
    <w:rsid w:val="00D64A57"/>
    <w:rsid w:val="00D65EA2"/>
    <w:rsid w:val="00D660DE"/>
    <w:rsid w:val="00D66C55"/>
    <w:rsid w:val="00D70A67"/>
    <w:rsid w:val="00D71962"/>
    <w:rsid w:val="00D721AF"/>
    <w:rsid w:val="00D72605"/>
    <w:rsid w:val="00D726FE"/>
    <w:rsid w:val="00D73127"/>
    <w:rsid w:val="00D7339B"/>
    <w:rsid w:val="00D734FE"/>
    <w:rsid w:val="00D73AC1"/>
    <w:rsid w:val="00D74796"/>
    <w:rsid w:val="00D74937"/>
    <w:rsid w:val="00D752A5"/>
    <w:rsid w:val="00D77207"/>
    <w:rsid w:val="00D77518"/>
    <w:rsid w:val="00D80529"/>
    <w:rsid w:val="00D80851"/>
    <w:rsid w:val="00D82FC2"/>
    <w:rsid w:val="00D84CC8"/>
    <w:rsid w:val="00D8657A"/>
    <w:rsid w:val="00D868EF"/>
    <w:rsid w:val="00D904A7"/>
    <w:rsid w:val="00D9208D"/>
    <w:rsid w:val="00D9327A"/>
    <w:rsid w:val="00D951F7"/>
    <w:rsid w:val="00D9528F"/>
    <w:rsid w:val="00D96375"/>
    <w:rsid w:val="00D968D1"/>
    <w:rsid w:val="00D970A1"/>
    <w:rsid w:val="00D97315"/>
    <w:rsid w:val="00D9799F"/>
    <w:rsid w:val="00DA0092"/>
    <w:rsid w:val="00DA015B"/>
    <w:rsid w:val="00DA0DBB"/>
    <w:rsid w:val="00DA181A"/>
    <w:rsid w:val="00DA1ABF"/>
    <w:rsid w:val="00DA2AC1"/>
    <w:rsid w:val="00DA3446"/>
    <w:rsid w:val="00DA3E5A"/>
    <w:rsid w:val="00DA522C"/>
    <w:rsid w:val="00DA5C1A"/>
    <w:rsid w:val="00DA6011"/>
    <w:rsid w:val="00DB0BF0"/>
    <w:rsid w:val="00DB10C4"/>
    <w:rsid w:val="00DB1264"/>
    <w:rsid w:val="00DB1308"/>
    <w:rsid w:val="00DB2DE8"/>
    <w:rsid w:val="00DB40DE"/>
    <w:rsid w:val="00DB4E15"/>
    <w:rsid w:val="00DB58F0"/>
    <w:rsid w:val="00DB59CC"/>
    <w:rsid w:val="00DB5D7C"/>
    <w:rsid w:val="00DC038B"/>
    <w:rsid w:val="00DC0EB7"/>
    <w:rsid w:val="00DC17BE"/>
    <w:rsid w:val="00DC2D96"/>
    <w:rsid w:val="00DC2EE9"/>
    <w:rsid w:val="00DC373A"/>
    <w:rsid w:val="00DC3BB6"/>
    <w:rsid w:val="00DD171D"/>
    <w:rsid w:val="00DD2977"/>
    <w:rsid w:val="00DD3553"/>
    <w:rsid w:val="00DD36DB"/>
    <w:rsid w:val="00DD38B5"/>
    <w:rsid w:val="00DD3A6C"/>
    <w:rsid w:val="00DD46CE"/>
    <w:rsid w:val="00DD5439"/>
    <w:rsid w:val="00DD56AE"/>
    <w:rsid w:val="00DD5CEF"/>
    <w:rsid w:val="00DD67FC"/>
    <w:rsid w:val="00DD7822"/>
    <w:rsid w:val="00DD79CD"/>
    <w:rsid w:val="00DD7AA5"/>
    <w:rsid w:val="00DE2A91"/>
    <w:rsid w:val="00DE55E3"/>
    <w:rsid w:val="00DE626B"/>
    <w:rsid w:val="00DE6981"/>
    <w:rsid w:val="00DE74C8"/>
    <w:rsid w:val="00DE7C8F"/>
    <w:rsid w:val="00DF08AE"/>
    <w:rsid w:val="00DF0E2A"/>
    <w:rsid w:val="00DF3348"/>
    <w:rsid w:val="00DF492F"/>
    <w:rsid w:val="00DF53CE"/>
    <w:rsid w:val="00DF5B36"/>
    <w:rsid w:val="00DF6A0F"/>
    <w:rsid w:val="00DF70DA"/>
    <w:rsid w:val="00DF74BA"/>
    <w:rsid w:val="00DF7C72"/>
    <w:rsid w:val="00E00762"/>
    <w:rsid w:val="00E01D03"/>
    <w:rsid w:val="00E02045"/>
    <w:rsid w:val="00E04073"/>
    <w:rsid w:val="00E0471C"/>
    <w:rsid w:val="00E0538F"/>
    <w:rsid w:val="00E076C0"/>
    <w:rsid w:val="00E1031F"/>
    <w:rsid w:val="00E104FB"/>
    <w:rsid w:val="00E11D9C"/>
    <w:rsid w:val="00E1227C"/>
    <w:rsid w:val="00E15311"/>
    <w:rsid w:val="00E17071"/>
    <w:rsid w:val="00E1737A"/>
    <w:rsid w:val="00E20886"/>
    <w:rsid w:val="00E220D6"/>
    <w:rsid w:val="00E255F1"/>
    <w:rsid w:val="00E30073"/>
    <w:rsid w:val="00E306A8"/>
    <w:rsid w:val="00E326A4"/>
    <w:rsid w:val="00E329C0"/>
    <w:rsid w:val="00E33192"/>
    <w:rsid w:val="00E335F4"/>
    <w:rsid w:val="00E33D60"/>
    <w:rsid w:val="00E34DC8"/>
    <w:rsid w:val="00E351BD"/>
    <w:rsid w:val="00E36D6F"/>
    <w:rsid w:val="00E371C5"/>
    <w:rsid w:val="00E40CF6"/>
    <w:rsid w:val="00E41202"/>
    <w:rsid w:val="00E4121A"/>
    <w:rsid w:val="00E42E8F"/>
    <w:rsid w:val="00E430CF"/>
    <w:rsid w:val="00E4338F"/>
    <w:rsid w:val="00E439E8"/>
    <w:rsid w:val="00E43FA4"/>
    <w:rsid w:val="00E4487B"/>
    <w:rsid w:val="00E44D92"/>
    <w:rsid w:val="00E46EB0"/>
    <w:rsid w:val="00E47193"/>
    <w:rsid w:val="00E52C37"/>
    <w:rsid w:val="00E53D38"/>
    <w:rsid w:val="00E54237"/>
    <w:rsid w:val="00E5675A"/>
    <w:rsid w:val="00E572F4"/>
    <w:rsid w:val="00E57524"/>
    <w:rsid w:val="00E57838"/>
    <w:rsid w:val="00E60897"/>
    <w:rsid w:val="00E614D9"/>
    <w:rsid w:val="00E6277D"/>
    <w:rsid w:val="00E63B9D"/>
    <w:rsid w:val="00E64B0A"/>
    <w:rsid w:val="00E6577F"/>
    <w:rsid w:val="00E65DC9"/>
    <w:rsid w:val="00E65F1B"/>
    <w:rsid w:val="00E6781F"/>
    <w:rsid w:val="00E7020F"/>
    <w:rsid w:val="00E72EC2"/>
    <w:rsid w:val="00E73EFF"/>
    <w:rsid w:val="00E74730"/>
    <w:rsid w:val="00E77F57"/>
    <w:rsid w:val="00E8101D"/>
    <w:rsid w:val="00E814C5"/>
    <w:rsid w:val="00E815D5"/>
    <w:rsid w:val="00E81ADE"/>
    <w:rsid w:val="00E81B92"/>
    <w:rsid w:val="00E83614"/>
    <w:rsid w:val="00E837A5"/>
    <w:rsid w:val="00E8429E"/>
    <w:rsid w:val="00E843F0"/>
    <w:rsid w:val="00E85157"/>
    <w:rsid w:val="00E862E4"/>
    <w:rsid w:val="00E8678C"/>
    <w:rsid w:val="00E90A95"/>
    <w:rsid w:val="00E92209"/>
    <w:rsid w:val="00E92EA5"/>
    <w:rsid w:val="00E96863"/>
    <w:rsid w:val="00E976D3"/>
    <w:rsid w:val="00EA06E8"/>
    <w:rsid w:val="00EA16EA"/>
    <w:rsid w:val="00EA1AA9"/>
    <w:rsid w:val="00EA2429"/>
    <w:rsid w:val="00EA3DF2"/>
    <w:rsid w:val="00EA61D5"/>
    <w:rsid w:val="00EA6CAB"/>
    <w:rsid w:val="00EA6EC9"/>
    <w:rsid w:val="00EA782F"/>
    <w:rsid w:val="00EB0310"/>
    <w:rsid w:val="00EB076B"/>
    <w:rsid w:val="00EB1053"/>
    <w:rsid w:val="00EB2E14"/>
    <w:rsid w:val="00EB48C6"/>
    <w:rsid w:val="00EB4AF5"/>
    <w:rsid w:val="00EB5102"/>
    <w:rsid w:val="00EB554C"/>
    <w:rsid w:val="00EB59FE"/>
    <w:rsid w:val="00EB60BF"/>
    <w:rsid w:val="00EB71AB"/>
    <w:rsid w:val="00EB7AA5"/>
    <w:rsid w:val="00EC1FFE"/>
    <w:rsid w:val="00EC56D7"/>
    <w:rsid w:val="00EC7802"/>
    <w:rsid w:val="00ED1E96"/>
    <w:rsid w:val="00ED318F"/>
    <w:rsid w:val="00ED4310"/>
    <w:rsid w:val="00ED4B5C"/>
    <w:rsid w:val="00ED4C79"/>
    <w:rsid w:val="00ED597B"/>
    <w:rsid w:val="00ED6482"/>
    <w:rsid w:val="00ED7D7F"/>
    <w:rsid w:val="00EE3D2C"/>
    <w:rsid w:val="00EE3F16"/>
    <w:rsid w:val="00EE4976"/>
    <w:rsid w:val="00EE4C28"/>
    <w:rsid w:val="00EE540B"/>
    <w:rsid w:val="00EE74B3"/>
    <w:rsid w:val="00EE7527"/>
    <w:rsid w:val="00EE7C1E"/>
    <w:rsid w:val="00EF09E5"/>
    <w:rsid w:val="00EF0BAE"/>
    <w:rsid w:val="00EF0DB8"/>
    <w:rsid w:val="00EF2001"/>
    <w:rsid w:val="00EF33BC"/>
    <w:rsid w:val="00EF3CE1"/>
    <w:rsid w:val="00EF40BC"/>
    <w:rsid w:val="00EF47AF"/>
    <w:rsid w:val="00EF621B"/>
    <w:rsid w:val="00EF656B"/>
    <w:rsid w:val="00EF6A6B"/>
    <w:rsid w:val="00EF75DF"/>
    <w:rsid w:val="00F00B8A"/>
    <w:rsid w:val="00F01269"/>
    <w:rsid w:val="00F02133"/>
    <w:rsid w:val="00F02141"/>
    <w:rsid w:val="00F04688"/>
    <w:rsid w:val="00F04DA1"/>
    <w:rsid w:val="00F108F0"/>
    <w:rsid w:val="00F10AC4"/>
    <w:rsid w:val="00F12585"/>
    <w:rsid w:val="00F13398"/>
    <w:rsid w:val="00F1499A"/>
    <w:rsid w:val="00F15496"/>
    <w:rsid w:val="00F1712B"/>
    <w:rsid w:val="00F17E30"/>
    <w:rsid w:val="00F2138E"/>
    <w:rsid w:val="00F22D86"/>
    <w:rsid w:val="00F2367E"/>
    <w:rsid w:val="00F24833"/>
    <w:rsid w:val="00F2492F"/>
    <w:rsid w:val="00F26F33"/>
    <w:rsid w:val="00F3120B"/>
    <w:rsid w:val="00F325B2"/>
    <w:rsid w:val="00F334F8"/>
    <w:rsid w:val="00F34E0F"/>
    <w:rsid w:val="00F350EB"/>
    <w:rsid w:val="00F355D8"/>
    <w:rsid w:val="00F366ED"/>
    <w:rsid w:val="00F3783F"/>
    <w:rsid w:val="00F4022A"/>
    <w:rsid w:val="00F410CD"/>
    <w:rsid w:val="00F41197"/>
    <w:rsid w:val="00F44A93"/>
    <w:rsid w:val="00F45366"/>
    <w:rsid w:val="00F45F1F"/>
    <w:rsid w:val="00F4706C"/>
    <w:rsid w:val="00F47A59"/>
    <w:rsid w:val="00F50BF6"/>
    <w:rsid w:val="00F5174D"/>
    <w:rsid w:val="00F5197F"/>
    <w:rsid w:val="00F527F7"/>
    <w:rsid w:val="00F5371E"/>
    <w:rsid w:val="00F548D2"/>
    <w:rsid w:val="00F56184"/>
    <w:rsid w:val="00F564F4"/>
    <w:rsid w:val="00F57B2B"/>
    <w:rsid w:val="00F603FA"/>
    <w:rsid w:val="00F60B37"/>
    <w:rsid w:val="00F614DD"/>
    <w:rsid w:val="00F62DE9"/>
    <w:rsid w:val="00F63974"/>
    <w:rsid w:val="00F64031"/>
    <w:rsid w:val="00F640F9"/>
    <w:rsid w:val="00F66075"/>
    <w:rsid w:val="00F66AB4"/>
    <w:rsid w:val="00F676A1"/>
    <w:rsid w:val="00F71A38"/>
    <w:rsid w:val="00F72019"/>
    <w:rsid w:val="00F72A84"/>
    <w:rsid w:val="00F75299"/>
    <w:rsid w:val="00F75EE3"/>
    <w:rsid w:val="00F82429"/>
    <w:rsid w:val="00F82BB8"/>
    <w:rsid w:val="00F831A0"/>
    <w:rsid w:val="00F83527"/>
    <w:rsid w:val="00F836A5"/>
    <w:rsid w:val="00F837A6"/>
    <w:rsid w:val="00F840C8"/>
    <w:rsid w:val="00F85589"/>
    <w:rsid w:val="00F85E7F"/>
    <w:rsid w:val="00F85FE1"/>
    <w:rsid w:val="00F8672B"/>
    <w:rsid w:val="00F86972"/>
    <w:rsid w:val="00F86A5D"/>
    <w:rsid w:val="00F916C8"/>
    <w:rsid w:val="00F92F53"/>
    <w:rsid w:val="00F93BFF"/>
    <w:rsid w:val="00F94706"/>
    <w:rsid w:val="00F9498D"/>
    <w:rsid w:val="00F94A64"/>
    <w:rsid w:val="00F96462"/>
    <w:rsid w:val="00F966F1"/>
    <w:rsid w:val="00FA0F2B"/>
    <w:rsid w:val="00FA12BF"/>
    <w:rsid w:val="00FA2A94"/>
    <w:rsid w:val="00FA3174"/>
    <w:rsid w:val="00FA324D"/>
    <w:rsid w:val="00FA5597"/>
    <w:rsid w:val="00FA60E1"/>
    <w:rsid w:val="00FA7D5C"/>
    <w:rsid w:val="00FB0C51"/>
    <w:rsid w:val="00FB0E1E"/>
    <w:rsid w:val="00FB2760"/>
    <w:rsid w:val="00FB2D41"/>
    <w:rsid w:val="00FB3BFE"/>
    <w:rsid w:val="00FB49EE"/>
    <w:rsid w:val="00FB5154"/>
    <w:rsid w:val="00FB51F4"/>
    <w:rsid w:val="00FB5E15"/>
    <w:rsid w:val="00FB764B"/>
    <w:rsid w:val="00FB7B87"/>
    <w:rsid w:val="00FB7F68"/>
    <w:rsid w:val="00FC0190"/>
    <w:rsid w:val="00FC14BB"/>
    <w:rsid w:val="00FC2E67"/>
    <w:rsid w:val="00FC5367"/>
    <w:rsid w:val="00FC5522"/>
    <w:rsid w:val="00FC797C"/>
    <w:rsid w:val="00FD1A12"/>
    <w:rsid w:val="00FD1ED5"/>
    <w:rsid w:val="00FD203C"/>
    <w:rsid w:val="00FD2C7E"/>
    <w:rsid w:val="00FD39CD"/>
    <w:rsid w:val="00FD43BF"/>
    <w:rsid w:val="00FD4560"/>
    <w:rsid w:val="00FD46D6"/>
    <w:rsid w:val="00FD5220"/>
    <w:rsid w:val="00FD54D1"/>
    <w:rsid w:val="00FD5C8A"/>
    <w:rsid w:val="00FD67AA"/>
    <w:rsid w:val="00FD6CAA"/>
    <w:rsid w:val="00FD6E14"/>
    <w:rsid w:val="00FE0324"/>
    <w:rsid w:val="00FE0C04"/>
    <w:rsid w:val="00FE2E6A"/>
    <w:rsid w:val="00FE4ED8"/>
    <w:rsid w:val="00FE6340"/>
    <w:rsid w:val="00FE7B37"/>
    <w:rsid w:val="00FF3142"/>
    <w:rsid w:val="00FF390B"/>
    <w:rsid w:val="00FF66BE"/>
    <w:rsid w:val="00FF6791"/>
    <w:rsid w:val="00FF6C9D"/>
    <w:rsid w:val="00FF7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1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51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5154"/>
  </w:style>
  <w:style w:type="paragraph" w:styleId="Pieddepage">
    <w:name w:val="footer"/>
    <w:basedOn w:val="Normal"/>
    <w:link w:val="PieddepageCar"/>
    <w:uiPriority w:val="99"/>
    <w:unhideWhenUsed/>
    <w:rsid w:val="00FB5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154"/>
  </w:style>
  <w:style w:type="paragraph" w:styleId="Paragraphedeliste">
    <w:name w:val="List Paragraph"/>
    <w:basedOn w:val="Normal"/>
    <w:uiPriority w:val="34"/>
    <w:qFormat/>
    <w:rsid w:val="00FB51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1E40"/>
    <w:rPr>
      <w:color w:val="0000FF"/>
      <w:u w:val="single"/>
    </w:rPr>
  </w:style>
  <w:style w:type="character" w:customStyle="1" w:styleId="hps">
    <w:name w:val="hps"/>
    <w:basedOn w:val="Policepardfaut"/>
    <w:rsid w:val="009569BA"/>
  </w:style>
  <w:style w:type="table" w:styleId="Grilledutableau">
    <w:name w:val="Table Grid"/>
    <w:basedOn w:val="TableauNormal"/>
    <w:uiPriority w:val="59"/>
    <w:rsid w:val="00751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8361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autoTitleDeleted val="1"/>
    <c:plotArea>
      <c:layout>
        <c:manualLayout>
          <c:layoutTarget val="inner"/>
          <c:xMode val="edge"/>
          <c:yMode val="edge"/>
          <c:x val="4.8143843344697408E-2"/>
          <c:y val="2.4595010730041732E-2"/>
          <c:w val="0.9207670997981956"/>
          <c:h val="0.8446452704050309"/>
        </c:manualLayout>
      </c:layout>
      <c:barChart>
        <c:barDir val="col"/>
        <c:grouping val="clustered"/>
        <c:ser>
          <c:idx val="0"/>
          <c:order val="0"/>
          <c:tx>
            <c:strRef>
              <c:f>'tableau note ar'!$A$2</c:f>
              <c:strCache>
                <c:ptCount val="1"/>
                <c:pt idx="0">
                  <c:v>Indice de Confiance des Ménages</c:v>
                </c:pt>
              </c:strCache>
            </c:strRef>
          </c:tx>
          <c:dPt>
            <c:idx val="48"/>
            <c:spPr>
              <a:effectLst>
                <a:outerShdw blurRad="40000" dist="23000" dir="5400000" rotWithShape="0">
                  <a:schemeClr val="tx2">
                    <a:lumMod val="20000"/>
                    <a:lumOff val="80000"/>
                    <a:alpha val="35000"/>
                  </a:schemeClr>
                </a:outerShdw>
              </a:effectLst>
            </c:spPr>
          </c:dPt>
          <c:dLbls>
            <c:dLbl>
              <c:idx val="48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1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2"/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spPr>
              <a:noFill/>
              <a:ln>
                <a:noFill/>
              </a:ln>
              <a:effectLst/>
            </c:spPr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'tableau note ar'!$B$1:$BB$1</c:f>
              <c:strCache>
                <c:ptCount val="5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</c:strCache>
            </c:strRef>
          </c:cat>
          <c:val>
            <c:numRef>
              <c:f>'tableau note ar'!$B$2:$BB$2</c:f>
              <c:numCache>
                <c:formatCode>0.0</c:formatCode>
                <c:ptCount val="53"/>
                <c:pt idx="0">
                  <c:v>85.866502294191648</c:v>
                </c:pt>
                <c:pt idx="1">
                  <c:v>77.678707955853085</c:v>
                </c:pt>
                <c:pt idx="2">
                  <c:v>75.552480635756396</c:v>
                </c:pt>
                <c:pt idx="3">
                  <c:v>80.136884034904497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80.136086093619156</c:v>
                </c:pt>
                <c:pt idx="9">
                  <c:v>78.833388330574252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78.406406130604807</c:v>
                </c:pt>
                <c:pt idx="13">
                  <c:v>85.78953263253257</c:v>
                </c:pt>
                <c:pt idx="14">
                  <c:v>86.506225251482533</c:v>
                </c:pt>
                <c:pt idx="15">
                  <c:v>84.477214694877063</c:v>
                </c:pt>
                <c:pt idx="16">
                  <c:v>82.88047854282155</c:v>
                </c:pt>
                <c:pt idx="17">
                  <c:v>80.673652783725359</c:v>
                </c:pt>
                <c:pt idx="18">
                  <c:v>77.553867036569372</c:v>
                </c:pt>
                <c:pt idx="19">
                  <c:v>78.403353681349557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74.110620959005999</c:v>
                </c:pt>
                <c:pt idx="25">
                  <c:v>74.014553099961631</c:v>
                </c:pt>
                <c:pt idx="26">
                  <c:v>73.148145370690258</c:v>
                </c:pt>
                <c:pt idx="27">
                  <c:v>71.583460003653727</c:v>
                </c:pt>
                <c:pt idx="28">
                  <c:v>73.659282965035374</c:v>
                </c:pt>
                <c:pt idx="29">
                  <c:v>76.125099572807883</c:v>
                </c:pt>
                <c:pt idx="30">
                  <c:v>76.315005733685979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73.804891243097046</c:v>
                </c:pt>
                <c:pt idx="35">
                  <c:v>73.539376287214708</c:v>
                </c:pt>
                <c:pt idx="36">
                  <c:v>78.230698468980961</c:v>
                </c:pt>
                <c:pt idx="37">
                  <c:v>85.8</c:v>
                </c:pt>
                <c:pt idx="38">
                  <c:v>85.5</c:v>
                </c:pt>
                <c:pt idx="39">
                  <c:v>85.9</c:v>
                </c:pt>
                <c:pt idx="40">
                  <c:v>87.317111388814197</c:v>
                </c:pt>
                <c:pt idx="41">
                  <c:v>87.279337774029258</c:v>
                </c:pt>
                <c:pt idx="42">
                  <c:v>82.473279380066572</c:v>
                </c:pt>
                <c:pt idx="43">
                  <c:v>79.8</c:v>
                </c:pt>
                <c:pt idx="44">
                  <c:v>79.104981863169769</c:v>
                </c:pt>
                <c:pt idx="45">
                  <c:v>74.905107002702309</c:v>
                </c:pt>
                <c:pt idx="46">
                  <c:v>74.821311833193917</c:v>
                </c:pt>
                <c:pt idx="47">
                  <c:v>77.783342120372509</c:v>
                </c:pt>
                <c:pt idx="48">
                  <c:v>75.733160637772471</c:v>
                </c:pt>
                <c:pt idx="49">
                  <c:v>65.597735117391409</c:v>
                </c:pt>
                <c:pt idx="50">
                  <c:v>60.6</c:v>
                </c:pt>
                <c:pt idx="51">
                  <c:v>61.15460503678139</c:v>
                </c:pt>
                <c:pt idx="52">
                  <c:v>68.3</c:v>
                </c:pt>
              </c:numCache>
            </c:numRef>
          </c:val>
        </c:ser>
        <c:axId val="87145856"/>
        <c:axId val="87343488"/>
      </c:barChart>
      <c:catAx>
        <c:axId val="8714585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600"/>
            </a:pPr>
            <a:endParaRPr lang="fr-FR"/>
          </a:p>
        </c:txPr>
        <c:crossAx val="87343488"/>
        <c:crosses val="autoZero"/>
        <c:auto val="1"/>
        <c:lblAlgn val="ctr"/>
        <c:lblOffset val="100"/>
      </c:catAx>
      <c:valAx>
        <c:axId val="87343488"/>
        <c:scaling>
          <c:orientation val="minMax"/>
        </c:scaling>
        <c:delete val="1"/>
        <c:axPos val="l"/>
        <c:majorGridlines/>
        <c:numFmt formatCode="0.0" sourceLinked="1"/>
        <c:tickLblPos val="none"/>
        <c:crossAx val="87145856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6.2276644987490894E-2"/>
          <c:y val="6.3277814963568241E-2"/>
          <c:w val="0.90676282704361133"/>
          <c:h val="0.76539526341340247"/>
        </c:manualLayout>
      </c:layout>
      <c:lineChart>
        <c:grouping val="standard"/>
        <c:ser>
          <c:idx val="0"/>
          <c:order val="0"/>
          <c:tx>
            <c:strRef>
              <c:f>'tableau note ar'!$A$4</c:f>
              <c:strCache>
                <c:ptCount val="1"/>
                <c:pt idx="0">
                  <c:v>التطور السابق لمستوى المعيشة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ar'!$B$1:$BB$1</c:f>
              <c:strCache>
                <c:ptCount val="5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</c:strCache>
            </c:strRef>
          </c:cat>
          <c:val>
            <c:numRef>
              <c:f>'tableau note ar'!$B$4:$BB$4</c:f>
              <c:numCache>
                <c:formatCode>#,##0.0</c:formatCode>
                <c:ptCount val="53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-31.141291421499723</c:v>
                </c:pt>
                <c:pt idx="3">
                  <c:v>-29.39384481866529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-25.723634629573009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-37.236760344983388</c:v>
                </c:pt>
                <c:pt idx="12">
                  <c:v>-26.050959167650063</c:v>
                </c:pt>
                <c:pt idx="13">
                  <c:v>-16.961438303130887</c:v>
                </c:pt>
                <c:pt idx="14">
                  <c:v>-13.439142519852011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-28.088708351168677</c:v>
                </c:pt>
                <c:pt idx="20">
                  <c:v>-29.212341127418195</c:v>
                </c:pt>
                <c:pt idx="21">
                  <c:v>-23.102864483982067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-17.387590506775634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>
                  <c:v>-22.864633579953789</c:v>
                </c:pt>
                <c:pt idx="33">
                  <c:v>-15.196177330129153</c:v>
                </c:pt>
                <c:pt idx="34">
                  <c:v>-17.372021059071617</c:v>
                </c:pt>
                <c:pt idx="35">
                  <c:v>-17.464225574589342</c:v>
                </c:pt>
                <c:pt idx="36">
                  <c:v>-11.990228520502576</c:v>
                </c:pt>
                <c:pt idx="37">
                  <c:v>-8.1644944099805006</c:v>
                </c:pt>
                <c:pt idx="38">
                  <c:v>-3.1370023233621227</c:v>
                </c:pt>
                <c:pt idx="39">
                  <c:v>-3.7719246964283601</c:v>
                </c:pt>
                <c:pt idx="40">
                  <c:v>-6.24696090915109</c:v>
                </c:pt>
                <c:pt idx="41" formatCode="General">
                  <c:v>-5.3830093381329069</c:v>
                </c:pt>
                <c:pt idx="42" formatCode="0.0">
                  <c:v>-9.5049571220917919</c:v>
                </c:pt>
                <c:pt idx="43" formatCode="0.0">
                  <c:v>-13.3</c:v>
                </c:pt>
                <c:pt idx="44" formatCode="0.0">
                  <c:v>-14.967427927122975</c:v>
                </c:pt>
                <c:pt idx="45" formatCode="0.0">
                  <c:v>-25.35300810689149</c:v>
                </c:pt>
                <c:pt idx="46" formatCode="0.0">
                  <c:v>-20.237097183526259</c:v>
                </c:pt>
                <c:pt idx="47" formatCode="0.0">
                  <c:v>-19.996896512157338</c:v>
                </c:pt>
                <c:pt idx="48" formatCode="0.0">
                  <c:v>-19.767991560587593</c:v>
                </c:pt>
                <c:pt idx="49" formatCode="0.0">
                  <c:v>-24.751522052511689</c:v>
                </c:pt>
                <c:pt idx="50" formatCode="0.0">
                  <c:v>-35.633876933169311</c:v>
                </c:pt>
                <c:pt idx="51" formatCode="0.0">
                  <c:v>-46.607458922581849</c:v>
                </c:pt>
                <c:pt idx="52" formatCode="0.0">
                  <c:v>-50.5</c:v>
                </c:pt>
              </c:numCache>
            </c:numRef>
          </c:val>
        </c:ser>
        <c:ser>
          <c:idx val="1"/>
          <c:order val="1"/>
          <c:tx>
            <c:strRef>
              <c:f>'tableau note ar'!$A$5</c:f>
              <c:strCache>
                <c:ptCount val="1"/>
                <c:pt idx="0">
                  <c:v>التطور المستقبلي لمستوى المعيشة</c:v>
                </c:pt>
              </c:strCache>
            </c:strRef>
          </c:tx>
          <c:cat>
            <c:strRef>
              <c:f>'tableau note ar'!$B$1:$BB$1</c:f>
              <c:strCache>
                <c:ptCount val="5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</c:strCache>
            </c:strRef>
          </c:cat>
          <c:val>
            <c:numRef>
              <c:f>'tableau note ar'!$B$5:$BB$5</c:f>
              <c:numCache>
                <c:formatCode>#,##0.0</c:formatCode>
                <c:ptCount val="53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8.4334302751112825E-2</c:v>
                </c:pt>
                <c:pt idx="7">
                  <c:v>2.1853913991610052</c:v>
                </c:pt>
                <c:pt idx="8">
                  <c:v>0.39154986438085609</c:v>
                </c:pt>
                <c:pt idx="9">
                  <c:v>2.7314646872285109</c:v>
                </c:pt>
                <c:pt idx="10">
                  <c:v>0.19418325799955116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18.132139936578806</c:v>
                </c:pt>
                <c:pt idx="14">
                  <c:v>11.870106120928286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-4.2068608448306435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-11.389732068783601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-12.672429336417755</c:v>
                </c:pt>
                <c:pt idx="28">
                  <c:v>-8.8537661336825266</c:v>
                </c:pt>
                <c:pt idx="29">
                  <c:v>-7.2727206831161801</c:v>
                </c:pt>
                <c:pt idx="30">
                  <c:v>-7.7131091840762114</c:v>
                </c:pt>
                <c:pt idx="31">
                  <c:v>-8.0828133778612727</c:v>
                </c:pt>
                <c:pt idx="32">
                  <c:v>-14.22824639578895</c:v>
                </c:pt>
                <c:pt idx="33">
                  <c:v>-7.5906192549525784</c:v>
                </c:pt>
                <c:pt idx="34">
                  <c:v>-7.0591296227720894</c:v>
                </c:pt>
                <c:pt idx="35">
                  <c:v>-2.3745123557304657</c:v>
                </c:pt>
                <c:pt idx="36">
                  <c:v>5.7386765593441833</c:v>
                </c:pt>
                <c:pt idx="37">
                  <c:v>11.056984366480341</c:v>
                </c:pt>
                <c:pt idx="38">
                  <c:v>10.513852464527606</c:v>
                </c:pt>
                <c:pt idx="39">
                  <c:v>11.534776778164916</c:v>
                </c:pt>
                <c:pt idx="40">
                  <c:v>16.612852585837704</c:v>
                </c:pt>
                <c:pt idx="41" formatCode="General">
                  <c:v>14.986375562038818</c:v>
                </c:pt>
                <c:pt idx="42" formatCode="0.0">
                  <c:v>11.908882798368182</c:v>
                </c:pt>
                <c:pt idx="43" formatCode="0.0">
                  <c:v>9</c:v>
                </c:pt>
                <c:pt idx="44" formatCode="0.0">
                  <c:v>9.9894562713734274</c:v>
                </c:pt>
                <c:pt idx="45" formatCode="0.0">
                  <c:v>4.7256177899689273</c:v>
                </c:pt>
                <c:pt idx="46" formatCode="0.0">
                  <c:v>-3.6764057837750337</c:v>
                </c:pt>
                <c:pt idx="47" formatCode="0.0">
                  <c:v>-2.1591381326741157</c:v>
                </c:pt>
                <c:pt idx="48" formatCode="0.0">
                  <c:v>-4.6486149345966226</c:v>
                </c:pt>
                <c:pt idx="49" formatCode="0.0">
                  <c:v>-11.439989639150372</c:v>
                </c:pt>
                <c:pt idx="50" formatCode="0.0">
                  <c:v>-17.395183495255484</c:v>
                </c:pt>
                <c:pt idx="51" formatCode="0.0">
                  <c:v>-17.398438698388123</c:v>
                </c:pt>
                <c:pt idx="52" formatCode="0.0">
                  <c:v>13.2</c:v>
                </c:pt>
              </c:numCache>
            </c:numRef>
          </c:val>
        </c:ser>
        <c:marker val="1"/>
        <c:axId val="114563712"/>
        <c:axId val="121762176"/>
      </c:lineChart>
      <c:catAx>
        <c:axId val="114563712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600"/>
            </a:pPr>
            <a:endParaRPr lang="fr-FR"/>
          </a:p>
        </c:txPr>
        <c:crossAx val="121762176"/>
        <c:crosses val="autoZero"/>
        <c:auto val="1"/>
        <c:lblAlgn val="ctr"/>
        <c:lblOffset val="100"/>
      </c:catAx>
      <c:valAx>
        <c:axId val="12176217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800"/>
            </a:pPr>
            <a:endParaRPr lang="fr-FR"/>
          </a:p>
        </c:txPr>
        <c:crossAx val="114563712"/>
        <c:crosses val="autoZero"/>
        <c:crossBetween val="between"/>
      </c:valAx>
    </c:plotArea>
    <c:legend>
      <c:legendPos val="b"/>
      <c:txPr>
        <a:bodyPr/>
        <a:lstStyle/>
        <a:p>
          <a:pPr>
            <a:defRPr lang="en-US" b="1"/>
          </a:pPr>
          <a:endParaRPr lang="fr-FR"/>
        </a:p>
      </c:txPr>
    </c:legend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/>
      <c:lineChart>
        <c:grouping val="standard"/>
        <c:ser>
          <c:idx val="0"/>
          <c:order val="0"/>
          <c:tx>
            <c:strRef>
              <c:f>'tableau note ar'!$A$3</c:f>
              <c:strCache>
                <c:ptCount val="1"/>
                <c:pt idx="0">
                  <c:v>التطور المستقبلي للبطالة</c:v>
                </c:pt>
              </c:strCache>
            </c:strRef>
          </c:tx>
          <c:marker>
            <c:symbol val="none"/>
          </c:marker>
          <c:cat>
            <c:strRef>
              <c:f>'tableau note ar'!$B$1:$BB$1</c:f>
              <c:strCache>
                <c:ptCount val="5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</c:strCache>
            </c:strRef>
          </c:cat>
          <c:val>
            <c:numRef>
              <c:f>'tableau note ar'!$B$3:$BB$3</c:f>
              <c:numCache>
                <c:formatCode>#,##0.0</c:formatCode>
                <c:ptCount val="53"/>
                <c:pt idx="0">
                  <c:v>-52.09569227917919</c:v>
                </c:pt>
                <c:pt idx="1">
                  <c:v>-56.601297669293317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-57.930600458568478</c:v>
                </c:pt>
                <c:pt idx="7">
                  <c:v>-57.517749523976519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-52.335316844022458</c:v>
                </c:pt>
                <c:pt idx="12">
                  <c:v>-52.408437207990296</c:v>
                </c:pt>
                <c:pt idx="13">
                  <c:v>-45.982278486233483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-66.493969881109209</c:v>
                </c:pt>
                <c:pt idx="26">
                  <c:v>-68.825577821249908</c:v>
                </c:pt>
                <c:pt idx="27">
                  <c:v>-68.019160185663324</c:v>
                </c:pt>
                <c:pt idx="28">
                  <c:v>-65.155740215393664</c:v>
                </c:pt>
                <c:pt idx="29">
                  <c:v>-67.056481822589674</c:v>
                </c:pt>
                <c:pt idx="30">
                  <c:v>-66.189276460398091</c:v>
                </c:pt>
                <c:pt idx="31">
                  <c:v>-64.100777949741754</c:v>
                </c:pt>
                <c:pt idx="32">
                  <c:v>-67.734442836360955</c:v>
                </c:pt>
                <c:pt idx="33">
                  <c:v>-68.976178952187695</c:v>
                </c:pt>
                <c:pt idx="34">
                  <c:v>-70.599999999999994</c:v>
                </c:pt>
                <c:pt idx="35">
                  <c:v>-66.808709762830389</c:v>
                </c:pt>
                <c:pt idx="36">
                  <c:v>-64.932045987858601</c:v>
                </c:pt>
                <c:pt idx="37">
                  <c:v>-54.327058153454743</c:v>
                </c:pt>
                <c:pt idx="38">
                  <c:v>-59.886763094223141</c:v>
                </c:pt>
                <c:pt idx="39">
                  <c:v>-58.5</c:v>
                </c:pt>
                <c:pt idx="40">
                  <c:v>-54.525998602090162</c:v>
                </c:pt>
                <c:pt idx="41" formatCode="General">
                  <c:v>-61.706282712863526</c:v>
                </c:pt>
                <c:pt idx="42" formatCode="0.0">
                  <c:v>-65.247643368132074</c:v>
                </c:pt>
                <c:pt idx="43" formatCode="0.0">
                  <c:v>-70</c:v>
                </c:pt>
                <c:pt idx="44" formatCode="0.0">
                  <c:v>-75.565732444458845</c:v>
                </c:pt>
                <c:pt idx="45" formatCode="0.0">
                  <c:v>-76.905120512383789</c:v>
                </c:pt>
                <c:pt idx="46" formatCode="0.0">
                  <c:v>-71.817697941940466</c:v>
                </c:pt>
                <c:pt idx="47" formatCode="0.0">
                  <c:v>-71.645886731132009</c:v>
                </c:pt>
                <c:pt idx="48" formatCode="0.0">
                  <c:v>-70.7934404370435</c:v>
                </c:pt>
                <c:pt idx="49" formatCode="0.0">
                  <c:v>-75.168553605935344</c:v>
                </c:pt>
                <c:pt idx="50" formatCode="0.0">
                  <c:v>-82.012609773267997</c:v>
                </c:pt>
                <c:pt idx="51" formatCode="0.0">
                  <c:v>-78.280561499164364</c:v>
                </c:pt>
                <c:pt idx="52" formatCode="0.0">
                  <c:v>-62.2</c:v>
                </c:pt>
              </c:numCache>
            </c:numRef>
          </c:val>
        </c:ser>
        <c:marker val="1"/>
        <c:axId val="128343424"/>
        <c:axId val="128928000"/>
      </c:lineChart>
      <c:catAx>
        <c:axId val="128343424"/>
        <c:scaling>
          <c:orientation val="minMax"/>
        </c:scaling>
        <c:axPos val="b"/>
        <c:numFmt formatCode="General" sourceLinked="1"/>
        <c:majorTickMark val="none"/>
        <c:tickLblPos val="low"/>
        <c:txPr>
          <a:bodyPr/>
          <a:lstStyle/>
          <a:p>
            <a:pPr>
              <a:defRPr lang="en-US" sz="600"/>
            </a:pPr>
            <a:endParaRPr lang="fr-FR"/>
          </a:p>
        </c:txPr>
        <c:crossAx val="128928000"/>
        <c:crosses val="autoZero"/>
        <c:auto val="1"/>
        <c:lblAlgn val="ctr"/>
        <c:lblOffset val="100"/>
      </c:catAx>
      <c:valAx>
        <c:axId val="128928000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900"/>
            </a:pPr>
            <a:endParaRPr lang="fr-FR"/>
          </a:p>
        </c:txPr>
        <c:crossAx val="128343424"/>
        <c:crosses val="autoZero"/>
        <c:crossBetween val="between"/>
      </c:valAx>
    </c:plotArea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5.7127347645033084E-2"/>
          <c:y val="5.9290035554066464E-2"/>
          <c:w val="0.91935832999498357"/>
          <c:h val="0.80706948865434369"/>
        </c:manualLayout>
      </c:layout>
      <c:lineChart>
        <c:grouping val="standard"/>
        <c:ser>
          <c:idx val="0"/>
          <c:order val="0"/>
          <c:tx>
            <c:strRef>
              <c:f>'tableau note ar'!$A$6</c:f>
              <c:strCache>
                <c:ptCount val="1"/>
                <c:pt idx="0">
                  <c:v>فرص اقتناء السلع المستديمة</c:v>
                </c:pt>
              </c:strCache>
            </c:strRef>
          </c:tx>
          <c:marker>
            <c:symbol val="none"/>
          </c:marker>
          <c:cat>
            <c:strRef>
              <c:f>'tableau note ar'!$B$1:$BB$1</c:f>
              <c:strCache>
                <c:ptCount val="5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</c:strCache>
            </c:strRef>
          </c:cat>
          <c:val>
            <c:numRef>
              <c:f>'tableau note ar'!$B$6:$BB$6</c:f>
              <c:numCache>
                <c:formatCode>#,##0.0</c:formatCode>
                <c:ptCount val="53"/>
                <c:pt idx="0">
                  <c:v>-30.018449770831797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-41.765350509033929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-34.756506471721572</c:v>
                </c:pt>
                <c:pt idx="9">
                  <c:v>-37.532519098271848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-39.860076277616734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-37.388587169100497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-28.348240299081702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-37.509325471422457</c:v>
                </c:pt>
                <c:pt idx="32">
                  <c:v>-40.239810197161113</c:v>
                </c:pt>
                <c:pt idx="33">
                  <c:v>-34.794169125290885</c:v>
                </c:pt>
                <c:pt idx="34">
                  <c:v>-40.511458517814845</c:v>
                </c:pt>
                <c:pt idx="35">
                  <c:v>-43.033835365277199</c:v>
                </c:pt>
                <c:pt idx="36">
                  <c:v>-39.999291784066429</c:v>
                </c:pt>
                <c:pt idx="37">
                  <c:v>-28.160977836062902</c:v>
                </c:pt>
                <c:pt idx="38">
                  <c:v>-31.475843594428088</c:v>
                </c:pt>
                <c:pt idx="39">
                  <c:v>-25.6</c:v>
                </c:pt>
                <c:pt idx="40">
                  <c:v>-27.189644342164545</c:v>
                </c:pt>
                <c:pt idx="41" formatCode="General">
                  <c:v>-25.753095123938731</c:v>
                </c:pt>
                <c:pt idx="42" formatCode="0.0">
                  <c:v>-30.193271317535196</c:v>
                </c:pt>
                <c:pt idx="43" formatCode="0.0">
                  <c:v>-36.800000000000004</c:v>
                </c:pt>
                <c:pt idx="44" formatCode="0.0">
                  <c:v>-36.294477943510053</c:v>
                </c:pt>
                <c:pt idx="45" formatCode="0.0">
                  <c:v>-41.423646990592751</c:v>
                </c:pt>
                <c:pt idx="46" formatCode="0.0">
                  <c:v>-37.73056747306839</c:v>
                </c:pt>
                <c:pt idx="47" formatCode="0.0">
                  <c:v>-29.21833531467249</c:v>
                </c:pt>
                <c:pt idx="48" formatCode="0.0">
                  <c:v>-32.611752500665851</c:v>
                </c:pt>
                <c:pt idx="49" formatCode="0.0">
                  <c:v>-67.951617125134092</c:v>
                </c:pt>
                <c:pt idx="50" formatCode="0.0">
                  <c:v>-63.469757370471939</c:v>
                </c:pt>
                <c:pt idx="51" formatCode="0.0">
                  <c:v>-61.233843482530801</c:v>
                </c:pt>
                <c:pt idx="52" formatCode="0.0">
                  <c:v>-61.6</c:v>
                </c:pt>
              </c:numCache>
            </c:numRef>
          </c:val>
        </c:ser>
        <c:marker val="1"/>
        <c:axId val="101822848"/>
        <c:axId val="101824384"/>
      </c:lineChart>
      <c:catAx>
        <c:axId val="101822848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600"/>
            </a:pPr>
            <a:endParaRPr lang="fr-FR"/>
          </a:p>
        </c:txPr>
        <c:crossAx val="101824384"/>
        <c:crosses val="autoZero"/>
        <c:auto val="1"/>
        <c:lblAlgn val="ctr"/>
        <c:lblOffset val="100"/>
      </c:catAx>
      <c:valAx>
        <c:axId val="101824384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lang="en-US" sz="700"/>
            </a:pPr>
            <a:endParaRPr lang="fr-FR"/>
          </a:p>
        </c:txPr>
        <c:crossAx val="101822848"/>
        <c:crosses val="autoZero"/>
        <c:crossBetween val="between"/>
      </c:valAx>
    </c:plotArea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lineChart>
        <c:grouping val="standard"/>
        <c:ser>
          <c:idx val="0"/>
          <c:order val="0"/>
          <c:tx>
            <c:strRef>
              <c:f>'tableau note ar'!$A$7</c:f>
              <c:strCache>
                <c:ptCount val="1"/>
                <c:pt idx="0">
                  <c:v>الوضعية المالية الحالية للأسرة</c:v>
                </c:pt>
              </c:strCache>
            </c:strRef>
          </c:tx>
          <c:marker>
            <c:symbol val="square"/>
            <c:size val="5"/>
          </c:marker>
          <c:cat>
            <c:strRef>
              <c:f>'tableau note ar'!$B$1:$BB$1</c:f>
              <c:strCache>
                <c:ptCount val="5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</c:strCache>
            </c:strRef>
          </c:cat>
          <c:val>
            <c:numRef>
              <c:f>'tableau note ar'!$B$7:$BB$7</c:f>
              <c:numCache>
                <c:formatCode>#,##0.0</c:formatCode>
                <c:ptCount val="53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-28.062624892496316</c:v>
                </c:pt>
                <c:pt idx="12">
                  <c:v>-30.645498931903745</c:v>
                </c:pt>
                <c:pt idx="13">
                  <c:v>-27.092549889444335</c:v>
                </c:pt>
                <c:pt idx="14">
                  <c:v>-24.28899054728441</c:v>
                </c:pt>
                <c:pt idx="15">
                  <c:v>-25.669712181349741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-30.846093343724203</c:v>
                </c:pt>
                <c:pt idx="19">
                  <c:v>-29.426966691861271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-29.484131282651223</c:v>
                </c:pt>
                <c:pt idx="23">
                  <c:v>-29.485585569479962</c:v>
                </c:pt>
                <c:pt idx="24">
                  <c:v>-31.290770339915049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-30.637429411694047</c:v>
                </c:pt>
                <c:pt idx="28">
                  <c:v>-32.404955656558201</c:v>
                </c:pt>
                <c:pt idx="29">
                  <c:v>-28</c:v>
                </c:pt>
                <c:pt idx="30">
                  <c:v>-25.071467645625653</c:v>
                </c:pt>
                <c:pt idx="31">
                  <c:v>-25.699936983325873</c:v>
                </c:pt>
                <c:pt idx="32">
                  <c:v>-27.23268621238142</c:v>
                </c:pt>
                <c:pt idx="33">
                  <c:v>-22.997618165471859</c:v>
                </c:pt>
                <c:pt idx="34">
                  <c:v>-25.8</c:v>
                </c:pt>
                <c:pt idx="35">
                  <c:v>-28.725836843764057</c:v>
                </c:pt>
                <c:pt idx="36">
                  <c:v>-27.797585066069505</c:v>
                </c:pt>
                <c:pt idx="37">
                  <c:v>-25.340990239285759</c:v>
                </c:pt>
                <c:pt idx="38">
                  <c:v>-22.581783906285729</c:v>
                </c:pt>
                <c:pt idx="39">
                  <c:v>-24.392000147868323</c:v>
                </c:pt>
                <c:pt idx="40">
                  <c:v>-25.236685531801342</c:v>
                </c:pt>
                <c:pt idx="41" formatCode="General">
                  <c:v>-24.077817715725971</c:v>
                </c:pt>
                <c:pt idx="42" formatCode="0.0">
                  <c:v>-29.675061855859198</c:v>
                </c:pt>
                <c:pt idx="43" formatCode="0.0">
                  <c:v>-28.4</c:v>
                </c:pt>
                <c:pt idx="44" formatCode="0.0">
                  <c:v>-28.874306637901352</c:v>
                </c:pt>
                <c:pt idx="45" formatCode="0.0">
                  <c:v>-30.794330285810986</c:v>
                </c:pt>
                <c:pt idx="46" formatCode="0.0">
                  <c:v>-29.543474949783889</c:v>
                </c:pt>
                <c:pt idx="47" formatCode="0.0">
                  <c:v>-26.38685501138583</c:v>
                </c:pt>
                <c:pt idx="48" formatCode="0.0">
                  <c:v>-27.711995909750634</c:v>
                </c:pt>
                <c:pt idx="49" formatCode="0.0">
                  <c:v>-29.955220894721663</c:v>
                </c:pt>
                <c:pt idx="50" formatCode="0.0">
                  <c:v>-31.504825451700452</c:v>
                </c:pt>
                <c:pt idx="51" formatCode="0.0">
                  <c:v>-29.083585505842859</c:v>
                </c:pt>
                <c:pt idx="52" formatCode="0.0">
                  <c:v>-34.4</c:v>
                </c:pt>
              </c:numCache>
            </c:numRef>
          </c:val>
        </c:ser>
        <c:ser>
          <c:idx val="1"/>
          <c:order val="1"/>
          <c:tx>
            <c:strRef>
              <c:f>'tableau note ar'!$A$8</c:f>
              <c:strCache>
                <c:ptCount val="1"/>
                <c:pt idx="0">
                  <c:v>التطور السابق للوضعية المالية للأسرة</c:v>
                </c:pt>
              </c:strCache>
            </c:strRef>
          </c:tx>
          <c:cat>
            <c:strRef>
              <c:f>'tableau note ar'!$B$1:$BB$1</c:f>
              <c:strCache>
                <c:ptCount val="5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</c:strCache>
            </c:strRef>
          </c:cat>
          <c:val>
            <c:numRef>
              <c:f>'tableau note ar'!$B$8:$BB$8</c:f>
              <c:numCache>
                <c:formatCode>#,##0.0</c:formatCode>
                <c:ptCount val="53"/>
                <c:pt idx="0">
                  <c:v>-11.760493904860514</c:v>
                </c:pt>
                <c:pt idx="1">
                  <c:v>-11.376439540974173</c:v>
                </c:pt>
                <c:pt idx="2">
                  <c:v>-11.707546774199251</c:v>
                </c:pt>
                <c:pt idx="3">
                  <c:v>-9.5250570435126427</c:v>
                </c:pt>
                <c:pt idx="4">
                  <c:v>-18.438210074457363</c:v>
                </c:pt>
                <c:pt idx="5">
                  <c:v>-13.353492384896761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-9.8004349690184043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-21.891965579068501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-29.150994705705717</c:v>
                </c:pt>
                <c:pt idx="28">
                  <c:v>-26.965288381475769</c:v>
                </c:pt>
                <c:pt idx="29">
                  <c:v>-20.216971341645095</c:v>
                </c:pt>
                <c:pt idx="30">
                  <c:v>-20.789363149769279</c:v>
                </c:pt>
                <c:pt idx="31">
                  <c:v>-18.50333400384844</c:v>
                </c:pt>
                <c:pt idx="32">
                  <c:v>-27.398022856415224</c:v>
                </c:pt>
                <c:pt idx="33">
                  <c:v>-22.820131487915329</c:v>
                </c:pt>
                <c:pt idx="34">
                  <c:v>-26.987361336961197</c:v>
                </c:pt>
                <c:pt idx="35">
                  <c:v>-33.305012733303052</c:v>
                </c:pt>
                <c:pt idx="36">
                  <c:v>-26.764408087130526</c:v>
                </c:pt>
                <c:pt idx="37">
                  <c:v>-16.626704252959726</c:v>
                </c:pt>
                <c:pt idx="38">
                  <c:v>-14.506801572644619</c:v>
                </c:pt>
                <c:pt idx="39">
                  <c:v>-16.7</c:v>
                </c:pt>
                <c:pt idx="40">
                  <c:v>-18.12020796730943</c:v>
                </c:pt>
                <c:pt idx="41" formatCode="General">
                  <c:v>-15.241299993196511</c:v>
                </c:pt>
                <c:pt idx="42" formatCode="0.0">
                  <c:v>-18.212765523946558</c:v>
                </c:pt>
                <c:pt idx="43" formatCode="0.0">
                  <c:v>-20.7</c:v>
                </c:pt>
                <c:pt idx="44" formatCode="0.0">
                  <c:v>-21.239570741294095</c:v>
                </c:pt>
                <c:pt idx="45" formatCode="0.0">
                  <c:v>-24.187755596841431</c:v>
                </c:pt>
                <c:pt idx="46" formatCode="0.0">
                  <c:v>-26.020639530378268</c:v>
                </c:pt>
                <c:pt idx="47" formatCode="0.0">
                  <c:v>-22.058531326387186</c:v>
                </c:pt>
                <c:pt idx="48" formatCode="0.0">
                  <c:v>-22.878127876162285</c:v>
                </c:pt>
                <c:pt idx="49" formatCode="0.0">
                  <c:v>-26.986745192981459</c:v>
                </c:pt>
                <c:pt idx="50" formatCode="0.0">
                  <c:v>-33.978821699551595</c:v>
                </c:pt>
                <c:pt idx="51" formatCode="0.0">
                  <c:v>-39.901098518697133</c:v>
                </c:pt>
                <c:pt idx="52" formatCode="0.0">
                  <c:v>-47.4</c:v>
                </c:pt>
              </c:numCache>
            </c:numRef>
          </c:val>
        </c:ser>
        <c:ser>
          <c:idx val="2"/>
          <c:order val="2"/>
          <c:tx>
            <c:strRef>
              <c:f>'tableau note ar'!$A$9</c:f>
              <c:strCache>
                <c:ptCount val="1"/>
                <c:pt idx="0">
                  <c:v>التطور المرتقب للوضعية المالية للأسرة</c:v>
                </c:pt>
              </c:strCache>
            </c:strRef>
          </c:tx>
          <c:cat>
            <c:strRef>
              <c:f>'tableau note ar'!$B$1:$BB$1</c:f>
              <c:strCache>
                <c:ptCount val="5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</c:strCache>
            </c:strRef>
          </c:cat>
          <c:val>
            <c:numRef>
              <c:f>'tableau note ar'!$B$9:$BB$9</c:f>
              <c:numCache>
                <c:formatCode>#,##0.0</c:formatCode>
                <c:ptCount val="53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26.705941849103187</c:v>
                </c:pt>
                <c:pt idx="4">
                  <c:v>26.769154239001928</c:v>
                </c:pt>
                <c:pt idx="5">
                  <c:v>21.986954089697061</c:v>
                </c:pt>
                <c:pt idx="6">
                  <c:v>17.532817766676494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11.776375704730505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20.354548457792724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11.23083364045033</c:v>
                </c:pt>
                <c:pt idx="17">
                  <c:v>11.136340416980383</c:v>
                </c:pt>
                <c:pt idx="18">
                  <c:v>7.6658451594012957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-1.7003971659207198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-3.9139038482871569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>
                  <c:v>1.2373351928094007</c:v>
                </c:pt>
                <c:pt idx="33">
                  <c:v>2.2988859177154</c:v>
                </c:pt>
                <c:pt idx="34">
                  <c:v>4.9642092382991612</c:v>
                </c:pt>
                <c:pt idx="35">
                  <c:v>6.4877666459978194</c:v>
                </c:pt>
                <c:pt idx="36">
                  <c:v>13.359772169150252</c:v>
                </c:pt>
                <c:pt idx="37">
                  <c:v>22.123807522802235</c:v>
                </c:pt>
                <c:pt idx="38">
                  <c:v>19.596485843359812</c:v>
                </c:pt>
                <c:pt idx="39">
                  <c:v>19.180868333171652</c:v>
                </c:pt>
                <c:pt idx="40">
                  <c:v>25.926424488378224</c:v>
                </c:pt>
                <c:pt idx="41" formatCode="General">
                  <c:v>28.130493740025226</c:v>
                </c:pt>
                <c:pt idx="42" formatCode="0.0">
                  <c:v>18.237772049662329</c:v>
                </c:pt>
                <c:pt idx="43" formatCode="0.0">
                  <c:v>19.100000000000001</c:v>
                </c:pt>
                <c:pt idx="44" formatCode="0.0">
                  <c:v>20.686932465103727</c:v>
                </c:pt>
                <c:pt idx="45" formatCode="0.0">
                  <c:v>18.273992721467774</c:v>
                </c:pt>
                <c:pt idx="46" formatCode="0.0">
                  <c:v>12.775065694831193</c:v>
                </c:pt>
                <c:pt idx="47" formatCode="0.0">
                  <c:v>15.949037871016623</c:v>
                </c:pt>
                <c:pt idx="48" formatCode="0.0">
                  <c:v>8.5440476832129519</c:v>
                </c:pt>
                <c:pt idx="49" formatCode="0.0">
                  <c:v>-4.5622056678242258</c:v>
                </c:pt>
                <c:pt idx="50" formatCode="0.0">
                  <c:v>-11.891224568065192</c:v>
                </c:pt>
                <c:pt idx="51" formatCode="0.0">
                  <c:v>0.5872218846748406</c:v>
                </c:pt>
                <c:pt idx="52" formatCode="0.0">
                  <c:v>21.2</c:v>
                </c:pt>
              </c:numCache>
            </c:numRef>
          </c:val>
        </c:ser>
        <c:marker val="1"/>
        <c:axId val="101830016"/>
        <c:axId val="107603072"/>
      </c:lineChart>
      <c:catAx>
        <c:axId val="101830016"/>
        <c:scaling>
          <c:orientation val="minMax"/>
        </c:scaling>
        <c:axPos val="b"/>
        <c:numFmt formatCode="General" sourceLinked="1"/>
        <c:majorTickMark val="none"/>
        <c:tickLblPos val="low"/>
        <c:txPr>
          <a:bodyPr/>
          <a:lstStyle/>
          <a:p>
            <a:pPr>
              <a:defRPr sz="600"/>
            </a:pPr>
            <a:endParaRPr lang="fr-FR"/>
          </a:p>
        </c:txPr>
        <c:crossAx val="107603072"/>
        <c:crosses val="autoZero"/>
        <c:auto val="1"/>
        <c:lblAlgn val="ctr"/>
        <c:lblOffset val="100"/>
      </c:catAx>
      <c:valAx>
        <c:axId val="10760307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fr-FR"/>
          </a:p>
        </c:txPr>
        <c:crossAx val="1018300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0346301838392481E-2"/>
          <c:y val="0.85307042125297661"/>
          <c:w val="0.96434373663959128"/>
          <c:h val="0.12525099644664708"/>
        </c:manualLayout>
      </c:layout>
      <c:txPr>
        <a:bodyPr/>
        <a:lstStyle/>
        <a:p>
          <a:pPr>
            <a:defRPr sz="1000" b="1"/>
          </a:pPr>
          <a:endParaRPr lang="fr-FR"/>
        </a:p>
      </c:txPr>
    </c:legend>
    <c:plotVisOnly val="1"/>
    <c:dispBlanksAs val="gap"/>
  </c:chart>
  <c:spPr>
    <a:ln w="3175">
      <a:solidFill>
        <a:schemeClr val="tx1"/>
      </a:solidFill>
    </a:ln>
  </c:spPr>
  <c:txPr>
    <a:bodyPr/>
    <a:lstStyle/>
    <a:p>
      <a:pPr>
        <a:defRPr sz="1050"/>
      </a:pPr>
      <a:endParaRPr lang="fr-F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6.152160034049798E-2"/>
          <c:y val="6.6474581738735231E-2"/>
          <c:w val="0.91007862895562319"/>
          <c:h val="0.70188155251543383"/>
        </c:manualLayout>
      </c:layout>
      <c:lineChart>
        <c:grouping val="standard"/>
        <c:ser>
          <c:idx val="0"/>
          <c:order val="0"/>
          <c:tx>
            <c:strRef>
              <c:f>'tableau note ar'!$A$11</c:f>
              <c:strCache>
                <c:ptCount val="1"/>
                <c:pt idx="0">
                  <c:v>التطور المرتقب لأسعار المواد الغذائية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ar'!$B$1:$BB$1</c:f>
              <c:strCache>
                <c:ptCount val="5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</c:strCache>
            </c:strRef>
          </c:cat>
          <c:val>
            <c:numRef>
              <c:f>'tableau note ar'!$B$11:$BB$11</c:f>
              <c:numCache>
                <c:formatCode>#,##0.0</c:formatCode>
                <c:ptCount val="53"/>
                <c:pt idx="0">
                  <c:v>-74.061389031284818</c:v>
                </c:pt>
                <c:pt idx="1">
                  <c:v>-77.716574651610344</c:v>
                </c:pt>
                <c:pt idx="2">
                  <c:v>-78.940542419693813</c:v>
                </c:pt>
                <c:pt idx="3">
                  <c:v>-49.653420650313549</c:v>
                </c:pt>
                <c:pt idx="4">
                  <c:v>-34.869529990694446</c:v>
                </c:pt>
                <c:pt idx="5">
                  <c:v>-33.523065681383365</c:v>
                </c:pt>
                <c:pt idx="6">
                  <c:v>-50.919242344766445</c:v>
                </c:pt>
                <c:pt idx="7">
                  <c:v>-47.87194786445459</c:v>
                </c:pt>
                <c:pt idx="8">
                  <c:v>-46.51502281152581</c:v>
                </c:pt>
                <c:pt idx="9">
                  <c:v>-56.832932011427921</c:v>
                </c:pt>
                <c:pt idx="10">
                  <c:v>-62.176731306136915</c:v>
                </c:pt>
                <c:pt idx="11">
                  <c:v>-70.131788082404199</c:v>
                </c:pt>
                <c:pt idx="12">
                  <c:v>-73.4127471825839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-72.965887012435019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-73.578371466433921</c:v>
                </c:pt>
                <c:pt idx="19">
                  <c:v>-70.049698245525676</c:v>
                </c:pt>
                <c:pt idx="20">
                  <c:v>-76.096296687300608</c:v>
                </c:pt>
                <c:pt idx="21">
                  <c:v>-73.375476646911594</c:v>
                </c:pt>
                <c:pt idx="22">
                  <c:v>-76.007455926126042</c:v>
                </c:pt>
                <c:pt idx="23">
                  <c:v>-76.048555842624523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-76.898841721729795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>
                  <c:v>-77.900000000000006</c:v>
                </c:pt>
                <c:pt idx="35">
                  <c:v>-77.33590195130148</c:v>
                </c:pt>
                <c:pt idx="36">
                  <c:v>-77.664169536728878</c:v>
                </c:pt>
                <c:pt idx="37">
                  <c:v>-74.5</c:v>
                </c:pt>
                <c:pt idx="38">
                  <c:v>-73.964173414184586</c:v>
                </c:pt>
                <c:pt idx="39">
                  <c:v>-79.602800137507884</c:v>
                </c:pt>
                <c:pt idx="40">
                  <c:v>-82.909090889011466</c:v>
                </c:pt>
                <c:pt idx="41" formatCode="General">
                  <c:v>-84.024833717392056</c:v>
                </c:pt>
                <c:pt idx="42">
                  <c:v>-82.078038176837381</c:v>
                </c:pt>
                <c:pt idx="43">
                  <c:v>-86.6</c:v>
                </c:pt>
                <c:pt idx="44">
                  <c:v>-87.54271632969234</c:v>
                </c:pt>
                <c:pt idx="45">
                  <c:v>-86.508482649196509</c:v>
                </c:pt>
                <c:pt idx="46">
                  <c:v>-83.288697742697579</c:v>
                </c:pt>
                <c:pt idx="47">
                  <c:v>-82.220036585575144</c:v>
                </c:pt>
                <c:pt idx="48">
                  <c:v>-82.585609750348496</c:v>
                </c:pt>
                <c:pt idx="49">
                  <c:v>-69.044082249116016</c:v>
                </c:pt>
                <c:pt idx="50" formatCode="0.0">
                  <c:v>-68.063522341730973</c:v>
                </c:pt>
                <c:pt idx="51" formatCode="0.0">
                  <c:v>-64.634662916008139</c:v>
                </c:pt>
                <c:pt idx="52" formatCode="0.0">
                  <c:v>-60.2</c:v>
                </c:pt>
              </c:numCache>
            </c:numRef>
          </c:val>
        </c:ser>
        <c:ser>
          <c:idx val="1"/>
          <c:order val="1"/>
          <c:tx>
            <c:strRef>
              <c:f>'tableau note ar'!$A$12</c:f>
              <c:strCache>
                <c:ptCount val="1"/>
                <c:pt idx="0">
                  <c:v>التطور السابق لأسعار المواد الغذائية</c:v>
                </c:pt>
              </c:strCache>
            </c:strRef>
          </c:tx>
          <c:cat>
            <c:strRef>
              <c:f>'tableau note ar'!$B$1:$BB$1</c:f>
              <c:strCache>
                <c:ptCount val="5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</c:strCache>
            </c:strRef>
          </c:cat>
          <c:val>
            <c:numRef>
              <c:f>'tableau note ar'!$B$12:$BB$12</c:f>
              <c:numCache>
                <c:formatCode>#,##0.0</c:formatCode>
                <c:ptCount val="53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-83.278098478101455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-90.967802162493527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-89.924388392526083</c:v>
                </c:pt>
                <c:pt idx="15">
                  <c:v>-92.495216554147746</c:v>
                </c:pt>
                <c:pt idx="16">
                  <c:v>-91.625316584481823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-91.630328830979664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-84.135715875789074</c:v>
                </c:pt>
                <c:pt idx="26">
                  <c:v>-81.763249669623747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-84.284507159523756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-87.871778057968157</c:v>
                </c:pt>
                <c:pt idx="34">
                  <c:v>-87.672521775530925</c:v>
                </c:pt>
                <c:pt idx="35">
                  <c:v>-87.308587775463366</c:v>
                </c:pt>
                <c:pt idx="36">
                  <c:v>-86.771015006658288</c:v>
                </c:pt>
                <c:pt idx="37">
                  <c:v>-86.4</c:v>
                </c:pt>
                <c:pt idx="38">
                  <c:v>-82.80501829248945</c:v>
                </c:pt>
                <c:pt idx="39">
                  <c:v>-88.513579156072012</c:v>
                </c:pt>
                <c:pt idx="40">
                  <c:v>-86.694812387811382</c:v>
                </c:pt>
                <c:pt idx="41" formatCode="General">
                  <c:v>-88.182833745436668</c:v>
                </c:pt>
                <c:pt idx="42">
                  <c:v>-88.119908444008828</c:v>
                </c:pt>
                <c:pt idx="43">
                  <c:v>-90.3</c:v>
                </c:pt>
                <c:pt idx="44">
                  <c:v>-88.136419421127727</c:v>
                </c:pt>
                <c:pt idx="45">
                  <c:v>-88.912542109472369</c:v>
                </c:pt>
                <c:pt idx="46">
                  <c:v>-83.748311328811582</c:v>
                </c:pt>
                <c:pt idx="47">
                  <c:v>-85.084964738360227</c:v>
                </c:pt>
                <c:pt idx="48">
                  <c:v>-82.774085672956858</c:v>
                </c:pt>
                <c:pt idx="49">
                  <c:v>-67.616999612935103</c:v>
                </c:pt>
                <c:pt idx="50" formatCode="0.0">
                  <c:v>-75.123128911649388</c:v>
                </c:pt>
                <c:pt idx="51" formatCode="0.0">
                  <c:v>-74.676635648394679</c:v>
                </c:pt>
                <c:pt idx="52" formatCode="0.0">
                  <c:v>-74</c:v>
                </c:pt>
              </c:numCache>
            </c:numRef>
          </c:val>
        </c:ser>
        <c:marker val="1"/>
        <c:axId val="110761856"/>
        <c:axId val="110763392"/>
      </c:lineChart>
      <c:catAx>
        <c:axId val="110761856"/>
        <c:scaling>
          <c:orientation val="minMax"/>
        </c:scaling>
        <c:axPos val="b"/>
        <c:numFmt formatCode="General" sourceLinked="0"/>
        <c:majorTickMark val="none"/>
        <c:tickLblPos val="low"/>
        <c:crossAx val="110763392"/>
        <c:crosses val="autoZero"/>
        <c:auto val="1"/>
        <c:lblAlgn val="ctr"/>
        <c:lblOffset val="100"/>
      </c:catAx>
      <c:valAx>
        <c:axId val="11076339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110761856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fr-FR"/>
        </a:p>
      </c:txPr>
    </c:legend>
    <c:plotVisOnly val="1"/>
    <c:dispBlanksAs val="gap"/>
  </c:chart>
  <c:spPr>
    <a:ln w="3175">
      <a:solidFill>
        <a:schemeClr val="tx1"/>
      </a:solidFill>
    </a:ln>
  </c:spPr>
  <c:txPr>
    <a:bodyPr/>
    <a:lstStyle/>
    <a:p>
      <a:pPr>
        <a:defRPr sz="500"/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E9F64-C8AF-439B-B11A-65F05C5D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1258</Words>
  <Characters>6924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Bakraoui</dc:creator>
  <cp:lastModifiedBy>HCP</cp:lastModifiedBy>
  <cp:revision>7</cp:revision>
  <cp:lastPrinted>2020-01-14T14:51:00Z</cp:lastPrinted>
  <dcterms:created xsi:type="dcterms:W3CDTF">2021-04-12T12:49:00Z</dcterms:created>
  <dcterms:modified xsi:type="dcterms:W3CDTF">2021-04-14T08:03:00Z</dcterms:modified>
</cp:coreProperties>
</file>