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D3350E" w:rsidP="009B7BDC">
      <w:pPr>
        <w:autoSpaceDE w:val="0"/>
        <w:autoSpaceDN w:val="0"/>
        <w:bidi w:val="0"/>
        <w:adjustRightInd w:val="0"/>
        <w:jc w:val="center"/>
        <w:rPr>
          <w:rFonts w:ascii="Book Antiqua" w:hAnsi="Book Antiqua" w:cs="Times New Roman"/>
          <w:b/>
          <w:bCs/>
          <w:noProof w:val="0"/>
          <w:color w:val="008000"/>
          <w:sz w:val="22"/>
          <w:szCs w:val="22"/>
        </w:rPr>
      </w:pPr>
      <w:r>
        <w:rPr>
          <w:rFonts w:ascii="Book Antiqua" w:hAnsi="Book Antiqua" w:cs="Times New Roman"/>
          <w:b/>
          <w:bCs/>
          <w:noProof w:val="0"/>
          <w:color w:val="008000"/>
          <w:sz w:val="22"/>
          <w:szCs w:val="22"/>
        </w:rPr>
        <w:t xml:space="preserve">                   </w:t>
      </w:r>
    </w:p>
    <w:p w:rsidR="009B7BDC" w:rsidRDefault="009B7BDC" w:rsidP="00A636F4">
      <w:pPr>
        <w:autoSpaceDE w:val="0"/>
        <w:autoSpaceDN w:val="0"/>
        <w:bidi w:val="0"/>
        <w:adjustRightInd w:val="0"/>
        <w:jc w:val="center"/>
        <w:rPr>
          <w:rFonts w:ascii="Book Antiqua" w:hAnsi="Book Antiqua" w:cs="Times New Roman"/>
          <w:b/>
          <w:bCs/>
          <w:noProof w:val="0"/>
          <w:color w:val="008000"/>
          <w:sz w:val="22"/>
          <w:szCs w:val="22"/>
        </w:rPr>
      </w:pPr>
    </w:p>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Pr="00592E18" w:rsidRDefault="009B7BDC" w:rsidP="00DA277B">
      <w:pPr>
        <w:autoSpaceDE w:val="0"/>
        <w:autoSpaceDN w:val="0"/>
        <w:bidi w:val="0"/>
        <w:adjustRightInd w:val="0"/>
        <w:jc w:val="center"/>
        <w:rPr>
          <w:rFonts w:ascii="Book Antiqua" w:hAnsi="Book Antiqua" w:cs="Times New Roman"/>
          <w:b/>
          <w:bCs/>
          <w:noProof w:val="0"/>
          <w:color w:val="D99594"/>
          <w:sz w:val="26"/>
          <w:szCs w:val="26"/>
        </w:rPr>
      </w:pPr>
      <w:r w:rsidRPr="00592E18">
        <w:rPr>
          <w:rFonts w:ascii="Book Antiqua" w:hAnsi="Book Antiqua" w:cs="Times New Roman"/>
          <w:b/>
          <w:bCs/>
          <w:noProof w:val="0"/>
          <w:color w:val="D99594"/>
          <w:sz w:val="26"/>
          <w:szCs w:val="26"/>
        </w:rPr>
        <w:t xml:space="preserve">NOTE D’INFORMATION </w:t>
      </w:r>
      <w:r w:rsidR="00A97D34" w:rsidRPr="00592E18">
        <w:rPr>
          <w:rFonts w:ascii="Book Antiqua" w:hAnsi="Book Antiqua" w:cs="Times New Roman"/>
          <w:b/>
          <w:bCs/>
          <w:noProof w:val="0"/>
          <w:color w:val="D99594"/>
          <w:sz w:val="26"/>
          <w:szCs w:val="26"/>
        </w:rPr>
        <w:t>SUR</w:t>
      </w:r>
      <w:r w:rsidRPr="00592E18">
        <w:rPr>
          <w:rFonts w:ascii="Book Antiqua" w:hAnsi="Book Antiqua" w:cs="Times New Roman"/>
          <w:b/>
          <w:bCs/>
          <w:noProof w:val="0"/>
          <w:color w:val="D99594"/>
          <w:sz w:val="26"/>
          <w:szCs w:val="26"/>
        </w:rPr>
        <w:t xml:space="preserve"> LA SITUATION DU MARCHE DU TRAVAIL </w:t>
      </w:r>
      <w:r w:rsidR="00621920" w:rsidRPr="00592E18">
        <w:rPr>
          <w:rFonts w:ascii="Book Antiqua" w:hAnsi="Book Antiqua" w:cs="Times New Roman"/>
          <w:b/>
          <w:bCs/>
          <w:noProof w:val="0"/>
          <w:color w:val="D99594"/>
          <w:sz w:val="26"/>
          <w:szCs w:val="26"/>
        </w:rPr>
        <w:t xml:space="preserve">AU PREMIER TRIMESTRE DE </w:t>
      </w:r>
      <w:r w:rsidR="00D25226" w:rsidRPr="00592E18">
        <w:rPr>
          <w:rFonts w:ascii="Book Antiqua" w:hAnsi="Book Antiqua" w:cs="Times New Roman"/>
          <w:b/>
          <w:bCs/>
          <w:noProof w:val="0"/>
          <w:color w:val="D99594"/>
          <w:sz w:val="26"/>
          <w:szCs w:val="26"/>
        </w:rPr>
        <w:t>20</w:t>
      </w:r>
      <w:r w:rsidR="00DA277B" w:rsidRPr="00592E18">
        <w:rPr>
          <w:rFonts w:ascii="Book Antiqua" w:hAnsi="Book Antiqua" w:cs="Times New Roman"/>
          <w:b/>
          <w:bCs/>
          <w:noProof w:val="0"/>
          <w:color w:val="D99594"/>
          <w:sz w:val="26"/>
          <w:szCs w:val="26"/>
        </w:rPr>
        <w:t>20</w:t>
      </w:r>
      <w:r w:rsidR="00D24176">
        <w:rPr>
          <w:rStyle w:val="Appelnotedebasdep"/>
          <w:rFonts w:ascii="Book Antiqua" w:hAnsi="Book Antiqua" w:cs="Times New Roman"/>
          <w:b/>
          <w:bCs/>
          <w:noProof w:val="0"/>
          <w:color w:val="D99594"/>
          <w:sz w:val="26"/>
          <w:szCs w:val="26"/>
        </w:rPr>
        <w:footnoteReference w:id="2"/>
      </w:r>
    </w:p>
    <w:p w:rsidR="00D25226" w:rsidRDefault="00D25226" w:rsidP="00D25226">
      <w:pPr>
        <w:autoSpaceDE w:val="0"/>
        <w:autoSpaceDN w:val="0"/>
        <w:bidi w:val="0"/>
        <w:adjustRightInd w:val="0"/>
        <w:jc w:val="center"/>
        <w:rPr>
          <w:rFonts w:ascii="Book Antiqua" w:hAnsi="Book Antiqua" w:cs="Times New Roman"/>
          <w:b/>
          <w:bCs/>
          <w:noProof w:val="0"/>
          <w:color w:val="D99594"/>
          <w:sz w:val="26"/>
          <w:szCs w:val="26"/>
        </w:rPr>
      </w:pPr>
    </w:p>
    <w:p w:rsidR="00D25226" w:rsidRDefault="00D25226" w:rsidP="00D25226">
      <w:pPr>
        <w:autoSpaceDE w:val="0"/>
        <w:autoSpaceDN w:val="0"/>
        <w:bidi w:val="0"/>
        <w:adjustRightInd w:val="0"/>
        <w:jc w:val="center"/>
        <w:rPr>
          <w:rFonts w:ascii="Book Antiqua" w:hAnsi="Book Antiqua" w:cs="Times New Roman"/>
          <w:b/>
          <w:bCs/>
          <w:noProof w:val="0"/>
          <w:color w:val="D99594"/>
          <w:sz w:val="26"/>
          <w:szCs w:val="26"/>
        </w:rPr>
      </w:pPr>
    </w:p>
    <w:p w:rsidR="00DA277B" w:rsidRPr="00A976D2" w:rsidRDefault="00DA277B" w:rsidP="00951F93">
      <w:pPr>
        <w:autoSpaceDE w:val="0"/>
        <w:autoSpaceDN w:val="0"/>
        <w:bidi w:val="0"/>
        <w:adjustRightInd w:val="0"/>
        <w:spacing w:before="240" w:after="60" w:line="276" w:lineRule="auto"/>
        <w:jc w:val="both"/>
        <w:rPr>
          <w:rFonts w:ascii="Book Antiqua" w:hAnsi="Book Antiqua" w:cstheme="majorBidi"/>
          <w:color w:val="0070C0"/>
          <w:sz w:val="26"/>
          <w:szCs w:val="26"/>
        </w:rPr>
      </w:pPr>
      <w:r w:rsidRPr="00A976D2">
        <w:rPr>
          <w:rFonts w:ascii="Book Antiqua" w:hAnsi="Book Antiqua" w:cstheme="majorBidi"/>
          <w:color w:val="0070C0"/>
          <w:sz w:val="26"/>
          <w:szCs w:val="26"/>
        </w:rPr>
        <w:t>Entre le premier trimestre de 2019 et la même période de 2020, l’économie marocaine a c</w:t>
      </w:r>
      <w:r w:rsidR="00A976D2">
        <w:rPr>
          <w:rFonts w:ascii="Book Antiqua" w:hAnsi="Book Antiqua" w:cstheme="majorBidi"/>
          <w:color w:val="0070C0"/>
          <w:sz w:val="26"/>
          <w:szCs w:val="26"/>
        </w:rPr>
        <w:t>réé 77.000 postes d’emploi ,</w:t>
      </w:r>
      <w:r w:rsidRPr="00A976D2">
        <w:rPr>
          <w:rFonts w:ascii="Book Antiqua" w:hAnsi="Book Antiqua" w:cstheme="majorBidi"/>
          <w:color w:val="0070C0"/>
          <w:sz w:val="26"/>
          <w:szCs w:val="26"/>
        </w:rPr>
        <w:t xml:space="preserve"> résulta</w:t>
      </w:r>
      <w:r w:rsidR="00951F93">
        <w:rPr>
          <w:rFonts w:ascii="Book Antiqua" w:hAnsi="Book Antiqua" w:cstheme="majorBidi"/>
          <w:color w:val="0070C0"/>
          <w:sz w:val="26"/>
          <w:szCs w:val="26"/>
        </w:rPr>
        <w:t>n</w:t>
      </w:r>
      <w:r w:rsidRPr="00A976D2">
        <w:rPr>
          <w:rFonts w:ascii="Book Antiqua" w:hAnsi="Book Antiqua" w:cstheme="majorBidi"/>
          <w:color w:val="0070C0"/>
          <w:sz w:val="26"/>
          <w:szCs w:val="26"/>
        </w:rPr>
        <w:t xml:space="preserve">t d’une création de 80.000 postes  en milieu urbain et </w:t>
      </w:r>
      <w:r w:rsidR="00951F93">
        <w:rPr>
          <w:rFonts w:ascii="Book Antiqua" w:hAnsi="Book Antiqua" w:cstheme="majorBidi"/>
          <w:color w:val="0070C0"/>
          <w:sz w:val="26"/>
          <w:szCs w:val="26"/>
        </w:rPr>
        <w:t>d’</w:t>
      </w:r>
      <w:r w:rsidRPr="00A976D2">
        <w:rPr>
          <w:rFonts w:ascii="Book Antiqua" w:hAnsi="Book Antiqua" w:cstheme="majorBidi"/>
          <w:color w:val="0070C0"/>
          <w:sz w:val="26"/>
          <w:szCs w:val="26"/>
        </w:rPr>
        <w:t>une perte de 3.000 en milieu rural.</w:t>
      </w:r>
    </w:p>
    <w:p w:rsidR="00DA277B" w:rsidRPr="00A976D2" w:rsidRDefault="00DA277B" w:rsidP="00C36D9C">
      <w:pPr>
        <w:autoSpaceDE w:val="0"/>
        <w:autoSpaceDN w:val="0"/>
        <w:bidi w:val="0"/>
        <w:adjustRightInd w:val="0"/>
        <w:spacing w:before="240" w:after="60" w:line="276" w:lineRule="auto"/>
        <w:jc w:val="both"/>
        <w:rPr>
          <w:rFonts w:ascii="Book Antiqua" w:hAnsi="Book Antiqua" w:cstheme="majorBidi"/>
          <w:color w:val="0070C0"/>
          <w:sz w:val="26"/>
          <w:szCs w:val="26"/>
        </w:rPr>
      </w:pPr>
      <w:r w:rsidRPr="00A976D2">
        <w:rPr>
          <w:rFonts w:ascii="Book Antiqua" w:hAnsi="Book Antiqua" w:cstheme="majorBidi"/>
          <w:color w:val="0070C0"/>
          <w:sz w:val="26"/>
          <w:szCs w:val="26"/>
        </w:rPr>
        <w:t xml:space="preserve">Le secteur des "services" a créé 192.000 postes, </w:t>
      </w:r>
      <w:r w:rsidR="00951F93">
        <w:rPr>
          <w:rFonts w:ascii="Book Antiqua" w:hAnsi="Book Antiqua" w:cstheme="majorBidi"/>
          <w:color w:val="0070C0"/>
          <w:sz w:val="26"/>
          <w:szCs w:val="26"/>
        </w:rPr>
        <w:t xml:space="preserve">celui de </w:t>
      </w:r>
      <w:r w:rsidRPr="00A976D2">
        <w:rPr>
          <w:rFonts w:ascii="Book Antiqua" w:hAnsi="Book Antiqua" w:cstheme="majorBidi"/>
          <w:color w:val="0070C0"/>
          <w:sz w:val="26"/>
          <w:szCs w:val="26"/>
        </w:rPr>
        <w:t>l’"industrie y compris l'artisanat" 23.000 postes, alors que le</w:t>
      </w:r>
      <w:r w:rsidR="00951F93">
        <w:rPr>
          <w:rFonts w:ascii="Book Antiqua" w:hAnsi="Book Antiqua" w:cstheme="majorBidi"/>
          <w:color w:val="0070C0"/>
          <w:sz w:val="26"/>
          <w:szCs w:val="26"/>
        </w:rPr>
        <w:t>s</w:t>
      </w:r>
      <w:r w:rsidRPr="00A976D2">
        <w:rPr>
          <w:rFonts w:ascii="Book Antiqua" w:hAnsi="Book Antiqua" w:cstheme="majorBidi"/>
          <w:color w:val="0070C0"/>
          <w:sz w:val="26"/>
          <w:szCs w:val="26"/>
        </w:rPr>
        <w:t xml:space="preserve"> secteur</w:t>
      </w:r>
      <w:r w:rsidR="00951F93">
        <w:rPr>
          <w:rFonts w:ascii="Book Antiqua" w:hAnsi="Book Antiqua" w:cstheme="majorBidi"/>
          <w:color w:val="0070C0"/>
          <w:sz w:val="26"/>
          <w:szCs w:val="26"/>
        </w:rPr>
        <w:t>s</w:t>
      </w:r>
      <w:r w:rsidRPr="00A976D2">
        <w:rPr>
          <w:rFonts w:ascii="Book Antiqua" w:hAnsi="Book Antiqua" w:cstheme="majorBidi"/>
          <w:color w:val="0070C0"/>
          <w:sz w:val="26"/>
          <w:szCs w:val="26"/>
        </w:rPr>
        <w:t xml:space="preserve"> de l’"agriculture, forêt et pêche" et des BTP ont enregistré</w:t>
      </w:r>
      <w:r w:rsidR="00AD0E67">
        <w:rPr>
          <w:rFonts w:ascii="Book Antiqua" w:hAnsi="Book Antiqua" w:cstheme="majorBidi"/>
          <w:color w:val="0070C0"/>
          <w:sz w:val="26"/>
          <w:szCs w:val="26"/>
        </w:rPr>
        <w:t xml:space="preserve"> </w:t>
      </w:r>
      <w:r w:rsidRPr="00A976D2">
        <w:rPr>
          <w:rFonts w:ascii="Book Antiqua" w:hAnsi="Book Antiqua" w:cstheme="majorBidi"/>
          <w:color w:val="0070C0"/>
          <w:sz w:val="26"/>
          <w:szCs w:val="26"/>
        </w:rPr>
        <w:t xml:space="preserve">une perte de 134.000 et </w:t>
      </w:r>
      <w:r w:rsidR="00F941ED">
        <w:rPr>
          <w:rFonts w:ascii="Book Antiqua" w:hAnsi="Book Antiqua" w:cstheme="majorBidi"/>
          <w:color w:val="0070C0"/>
          <w:sz w:val="26"/>
          <w:szCs w:val="26"/>
        </w:rPr>
        <w:t>de</w:t>
      </w:r>
      <w:r w:rsidR="00C36D9C">
        <w:rPr>
          <w:rFonts w:ascii="Book Antiqua" w:hAnsi="Book Antiqua" w:cstheme="majorBidi"/>
          <w:color w:val="0070C0"/>
          <w:sz w:val="26"/>
          <w:szCs w:val="26"/>
        </w:rPr>
        <w:t xml:space="preserve"> </w:t>
      </w:r>
      <w:r w:rsidRPr="00A976D2">
        <w:rPr>
          <w:rFonts w:ascii="Book Antiqua" w:hAnsi="Book Antiqua" w:cstheme="majorBidi"/>
          <w:color w:val="0070C0"/>
          <w:sz w:val="26"/>
          <w:szCs w:val="26"/>
        </w:rPr>
        <w:t>1.000 postes d’emploi</w:t>
      </w:r>
      <w:r w:rsidR="00C36D9C">
        <w:rPr>
          <w:rFonts w:ascii="Book Antiqua" w:hAnsi="Book Antiqua" w:cstheme="majorBidi"/>
          <w:color w:val="0070C0"/>
          <w:sz w:val="26"/>
          <w:szCs w:val="26"/>
        </w:rPr>
        <w:t xml:space="preserve"> </w:t>
      </w:r>
      <w:r w:rsidR="00F941ED" w:rsidRPr="00CE3BA8">
        <w:rPr>
          <w:rFonts w:ascii="Book Antiqua" w:hAnsi="Book Antiqua" w:cstheme="majorBidi"/>
          <w:color w:val="4F81BD" w:themeColor="accent1"/>
          <w:sz w:val="26"/>
          <w:szCs w:val="26"/>
        </w:rPr>
        <w:t>respectivement</w:t>
      </w:r>
      <w:r w:rsidR="00F941ED" w:rsidRPr="00CE3BA8" w:rsidDel="00951F93">
        <w:rPr>
          <w:rFonts w:ascii="Book Antiqua" w:hAnsi="Book Antiqua" w:cstheme="majorBidi"/>
          <w:color w:val="4F81BD" w:themeColor="accent1"/>
          <w:sz w:val="26"/>
          <w:szCs w:val="26"/>
        </w:rPr>
        <w:t xml:space="preserve"> </w:t>
      </w:r>
      <w:r w:rsidRPr="00CE3BA8">
        <w:rPr>
          <w:rFonts w:ascii="Book Antiqua" w:hAnsi="Book Antiqua" w:cstheme="majorBidi"/>
          <w:color w:val="4F81BD" w:themeColor="accent1"/>
          <w:sz w:val="26"/>
          <w:szCs w:val="26"/>
        </w:rPr>
        <w:t>.</w:t>
      </w:r>
    </w:p>
    <w:p w:rsidR="00DA277B" w:rsidRPr="00A976D2" w:rsidRDefault="00DA277B" w:rsidP="005A60BB">
      <w:pPr>
        <w:autoSpaceDE w:val="0"/>
        <w:autoSpaceDN w:val="0"/>
        <w:bidi w:val="0"/>
        <w:adjustRightInd w:val="0"/>
        <w:spacing w:before="120" w:after="120" w:line="276" w:lineRule="auto"/>
        <w:jc w:val="both"/>
        <w:rPr>
          <w:rFonts w:ascii="Book Antiqua" w:hAnsi="Book Antiqua" w:cstheme="majorBidi"/>
          <w:color w:val="0070C0"/>
          <w:sz w:val="26"/>
          <w:szCs w:val="26"/>
        </w:rPr>
      </w:pPr>
      <w:r w:rsidRPr="00A976D2">
        <w:rPr>
          <w:rFonts w:ascii="Book Antiqua" w:hAnsi="Book Antiqua" w:cstheme="majorBidi"/>
          <w:color w:val="0070C0"/>
          <w:sz w:val="26"/>
          <w:szCs w:val="26"/>
        </w:rPr>
        <w:t>Dans ce contexte, avec une hausse de 165.000 personnes en milieu urbain et de 43.000 en milieu rural, le nombre total de chômeurs a augmenté de 208.000 personnes au niveau national, s’établissant à 1.292.000 chômeurs.</w:t>
      </w:r>
    </w:p>
    <w:p w:rsidR="004E2D89" w:rsidRDefault="008B21BA" w:rsidP="00836E12">
      <w:pPr>
        <w:autoSpaceDE w:val="0"/>
        <w:autoSpaceDN w:val="0"/>
        <w:bidi w:val="0"/>
        <w:adjustRightInd w:val="0"/>
        <w:spacing w:before="120" w:after="120" w:line="276" w:lineRule="auto"/>
        <w:jc w:val="both"/>
        <w:rPr>
          <w:rFonts w:ascii="Book Antiqua" w:hAnsi="Book Antiqua" w:cstheme="majorBidi"/>
          <w:color w:val="0070C0"/>
          <w:sz w:val="26"/>
          <w:szCs w:val="26"/>
        </w:rPr>
      </w:pPr>
      <w:r w:rsidRPr="00A976D2">
        <w:rPr>
          <w:rFonts w:ascii="Book Antiqua" w:hAnsi="Book Antiqua" w:cstheme="majorBidi"/>
          <w:color w:val="0070C0"/>
          <w:sz w:val="26"/>
          <w:szCs w:val="26"/>
        </w:rPr>
        <w:t>Le taux de chômage est ainsi passé</w:t>
      </w:r>
      <w:r w:rsidR="0063534D" w:rsidRPr="00A976D2">
        <w:rPr>
          <w:rFonts w:ascii="Book Antiqua" w:hAnsi="Book Antiqua" w:cstheme="majorBidi" w:hint="cs"/>
          <w:color w:val="0070C0"/>
          <w:sz w:val="26"/>
          <w:szCs w:val="26"/>
          <w:rtl/>
        </w:rPr>
        <w:t xml:space="preserve"> </w:t>
      </w:r>
      <w:r w:rsidR="00FE17B0" w:rsidRPr="00A976D2">
        <w:rPr>
          <w:rFonts w:ascii="Book Antiqua" w:hAnsi="Book Antiqua" w:cstheme="majorBidi"/>
          <w:color w:val="0070C0"/>
          <w:sz w:val="26"/>
          <w:szCs w:val="26"/>
        </w:rPr>
        <w:t xml:space="preserve">de </w:t>
      </w:r>
      <w:r w:rsidR="00164747" w:rsidRPr="00A976D2">
        <w:rPr>
          <w:rFonts w:ascii="Book Antiqua" w:hAnsi="Book Antiqua" w:cstheme="majorBidi"/>
          <w:color w:val="0070C0"/>
          <w:sz w:val="26"/>
          <w:szCs w:val="26"/>
        </w:rPr>
        <w:t>9</w:t>
      </w:r>
      <w:r w:rsidRPr="00A976D2">
        <w:rPr>
          <w:rFonts w:ascii="Book Antiqua" w:hAnsi="Book Antiqua" w:cstheme="majorBidi"/>
          <w:color w:val="0070C0"/>
          <w:sz w:val="26"/>
          <w:szCs w:val="26"/>
        </w:rPr>
        <w:t>,</w:t>
      </w:r>
      <w:r w:rsidR="00164747" w:rsidRPr="00A976D2">
        <w:rPr>
          <w:rFonts w:ascii="Book Antiqua" w:hAnsi="Book Antiqua" w:cstheme="majorBidi"/>
          <w:color w:val="0070C0"/>
          <w:sz w:val="26"/>
          <w:szCs w:val="26"/>
        </w:rPr>
        <w:t>1</w:t>
      </w:r>
      <w:r w:rsidRPr="00A976D2">
        <w:rPr>
          <w:rFonts w:ascii="Book Antiqua" w:hAnsi="Book Antiqua" w:cstheme="majorBidi"/>
          <w:color w:val="0070C0"/>
          <w:sz w:val="26"/>
          <w:szCs w:val="26"/>
        </w:rPr>
        <w:t xml:space="preserve">% à </w:t>
      </w:r>
      <w:r w:rsidR="00527F61" w:rsidRPr="00A976D2">
        <w:rPr>
          <w:rFonts w:ascii="Book Antiqua" w:hAnsi="Book Antiqua" w:cstheme="majorBidi"/>
          <w:color w:val="0070C0"/>
          <w:sz w:val="26"/>
          <w:szCs w:val="26"/>
        </w:rPr>
        <w:t>10</w:t>
      </w:r>
      <w:r w:rsidR="00164747" w:rsidRPr="00A976D2">
        <w:rPr>
          <w:rFonts w:ascii="Book Antiqua" w:hAnsi="Book Antiqua" w:cstheme="majorBidi"/>
          <w:color w:val="0070C0"/>
          <w:sz w:val="26"/>
          <w:szCs w:val="26"/>
        </w:rPr>
        <w:t>,5</w:t>
      </w:r>
      <w:r w:rsidRPr="00A976D2">
        <w:rPr>
          <w:rFonts w:ascii="Book Antiqua" w:hAnsi="Book Antiqua" w:cstheme="majorBidi"/>
          <w:color w:val="0070C0"/>
          <w:sz w:val="26"/>
          <w:szCs w:val="26"/>
        </w:rPr>
        <w:t>% au niveau national</w:t>
      </w:r>
      <w:r w:rsidR="00B41F66" w:rsidRPr="00A976D2">
        <w:rPr>
          <w:rFonts w:ascii="Book Antiqua" w:hAnsi="Book Antiqua" w:cstheme="majorBidi"/>
          <w:color w:val="0070C0"/>
          <w:sz w:val="26"/>
          <w:szCs w:val="26"/>
        </w:rPr>
        <w:t xml:space="preserve">, </w:t>
      </w:r>
      <w:r w:rsidRPr="00A976D2">
        <w:rPr>
          <w:rFonts w:ascii="Book Antiqua" w:hAnsi="Book Antiqua" w:cstheme="majorBidi"/>
          <w:color w:val="0070C0"/>
          <w:sz w:val="26"/>
          <w:szCs w:val="26"/>
        </w:rPr>
        <w:t xml:space="preserve">de </w:t>
      </w:r>
      <w:r w:rsidR="00B41F66" w:rsidRPr="00A976D2">
        <w:rPr>
          <w:rFonts w:ascii="Book Antiqua" w:hAnsi="Book Antiqua" w:cstheme="majorBidi"/>
          <w:color w:val="0070C0"/>
          <w:sz w:val="26"/>
          <w:szCs w:val="26"/>
        </w:rPr>
        <w:t>1</w:t>
      </w:r>
      <w:r w:rsidR="00164747" w:rsidRPr="00A976D2">
        <w:rPr>
          <w:rFonts w:ascii="Book Antiqua" w:hAnsi="Book Antiqua" w:cstheme="majorBidi"/>
          <w:color w:val="0070C0"/>
          <w:sz w:val="26"/>
          <w:szCs w:val="26"/>
        </w:rPr>
        <w:t>3</w:t>
      </w:r>
      <w:r w:rsidRPr="00A976D2">
        <w:rPr>
          <w:rFonts w:ascii="Book Antiqua" w:hAnsi="Book Antiqua" w:cstheme="majorBidi"/>
          <w:color w:val="0070C0"/>
          <w:sz w:val="26"/>
          <w:szCs w:val="26"/>
        </w:rPr>
        <w:t>,</w:t>
      </w:r>
      <w:r w:rsidR="00164747" w:rsidRPr="00A976D2">
        <w:rPr>
          <w:rFonts w:ascii="Book Antiqua" w:hAnsi="Book Antiqua" w:cstheme="majorBidi"/>
          <w:color w:val="0070C0"/>
          <w:sz w:val="26"/>
          <w:szCs w:val="26"/>
        </w:rPr>
        <w:t>3</w:t>
      </w:r>
      <w:r w:rsidRPr="00A976D2">
        <w:rPr>
          <w:rFonts w:ascii="Book Antiqua" w:hAnsi="Book Antiqua" w:cstheme="majorBidi"/>
          <w:color w:val="0070C0"/>
          <w:sz w:val="26"/>
          <w:szCs w:val="26"/>
        </w:rPr>
        <w:t xml:space="preserve">% à </w:t>
      </w:r>
      <w:r w:rsidR="00527F61" w:rsidRPr="00A976D2">
        <w:rPr>
          <w:rFonts w:ascii="Book Antiqua" w:hAnsi="Book Antiqua" w:cstheme="majorBidi"/>
          <w:color w:val="0070C0"/>
          <w:sz w:val="26"/>
          <w:szCs w:val="26"/>
        </w:rPr>
        <w:t>1</w:t>
      </w:r>
      <w:r w:rsidR="00164747" w:rsidRPr="00A976D2">
        <w:rPr>
          <w:rFonts w:ascii="Book Antiqua" w:hAnsi="Book Antiqua" w:cstheme="majorBidi"/>
          <w:color w:val="0070C0"/>
          <w:sz w:val="26"/>
          <w:szCs w:val="26"/>
        </w:rPr>
        <w:t>5</w:t>
      </w:r>
      <w:r w:rsidR="00B41F66" w:rsidRPr="00A976D2">
        <w:rPr>
          <w:rFonts w:ascii="Book Antiqua" w:hAnsi="Book Antiqua" w:cstheme="majorBidi"/>
          <w:color w:val="0070C0"/>
          <w:sz w:val="26"/>
          <w:szCs w:val="26"/>
        </w:rPr>
        <w:t>,</w:t>
      </w:r>
      <w:r w:rsidR="00164747" w:rsidRPr="00A976D2">
        <w:rPr>
          <w:rFonts w:ascii="Book Antiqua" w:hAnsi="Book Antiqua" w:cstheme="majorBidi"/>
          <w:color w:val="0070C0"/>
          <w:sz w:val="26"/>
          <w:szCs w:val="26"/>
        </w:rPr>
        <w:t>1</w:t>
      </w:r>
      <w:r w:rsidRPr="00A976D2">
        <w:rPr>
          <w:rFonts w:ascii="Book Antiqua" w:hAnsi="Book Antiqua" w:cstheme="majorBidi"/>
          <w:color w:val="0070C0"/>
          <w:sz w:val="26"/>
          <w:szCs w:val="26"/>
        </w:rPr>
        <w:t>% en milieu urbain</w:t>
      </w:r>
      <w:r w:rsidR="00B41F66" w:rsidRPr="00A976D2">
        <w:rPr>
          <w:rFonts w:ascii="Book Antiqua" w:hAnsi="Book Antiqua" w:cstheme="majorBidi"/>
          <w:color w:val="0070C0"/>
          <w:sz w:val="26"/>
          <w:szCs w:val="26"/>
        </w:rPr>
        <w:t xml:space="preserve"> et </w:t>
      </w:r>
      <w:r w:rsidRPr="00A976D2">
        <w:rPr>
          <w:rFonts w:ascii="Book Antiqua" w:hAnsi="Book Antiqua" w:cstheme="majorBidi"/>
          <w:color w:val="0070C0"/>
          <w:sz w:val="26"/>
          <w:szCs w:val="26"/>
        </w:rPr>
        <w:t xml:space="preserve">de </w:t>
      </w:r>
      <w:r w:rsidR="00527F61" w:rsidRPr="00A976D2">
        <w:rPr>
          <w:rFonts w:ascii="Book Antiqua" w:hAnsi="Book Antiqua" w:cstheme="majorBidi"/>
          <w:color w:val="0070C0"/>
          <w:sz w:val="26"/>
          <w:szCs w:val="26"/>
        </w:rPr>
        <w:t>3</w:t>
      </w:r>
      <w:r w:rsidRPr="00A976D2">
        <w:rPr>
          <w:rFonts w:ascii="Book Antiqua" w:hAnsi="Book Antiqua" w:cstheme="majorBidi"/>
          <w:color w:val="0070C0"/>
          <w:sz w:val="26"/>
          <w:szCs w:val="26"/>
        </w:rPr>
        <w:t>,</w:t>
      </w:r>
      <w:r w:rsidR="00164747" w:rsidRPr="00A976D2">
        <w:rPr>
          <w:rFonts w:ascii="Book Antiqua" w:hAnsi="Book Antiqua" w:cstheme="majorBidi"/>
          <w:color w:val="0070C0"/>
          <w:sz w:val="26"/>
          <w:szCs w:val="26"/>
        </w:rPr>
        <w:t>1</w:t>
      </w:r>
      <w:r w:rsidRPr="00A976D2">
        <w:rPr>
          <w:rFonts w:ascii="Book Antiqua" w:hAnsi="Book Antiqua" w:cstheme="majorBidi"/>
          <w:color w:val="0070C0"/>
          <w:sz w:val="26"/>
          <w:szCs w:val="26"/>
        </w:rPr>
        <w:t>% à 3,</w:t>
      </w:r>
      <w:r w:rsidR="00164747" w:rsidRPr="00A976D2">
        <w:rPr>
          <w:rFonts w:ascii="Book Antiqua" w:hAnsi="Book Antiqua" w:cstheme="majorBidi"/>
          <w:color w:val="0070C0"/>
          <w:sz w:val="26"/>
          <w:szCs w:val="26"/>
        </w:rPr>
        <w:t>9</w:t>
      </w:r>
      <w:r w:rsidRPr="00A976D2">
        <w:rPr>
          <w:rFonts w:ascii="Book Antiqua" w:hAnsi="Book Antiqua" w:cstheme="majorBidi"/>
          <w:color w:val="0070C0"/>
          <w:sz w:val="26"/>
          <w:szCs w:val="26"/>
        </w:rPr>
        <w:t>%</w:t>
      </w:r>
      <w:r w:rsidR="00B41F66" w:rsidRPr="00A976D2">
        <w:rPr>
          <w:rFonts w:ascii="Book Antiqua" w:hAnsi="Book Antiqua" w:cstheme="majorBidi"/>
          <w:color w:val="0070C0"/>
          <w:sz w:val="26"/>
          <w:szCs w:val="26"/>
        </w:rPr>
        <w:t xml:space="preserve"> en milieu rural</w:t>
      </w:r>
      <w:r w:rsidRPr="00A976D2">
        <w:rPr>
          <w:rFonts w:ascii="Book Antiqua" w:hAnsi="Book Antiqua" w:cstheme="majorBidi"/>
          <w:color w:val="0070C0"/>
          <w:sz w:val="26"/>
          <w:szCs w:val="26"/>
        </w:rPr>
        <w:t xml:space="preserve">. </w:t>
      </w:r>
      <w:r w:rsidR="004E2D89" w:rsidRPr="00411A33">
        <w:rPr>
          <w:rFonts w:ascii="Book Antiqua" w:hAnsi="Book Antiqua" w:cstheme="majorBidi"/>
          <w:color w:val="0070C0"/>
          <w:sz w:val="26"/>
          <w:szCs w:val="26"/>
        </w:rPr>
        <w:t>Ce taux reste relativement élevé parmi les jeunes âgés de 15 à 24 ans avec 26,</w:t>
      </w:r>
      <w:r w:rsidR="004E2D89">
        <w:rPr>
          <w:rFonts w:ascii="Book Antiqua" w:hAnsi="Book Antiqua" w:cstheme="majorBidi" w:hint="cs"/>
          <w:color w:val="0070C0"/>
          <w:sz w:val="26"/>
          <w:szCs w:val="26"/>
          <w:rtl/>
        </w:rPr>
        <w:t>8</w:t>
      </w:r>
      <w:r w:rsidR="004E2D89" w:rsidRPr="00411A33">
        <w:rPr>
          <w:rFonts w:ascii="Book Antiqua" w:hAnsi="Book Antiqua" w:cstheme="majorBidi"/>
          <w:color w:val="0070C0"/>
          <w:sz w:val="26"/>
          <w:szCs w:val="26"/>
        </w:rPr>
        <w:t xml:space="preserve">%, </w:t>
      </w:r>
      <w:r w:rsidR="004E2D89">
        <w:rPr>
          <w:rFonts w:ascii="Book Antiqua" w:hAnsi="Book Antiqua" w:cstheme="majorBidi"/>
          <w:color w:val="0070C0"/>
          <w:sz w:val="26"/>
          <w:szCs w:val="26"/>
        </w:rPr>
        <w:t xml:space="preserve">les </w:t>
      </w:r>
      <w:r w:rsidR="004E2D89" w:rsidRPr="00411A33">
        <w:rPr>
          <w:rFonts w:ascii="Book Antiqua" w:hAnsi="Book Antiqua" w:cstheme="majorBidi"/>
          <w:color w:val="0070C0"/>
          <w:sz w:val="26"/>
          <w:szCs w:val="26"/>
        </w:rPr>
        <w:t>femmes (</w:t>
      </w:r>
      <w:r w:rsidR="004E2D89">
        <w:rPr>
          <w:rFonts w:ascii="Book Antiqua" w:hAnsi="Book Antiqua" w:cstheme="majorBidi"/>
          <w:color w:val="0070C0"/>
          <w:sz w:val="26"/>
          <w:szCs w:val="26"/>
        </w:rPr>
        <w:t>14</w:t>
      </w:r>
      <w:r w:rsidR="004E2D89" w:rsidRPr="00411A33">
        <w:rPr>
          <w:rFonts w:ascii="Book Antiqua" w:hAnsi="Book Antiqua" w:cstheme="majorBidi"/>
          <w:color w:val="0070C0"/>
          <w:sz w:val="26"/>
          <w:szCs w:val="26"/>
        </w:rPr>
        <w:t>,</w:t>
      </w:r>
      <w:r w:rsidR="004E2D89">
        <w:rPr>
          <w:rFonts w:ascii="Book Antiqua" w:hAnsi="Book Antiqua" w:cstheme="majorBidi"/>
          <w:color w:val="0070C0"/>
          <w:sz w:val="26"/>
          <w:szCs w:val="26"/>
        </w:rPr>
        <w:t>3</w:t>
      </w:r>
      <w:r w:rsidR="004E2D89" w:rsidRPr="00411A33">
        <w:rPr>
          <w:rFonts w:ascii="Book Antiqua" w:hAnsi="Book Antiqua" w:cstheme="majorBidi"/>
          <w:color w:val="0070C0"/>
          <w:sz w:val="26"/>
          <w:szCs w:val="26"/>
        </w:rPr>
        <w:t>%) et les diplômés (</w:t>
      </w:r>
      <w:r w:rsidR="004E2D89">
        <w:rPr>
          <w:rFonts w:ascii="Book Antiqua" w:hAnsi="Book Antiqua" w:cstheme="majorBidi"/>
          <w:color w:val="0070C0"/>
          <w:sz w:val="26"/>
          <w:szCs w:val="26"/>
        </w:rPr>
        <w:t>17</w:t>
      </w:r>
      <w:r w:rsidR="004E2D89" w:rsidRPr="00411A33">
        <w:rPr>
          <w:rFonts w:ascii="Book Antiqua" w:hAnsi="Book Antiqua" w:cstheme="majorBidi"/>
          <w:color w:val="0070C0"/>
          <w:sz w:val="26"/>
          <w:szCs w:val="26"/>
        </w:rPr>
        <w:t>,</w:t>
      </w:r>
      <w:r w:rsidR="004E2D89">
        <w:rPr>
          <w:rFonts w:ascii="Book Antiqua" w:hAnsi="Book Antiqua" w:cstheme="majorBidi"/>
          <w:color w:val="0070C0"/>
          <w:sz w:val="26"/>
          <w:szCs w:val="26"/>
        </w:rPr>
        <w:t>8</w:t>
      </w:r>
      <w:r w:rsidR="004E2D89" w:rsidRPr="00411A33">
        <w:rPr>
          <w:rFonts w:ascii="Book Antiqua" w:hAnsi="Book Antiqua" w:cstheme="majorBidi"/>
          <w:color w:val="0070C0"/>
          <w:sz w:val="26"/>
          <w:szCs w:val="26"/>
        </w:rPr>
        <w:t>%).</w:t>
      </w:r>
    </w:p>
    <w:p w:rsidR="004E2D89" w:rsidRDefault="004E2D89" w:rsidP="00951F93">
      <w:pPr>
        <w:autoSpaceDE w:val="0"/>
        <w:autoSpaceDN w:val="0"/>
        <w:bidi w:val="0"/>
        <w:adjustRightInd w:val="0"/>
        <w:spacing w:before="240" w:line="312" w:lineRule="auto"/>
        <w:jc w:val="both"/>
        <w:rPr>
          <w:rFonts w:ascii="Book Antiqua" w:hAnsi="Book Antiqua" w:cstheme="majorBidi"/>
          <w:color w:val="0070C0"/>
          <w:sz w:val="26"/>
          <w:szCs w:val="26"/>
        </w:rPr>
      </w:pPr>
      <w:r w:rsidRPr="00413C4E">
        <w:rPr>
          <w:rFonts w:ascii="Book Antiqua" w:hAnsi="Book Antiqua" w:cstheme="majorBidi"/>
          <w:color w:val="0070C0"/>
          <w:sz w:val="26"/>
          <w:szCs w:val="26"/>
        </w:rPr>
        <w:t xml:space="preserve">La population active occupée en situation de sous-emploi lié au nombre d’heures travaillées a atteint </w:t>
      </w:r>
      <w:r>
        <w:rPr>
          <w:rFonts w:ascii="Book Antiqua" w:hAnsi="Book Antiqua" w:cstheme="majorBidi"/>
          <w:color w:val="0070C0"/>
          <w:sz w:val="26"/>
          <w:szCs w:val="26"/>
        </w:rPr>
        <w:t>443</w:t>
      </w:r>
      <w:r w:rsidRPr="00413C4E">
        <w:rPr>
          <w:rFonts w:ascii="Book Antiqua" w:hAnsi="Book Antiqua" w:cstheme="majorBidi"/>
          <w:color w:val="0070C0"/>
          <w:sz w:val="26"/>
          <w:szCs w:val="26"/>
        </w:rPr>
        <w:t xml:space="preserve">.000 personnes avec un taux de </w:t>
      </w:r>
      <w:r w:rsidR="00450821">
        <w:rPr>
          <w:rFonts w:ascii="Book Antiqua" w:hAnsi="Book Antiqua" w:cstheme="majorBidi"/>
          <w:color w:val="0070C0"/>
          <w:sz w:val="26"/>
          <w:szCs w:val="26"/>
        </w:rPr>
        <w:t>4 ,1</w:t>
      </w:r>
      <w:r w:rsidRPr="00413C4E">
        <w:rPr>
          <w:rFonts w:ascii="Book Antiqua" w:hAnsi="Book Antiqua" w:cstheme="majorBidi"/>
          <w:color w:val="0070C0"/>
          <w:sz w:val="26"/>
          <w:szCs w:val="26"/>
        </w:rPr>
        <w:t xml:space="preserve">%. La population en situation de sous-emploi lié à l’insuffisance </w:t>
      </w:r>
      <w:r w:rsidR="00951F93" w:rsidRPr="00413C4E">
        <w:rPr>
          <w:rFonts w:ascii="Book Antiqua" w:hAnsi="Book Antiqua" w:cstheme="majorBidi"/>
          <w:color w:val="0070C0"/>
          <w:sz w:val="26"/>
          <w:szCs w:val="26"/>
        </w:rPr>
        <w:t>d</w:t>
      </w:r>
      <w:r w:rsidR="00951F93">
        <w:rPr>
          <w:rFonts w:ascii="Book Antiqua" w:hAnsi="Book Antiqua" w:cstheme="majorBidi"/>
          <w:color w:val="0070C0"/>
          <w:sz w:val="26"/>
          <w:szCs w:val="26"/>
        </w:rPr>
        <w:t>e</w:t>
      </w:r>
      <w:r w:rsidR="00951F93" w:rsidRPr="00413C4E">
        <w:rPr>
          <w:rFonts w:ascii="Book Antiqua" w:hAnsi="Book Antiqua" w:cstheme="majorBidi"/>
          <w:color w:val="0070C0"/>
          <w:sz w:val="26"/>
          <w:szCs w:val="26"/>
        </w:rPr>
        <w:t xml:space="preserve"> </w:t>
      </w:r>
      <w:r w:rsidRPr="00413C4E">
        <w:rPr>
          <w:rFonts w:ascii="Book Antiqua" w:hAnsi="Book Antiqua" w:cstheme="majorBidi"/>
          <w:color w:val="0070C0"/>
          <w:sz w:val="26"/>
          <w:szCs w:val="26"/>
        </w:rPr>
        <w:t>revenu ou à l’inadéquation entre la formation et l’emploi exercé est de 5</w:t>
      </w:r>
      <w:r w:rsidR="00A976D2">
        <w:rPr>
          <w:rFonts w:ascii="Book Antiqua" w:hAnsi="Book Antiqua" w:cstheme="majorBidi"/>
          <w:color w:val="0070C0"/>
          <w:sz w:val="26"/>
          <w:szCs w:val="26"/>
        </w:rPr>
        <w:t>11</w:t>
      </w:r>
      <w:r w:rsidRPr="00413C4E">
        <w:rPr>
          <w:rFonts w:ascii="Book Antiqua" w:hAnsi="Book Antiqua" w:cstheme="majorBidi"/>
          <w:color w:val="0070C0"/>
          <w:sz w:val="26"/>
          <w:szCs w:val="26"/>
        </w:rPr>
        <w:t>.000 personnes (</w:t>
      </w:r>
      <w:r w:rsidR="00450821">
        <w:rPr>
          <w:rFonts w:ascii="Book Antiqua" w:hAnsi="Book Antiqua" w:cstheme="majorBidi"/>
          <w:color w:val="0070C0"/>
          <w:sz w:val="26"/>
          <w:szCs w:val="26"/>
        </w:rPr>
        <w:t>4</w:t>
      </w:r>
      <w:r w:rsidRPr="00413C4E">
        <w:rPr>
          <w:rFonts w:ascii="Book Antiqua" w:hAnsi="Book Antiqua" w:cstheme="majorBidi"/>
          <w:color w:val="0070C0"/>
          <w:sz w:val="26"/>
          <w:szCs w:val="26"/>
        </w:rPr>
        <w:t>,</w:t>
      </w:r>
      <w:r w:rsidR="00450821">
        <w:rPr>
          <w:rFonts w:ascii="Book Antiqua" w:hAnsi="Book Antiqua" w:cstheme="majorBidi"/>
          <w:color w:val="0070C0"/>
          <w:sz w:val="26"/>
          <w:szCs w:val="26"/>
        </w:rPr>
        <w:t>7</w:t>
      </w:r>
      <w:r w:rsidRPr="00413C4E">
        <w:rPr>
          <w:rFonts w:ascii="Book Antiqua" w:hAnsi="Book Antiqua" w:cstheme="majorBidi"/>
          <w:color w:val="0070C0"/>
          <w:sz w:val="26"/>
          <w:szCs w:val="26"/>
        </w:rPr>
        <w:t xml:space="preserve">%). </w:t>
      </w:r>
      <w:r>
        <w:rPr>
          <w:rFonts w:ascii="Book Antiqua" w:hAnsi="Book Antiqua" w:cstheme="majorBidi"/>
          <w:color w:val="0070C0"/>
          <w:sz w:val="26"/>
          <w:szCs w:val="26"/>
        </w:rPr>
        <w:t xml:space="preserve"> En somme</w:t>
      </w:r>
      <w:r w:rsidRPr="00413C4E">
        <w:rPr>
          <w:rFonts w:ascii="Book Antiqua" w:hAnsi="Book Antiqua" w:cstheme="majorBidi"/>
          <w:color w:val="0070C0"/>
          <w:sz w:val="26"/>
          <w:szCs w:val="26"/>
        </w:rPr>
        <w:t>, le volume du sous-emploi, dans ses deux composantes, est</w:t>
      </w:r>
      <w:r>
        <w:rPr>
          <w:rFonts w:ascii="Book Antiqua" w:hAnsi="Book Antiqua" w:cstheme="majorBidi"/>
          <w:color w:val="0070C0"/>
          <w:sz w:val="26"/>
          <w:szCs w:val="26"/>
        </w:rPr>
        <w:t xml:space="preserve"> de 9</w:t>
      </w:r>
      <w:r w:rsidR="00A976D2">
        <w:rPr>
          <w:rFonts w:ascii="Book Antiqua" w:hAnsi="Book Antiqua" w:cstheme="majorBidi"/>
          <w:color w:val="0070C0"/>
          <w:sz w:val="26"/>
          <w:szCs w:val="26"/>
        </w:rPr>
        <w:t>54</w:t>
      </w:r>
      <w:r>
        <w:rPr>
          <w:rFonts w:ascii="Book Antiqua" w:hAnsi="Book Antiqua" w:cstheme="majorBidi"/>
          <w:color w:val="0070C0"/>
          <w:sz w:val="26"/>
          <w:szCs w:val="26"/>
        </w:rPr>
        <w:t xml:space="preserve">.000 personnes. Le taux global </w:t>
      </w:r>
      <w:r w:rsidRPr="00413C4E">
        <w:rPr>
          <w:rFonts w:ascii="Book Antiqua" w:hAnsi="Book Antiqua" w:cstheme="majorBidi"/>
          <w:color w:val="0070C0"/>
          <w:sz w:val="26"/>
          <w:szCs w:val="26"/>
        </w:rPr>
        <w:t xml:space="preserve">de sous-emploi est passé de </w:t>
      </w:r>
      <w:r w:rsidR="00A976D2">
        <w:rPr>
          <w:rFonts w:ascii="Book Antiqua" w:hAnsi="Book Antiqua" w:cstheme="majorBidi"/>
          <w:color w:val="0070C0"/>
          <w:sz w:val="28"/>
          <w:szCs w:val="28"/>
        </w:rPr>
        <w:t>9,7</w:t>
      </w:r>
      <w:r w:rsidR="00A976D2" w:rsidRPr="00391E0C">
        <w:rPr>
          <w:rFonts w:ascii="Book Antiqua" w:hAnsi="Book Antiqua" w:cstheme="majorBidi"/>
          <w:color w:val="0070C0"/>
          <w:sz w:val="28"/>
          <w:szCs w:val="28"/>
        </w:rPr>
        <w:t xml:space="preserve">% à </w:t>
      </w:r>
      <w:r w:rsidR="00A976D2">
        <w:rPr>
          <w:rFonts w:ascii="Book Antiqua" w:hAnsi="Book Antiqua" w:cstheme="majorBidi"/>
          <w:color w:val="0070C0"/>
          <w:sz w:val="28"/>
          <w:szCs w:val="28"/>
        </w:rPr>
        <w:t>8,8</w:t>
      </w:r>
      <w:r w:rsidR="00A976D2" w:rsidRPr="00391E0C">
        <w:rPr>
          <w:rFonts w:ascii="Book Antiqua" w:hAnsi="Book Antiqua" w:cstheme="majorBidi"/>
          <w:color w:val="0070C0"/>
          <w:sz w:val="28"/>
          <w:szCs w:val="28"/>
        </w:rPr>
        <w:t>%</w:t>
      </w:r>
      <w:r w:rsidR="00A976D2">
        <w:rPr>
          <w:rFonts w:ascii="Book Antiqua" w:hAnsi="Book Antiqua" w:cstheme="majorBidi"/>
          <w:color w:val="0070C0"/>
          <w:sz w:val="28"/>
          <w:szCs w:val="28"/>
        </w:rPr>
        <w:t xml:space="preserve"> </w:t>
      </w:r>
      <w:r w:rsidRPr="00413C4E">
        <w:rPr>
          <w:rFonts w:ascii="Book Antiqua" w:hAnsi="Book Antiqua" w:cstheme="majorBidi"/>
          <w:color w:val="0070C0"/>
          <w:sz w:val="26"/>
          <w:szCs w:val="26"/>
        </w:rPr>
        <w:t xml:space="preserve">au niveau national, de </w:t>
      </w:r>
      <w:r w:rsidR="00A976D2">
        <w:rPr>
          <w:rFonts w:ascii="Book Antiqua" w:hAnsi="Book Antiqua" w:cstheme="majorBidi"/>
          <w:color w:val="0070C0"/>
          <w:sz w:val="28"/>
          <w:szCs w:val="28"/>
        </w:rPr>
        <w:t>8,8%</w:t>
      </w:r>
      <w:r w:rsidR="00A976D2" w:rsidRPr="00391E0C">
        <w:rPr>
          <w:rFonts w:ascii="Book Antiqua" w:hAnsi="Book Antiqua" w:cstheme="majorBidi"/>
          <w:color w:val="0070C0"/>
          <w:sz w:val="28"/>
          <w:szCs w:val="28"/>
        </w:rPr>
        <w:t xml:space="preserve"> à </w:t>
      </w:r>
      <w:r w:rsidR="00A976D2">
        <w:rPr>
          <w:rFonts w:ascii="Book Antiqua" w:hAnsi="Book Antiqua" w:cstheme="majorBidi"/>
          <w:color w:val="0070C0"/>
          <w:sz w:val="28"/>
          <w:szCs w:val="28"/>
        </w:rPr>
        <w:t>8,7</w:t>
      </w:r>
      <w:r w:rsidR="00A976D2" w:rsidRPr="00391E0C">
        <w:rPr>
          <w:rFonts w:ascii="Book Antiqua" w:hAnsi="Book Antiqua" w:cstheme="majorBidi"/>
          <w:color w:val="0070C0"/>
          <w:sz w:val="28"/>
          <w:szCs w:val="28"/>
        </w:rPr>
        <w:t xml:space="preserve">% </w:t>
      </w:r>
      <w:r w:rsidRPr="00413C4E">
        <w:rPr>
          <w:rFonts w:ascii="Book Antiqua" w:hAnsi="Book Antiqua" w:cstheme="majorBidi"/>
          <w:color w:val="0070C0"/>
          <w:sz w:val="26"/>
          <w:szCs w:val="26"/>
        </w:rPr>
        <w:t xml:space="preserve">en milieu urbain et de </w:t>
      </w:r>
      <w:r w:rsidR="00A976D2">
        <w:rPr>
          <w:rFonts w:ascii="Book Antiqua" w:hAnsi="Book Antiqua" w:cstheme="majorBidi"/>
          <w:color w:val="0070C0"/>
          <w:sz w:val="28"/>
          <w:szCs w:val="28"/>
        </w:rPr>
        <w:t>10,7</w:t>
      </w:r>
      <w:r w:rsidR="00A976D2" w:rsidRPr="00391E0C">
        <w:rPr>
          <w:rFonts w:ascii="Book Antiqua" w:hAnsi="Book Antiqua" w:cstheme="majorBidi"/>
          <w:color w:val="0070C0"/>
          <w:sz w:val="28"/>
          <w:szCs w:val="28"/>
        </w:rPr>
        <w:t xml:space="preserve">% à </w:t>
      </w:r>
      <w:r w:rsidR="00A976D2">
        <w:rPr>
          <w:rFonts w:ascii="Book Antiqua" w:hAnsi="Book Antiqua" w:cstheme="majorBidi"/>
          <w:color w:val="0070C0"/>
          <w:sz w:val="28"/>
          <w:szCs w:val="28"/>
        </w:rPr>
        <w:t>8,9</w:t>
      </w:r>
      <w:r w:rsidR="00A976D2" w:rsidRPr="00391E0C">
        <w:rPr>
          <w:rFonts w:ascii="Book Antiqua" w:hAnsi="Book Antiqua" w:cstheme="majorBidi"/>
          <w:color w:val="0070C0"/>
          <w:sz w:val="28"/>
          <w:szCs w:val="28"/>
        </w:rPr>
        <w:t>%</w:t>
      </w:r>
      <w:r w:rsidRPr="00413C4E">
        <w:rPr>
          <w:rFonts w:ascii="Book Antiqua" w:hAnsi="Book Antiqua" w:cstheme="majorBidi"/>
          <w:color w:val="0070C0"/>
          <w:sz w:val="26"/>
          <w:szCs w:val="26"/>
        </w:rPr>
        <w:t xml:space="preserve"> en milieu rural.</w:t>
      </w:r>
      <w:r w:rsidR="00215B05">
        <w:rPr>
          <w:rFonts w:ascii="Book Antiqua" w:hAnsi="Book Antiqua" w:cstheme="majorBidi"/>
          <w:color w:val="0070C0"/>
          <w:sz w:val="26"/>
          <w:szCs w:val="26"/>
        </w:rPr>
        <w:t> </w:t>
      </w:r>
    </w:p>
    <w:p w:rsidR="004E2D89" w:rsidRDefault="004E2D89" w:rsidP="004E2D89">
      <w:pPr>
        <w:autoSpaceDE w:val="0"/>
        <w:autoSpaceDN w:val="0"/>
        <w:bidi w:val="0"/>
        <w:adjustRightInd w:val="0"/>
        <w:spacing w:before="120" w:after="120" w:line="276" w:lineRule="auto"/>
        <w:jc w:val="both"/>
        <w:rPr>
          <w:rFonts w:ascii="Book Antiqua" w:hAnsi="Book Antiqua" w:cstheme="majorBidi"/>
          <w:color w:val="0070C0"/>
          <w:sz w:val="26"/>
          <w:szCs w:val="26"/>
          <w:rtl/>
        </w:rPr>
      </w:pPr>
    </w:p>
    <w:p w:rsidR="0087218B" w:rsidRPr="00215B05" w:rsidRDefault="000D6BE1" w:rsidP="00F941ED">
      <w:pPr>
        <w:bidi w:val="0"/>
        <w:rPr>
          <w:rFonts w:ascii="Book Antiqua" w:hAnsi="Book Antiqua" w:cs="Times New Roman"/>
          <w:b/>
          <w:bCs/>
          <w:noProof w:val="0"/>
          <w:color w:val="0070C0"/>
          <w:sz w:val="28"/>
          <w:szCs w:val="28"/>
        </w:rPr>
      </w:pPr>
      <w:r>
        <w:rPr>
          <w:rFonts w:ascii="Book Antiqua" w:hAnsi="Book Antiqua" w:cs="Times New Roman"/>
          <w:noProof w:val="0"/>
          <w:color w:val="0070C0"/>
          <w:sz w:val="28"/>
          <w:szCs w:val="28"/>
        </w:rPr>
        <w:br w:type="page"/>
      </w:r>
      <w:r w:rsidR="00F941ED" w:rsidRPr="00215B05">
        <w:rPr>
          <w:rFonts w:ascii="Book Antiqua" w:hAnsi="Book Antiqua" w:cs="Times New Roman"/>
          <w:b/>
          <w:bCs/>
          <w:noProof w:val="0"/>
          <w:color w:val="0070C0"/>
          <w:sz w:val="28"/>
          <w:szCs w:val="28"/>
        </w:rPr>
        <w:lastRenderedPageBreak/>
        <w:t>Hausse du t</w:t>
      </w:r>
      <w:r w:rsidR="0087218B" w:rsidRPr="00215B05">
        <w:rPr>
          <w:rFonts w:ascii="Book Antiqua" w:hAnsi="Book Antiqua" w:cs="Times New Roman"/>
          <w:b/>
          <w:bCs/>
          <w:noProof w:val="0"/>
          <w:color w:val="0070C0"/>
          <w:sz w:val="28"/>
          <w:szCs w:val="28"/>
        </w:rPr>
        <w:t>aux d’activité</w:t>
      </w:r>
      <w:r w:rsidR="00DA277B" w:rsidRPr="00215B05">
        <w:rPr>
          <w:rFonts w:ascii="Book Antiqua" w:hAnsi="Book Antiqua" w:cs="Times New Roman"/>
          <w:b/>
          <w:bCs/>
          <w:noProof w:val="0"/>
          <w:color w:val="0070C0"/>
          <w:sz w:val="28"/>
          <w:szCs w:val="28"/>
        </w:rPr>
        <w:t xml:space="preserve"> </w:t>
      </w:r>
      <w:r w:rsidR="00F941ED" w:rsidRPr="00215B05">
        <w:rPr>
          <w:rFonts w:ascii="Book Antiqua" w:hAnsi="Book Antiqua" w:cs="Times New Roman"/>
          <w:b/>
          <w:bCs/>
          <w:noProof w:val="0"/>
          <w:color w:val="0070C0"/>
          <w:sz w:val="28"/>
          <w:szCs w:val="28"/>
        </w:rPr>
        <w:t xml:space="preserve">et </w:t>
      </w:r>
      <w:r w:rsidR="00DA277B" w:rsidRPr="00215B05">
        <w:rPr>
          <w:rFonts w:ascii="Book Antiqua" w:hAnsi="Book Antiqua" w:cs="Times New Roman"/>
          <w:b/>
          <w:bCs/>
          <w:noProof w:val="0"/>
          <w:color w:val="0070C0"/>
          <w:sz w:val="28"/>
          <w:szCs w:val="28"/>
        </w:rPr>
        <w:t>baisse</w:t>
      </w:r>
      <w:r w:rsidR="0063534D" w:rsidRPr="00215B05">
        <w:rPr>
          <w:rFonts w:ascii="Book Antiqua" w:hAnsi="Book Antiqua" w:cs="Times New Roman" w:hint="cs"/>
          <w:b/>
          <w:bCs/>
          <w:noProof w:val="0"/>
          <w:color w:val="0070C0"/>
          <w:sz w:val="28"/>
          <w:szCs w:val="28"/>
          <w:rtl/>
        </w:rPr>
        <w:t xml:space="preserve"> </w:t>
      </w:r>
      <w:r w:rsidR="00DA277B" w:rsidRPr="00215B05">
        <w:rPr>
          <w:rFonts w:ascii="Book Antiqua" w:hAnsi="Book Antiqua" w:cs="Times New Roman"/>
          <w:b/>
          <w:bCs/>
          <w:noProof w:val="0"/>
          <w:color w:val="0070C0"/>
          <w:sz w:val="28"/>
          <w:szCs w:val="28"/>
        </w:rPr>
        <w:t xml:space="preserve">du taux </w:t>
      </w:r>
      <w:r w:rsidR="0087218B" w:rsidRPr="00215B05">
        <w:rPr>
          <w:rFonts w:ascii="Book Antiqua" w:hAnsi="Book Antiqua" w:cs="Times New Roman"/>
          <w:b/>
          <w:bCs/>
          <w:noProof w:val="0"/>
          <w:color w:val="0070C0"/>
          <w:sz w:val="28"/>
          <w:szCs w:val="28"/>
        </w:rPr>
        <w:t>d’emploi</w:t>
      </w:r>
    </w:p>
    <w:p w:rsidR="0087218B" w:rsidRPr="00215B05" w:rsidRDefault="0087218B" w:rsidP="00014CF6">
      <w:pPr>
        <w:autoSpaceDE w:val="0"/>
        <w:autoSpaceDN w:val="0"/>
        <w:bidi w:val="0"/>
        <w:adjustRightInd w:val="0"/>
        <w:spacing w:line="276" w:lineRule="auto"/>
        <w:jc w:val="both"/>
        <w:rPr>
          <w:rFonts w:ascii="Book Antiqua" w:hAnsi="Book Antiqua" w:cs="Times New Roman"/>
          <w:b/>
          <w:bCs/>
          <w:noProof w:val="0"/>
          <w:sz w:val="12"/>
          <w:szCs w:val="12"/>
        </w:rPr>
      </w:pPr>
    </w:p>
    <w:p w:rsidR="009B7BDC" w:rsidRDefault="001D6147" w:rsidP="00215B05">
      <w:pPr>
        <w:autoSpaceDE w:val="0"/>
        <w:autoSpaceDN w:val="0"/>
        <w:bidi w:val="0"/>
        <w:adjustRightInd w:val="0"/>
        <w:spacing w:line="276" w:lineRule="auto"/>
        <w:jc w:val="both"/>
        <w:rPr>
          <w:rFonts w:ascii="Book Antiqua" w:hAnsi="Book Antiqua" w:cs="Times New Roman"/>
          <w:noProof w:val="0"/>
          <w:sz w:val="26"/>
          <w:szCs w:val="26"/>
        </w:rPr>
      </w:pPr>
      <w:r w:rsidRPr="00694793">
        <w:rPr>
          <w:rFonts w:ascii="Book Antiqua" w:hAnsi="Book Antiqua" w:cs="Times New Roman"/>
          <w:noProof w:val="0"/>
          <w:sz w:val="26"/>
          <w:szCs w:val="26"/>
        </w:rPr>
        <w:t xml:space="preserve">Avec </w:t>
      </w:r>
      <w:r w:rsidR="003624E5">
        <w:rPr>
          <w:rFonts w:ascii="Book Antiqua" w:hAnsi="Book Antiqua" w:cs="Times New Roman"/>
          <w:noProof w:val="0"/>
          <w:sz w:val="26"/>
          <w:szCs w:val="26"/>
        </w:rPr>
        <w:t>12</w:t>
      </w:r>
      <w:r w:rsidRPr="00694793">
        <w:rPr>
          <w:rFonts w:ascii="Book Antiqua" w:hAnsi="Book Antiqua" w:cs="Times New Roman"/>
          <w:noProof w:val="0"/>
          <w:sz w:val="26"/>
          <w:szCs w:val="26"/>
        </w:rPr>
        <w:t>.</w:t>
      </w:r>
      <w:r w:rsidR="0066691D">
        <w:rPr>
          <w:rFonts w:ascii="Book Antiqua" w:hAnsi="Book Antiqua" w:cs="Times New Roman"/>
          <w:noProof w:val="0"/>
          <w:sz w:val="26"/>
          <w:szCs w:val="26"/>
        </w:rPr>
        <w:t>249</w:t>
      </w:r>
      <w:r w:rsidRPr="00694793">
        <w:rPr>
          <w:rFonts w:ascii="Book Antiqua" w:hAnsi="Book Antiqua" w:cs="Times New Roman"/>
          <w:noProof w:val="0"/>
          <w:sz w:val="26"/>
          <w:szCs w:val="26"/>
        </w:rPr>
        <w:t>.000 personnes, l</w:t>
      </w:r>
      <w:r w:rsidR="009B7BDC" w:rsidRPr="00694793">
        <w:rPr>
          <w:rFonts w:ascii="Book Antiqua" w:hAnsi="Book Antiqua" w:cs="Times New Roman"/>
          <w:noProof w:val="0"/>
          <w:sz w:val="26"/>
          <w:szCs w:val="26"/>
        </w:rPr>
        <w:t>a population active âgée de 15 ans et plus</w:t>
      </w:r>
      <w:r w:rsidR="0063534D">
        <w:rPr>
          <w:rFonts w:ascii="Book Antiqua" w:hAnsi="Book Antiqua" w:cs="Times New Roman" w:hint="cs"/>
          <w:noProof w:val="0"/>
          <w:sz w:val="26"/>
          <w:szCs w:val="26"/>
          <w:rtl/>
        </w:rPr>
        <w:t xml:space="preserve"> </w:t>
      </w:r>
      <w:r w:rsidR="005C1E3E" w:rsidRPr="00694793">
        <w:rPr>
          <w:rFonts w:ascii="Book Antiqua" w:hAnsi="Book Antiqua" w:cs="Times New Roman"/>
          <w:noProof w:val="0"/>
          <w:sz w:val="26"/>
          <w:szCs w:val="26"/>
        </w:rPr>
        <w:t xml:space="preserve">a </w:t>
      </w:r>
      <w:r w:rsidR="0066691D">
        <w:rPr>
          <w:rFonts w:ascii="Book Antiqua" w:hAnsi="Book Antiqua" w:cs="Times New Roman"/>
          <w:noProof w:val="0"/>
          <w:sz w:val="26"/>
          <w:szCs w:val="26"/>
        </w:rPr>
        <w:t>augmenté</w:t>
      </w:r>
      <w:r w:rsidRPr="00694793">
        <w:rPr>
          <w:rFonts w:ascii="Book Antiqua" w:hAnsi="Book Antiqua" w:cs="Times New Roman"/>
          <w:noProof w:val="0"/>
          <w:sz w:val="26"/>
          <w:szCs w:val="26"/>
        </w:rPr>
        <w:t>, entre le</w:t>
      </w:r>
      <w:r w:rsidR="00464B5F" w:rsidRPr="00694793">
        <w:rPr>
          <w:rFonts w:ascii="Book Antiqua" w:hAnsi="Book Antiqua" w:cs="Times New Roman"/>
          <w:noProof w:val="0"/>
          <w:sz w:val="26"/>
          <w:szCs w:val="26"/>
        </w:rPr>
        <w:t xml:space="preserve"> premier trimestre de </w:t>
      </w:r>
      <w:r w:rsidR="003624E5">
        <w:rPr>
          <w:rFonts w:ascii="Book Antiqua" w:hAnsi="Book Antiqua" w:cs="Times New Roman"/>
          <w:noProof w:val="0"/>
          <w:sz w:val="26"/>
          <w:szCs w:val="26"/>
        </w:rPr>
        <w:t>201</w:t>
      </w:r>
      <w:r w:rsidR="0066691D">
        <w:rPr>
          <w:rFonts w:ascii="Book Antiqua" w:hAnsi="Book Antiqua" w:cs="Times New Roman"/>
          <w:noProof w:val="0"/>
          <w:sz w:val="26"/>
          <w:szCs w:val="26"/>
        </w:rPr>
        <w:t>9</w:t>
      </w:r>
      <w:r w:rsidR="00464B5F" w:rsidRPr="00694793">
        <w:rPr>
          <w:rFonts w:ascii="Book Antiqua" w:hAnsi="Book Antiqua" w:cs="Times New Roman"/>
          <w:noProof w:val="0"/>
          <w:sz w:val="26"/>
          <w:szCs w:val="26"/>
        </w:rPr>
        <w:t xml:space="preserve"> et</w:t>
      </w:r>
      <w:r w:rsidR="00951F93">
        <w:rPr>
          <w:rFonts w:ascii="Book Antiqua" w:hAnsi="Book Antiqua" w:cs="Times New Roman"/>
          <w:noProof w:val="0"/>
          <w:sz w:val="26"/>
          <w:szCs w:val="26"/>
        </w:rPr>
        <w:t xml:space="preserve"> </w:t>
      </w:r>
      <w:r w:rsidR="00F941ED">
        <w:rPr>
          <w:rFonts w:ascii="Book Antiqua" w:hAnsi="Book Antiqua" w:cs="Times New Roman"/>
          <w:noProof w:val="0"/>
          <w:sz w:val="26"/>
          <w:szCs w:val="26"/>
        </w:rPr>
        <w:t xml:space="preserve">celui </w:t>
      </w:r>
      <w:r w:rsidR="00951F93">
        <w:rPr>
          <w:rFonts w:ascii="Book Antiqua" w:hAnsi="Book Antiqua" w:cs="Times New Roman"/>
          <w:noProof w:val="0"/>
          <w:sz w:val="26"/>
          <w:szCs w:val="26"/>
        </w:rPr>
        <w:t>de</w:t>
      </w:r>
      <w:r w:rsidR="00464B5F" w:rsidRPr="00694793">
        <w:rPr>
          <w:rFonts w:ascii="Book Antiqua" w:hAnsi="Book Antiqua" w:cs="Times New Roman"/>
          <w:noProof w:val="0"/>
          <w:sz w:val="26"/>
          <w:szCs w:val="26"/>
        </w:rPr>
        <w:t xml:space="preserve"> </w:t>
      </w:r>
      <w:r w:rsidR="003624E5">
        <w:rPr>
          <w:rFonts w:ascii="Book Antiqua" w:hAnsi="Book Antiqua" w:cs="Times New Roman"/>
          <w:noProof w:val="0"/>
          <w:sz w:val="26"/>
          <w:szCs w:val="26"/>
        </w:rPr>
        <w:t>20</w:t>
      </w:r>
      <w:r w:rsidR="0066691D">
        <w:rPr>
          <w:rFonts w:ascii="Book Antiqua" w:hAnsi="Book Antiqua" w:cs="Times New Roman"/>
          <w:noProof w:val="0"/>
          <w:sz w:val="26"/>
          <w:szCs w:val="26"/>
        </w:rPr>
        <w:t>20</w:t>
      </w:r>
      <w:r w:rsidRPr="00694793">
        <w:rPr>
          <w:rFonts w:ascii="Book Antiqua" w:hAnsi="Book Antiqua" w:cs="Times New Roman"/>
          <w:noProof w:val="0"/>
          <w:sz w:val="26"/>
          <w:szCs w:val="26"/>
        </w:rPr>
        <w:t xml:space="preserve">, </w:t>
      </w:r>
      <w:r w:rsidR="00B33A95" w:rsidRPr="00694793">
        <w:rPr>
          <w:rFonts w:ascii="Book Antiqua" w:hAnsi="Book Antiqua" w:cs="Times New Roman"/>
          <w:noProof w:val="0"/>
          <w:sz w:val="26"/>
          <w:szCs w:val="26"/>
        </w:rPr>
        <w:t xml:space="preserve">de </w:t>
      </w:r>
      <w:r w:rsidR="0066691D">
        <w:rPr>
          <w:rFonts w:ascii="Book Antiqua" w:hAnsi="Book Antiqua" w:cs="Times New Roman"/>
          <w:noProof w:val="0"/>
          <w:sz w:val="26"/>
          <w:szCs w:val="26"/>
        </w:rPr>
        <w:t>2</w:t>
      </w:r>
      <w:r w:rsidR="004E6FB0" w:rsidRPr="00694793">
        <w:rPr>
          <w:rFonts w:ascii="Book Antiqua" w:hAnsi="Book Antiqua" w:cs="Times New Roman"/>
          <w:noProof w:val="0"/>
          <w:sz w:val="26"/>
          <w:szCs w:val="26"/>
        </w:rPr>
        <w:t>,</w:t>
      </w:r>
      <w:r w:rsidR="00563B7F">
        <w:rPr>
          <w:rFonts w:ascii="Book Antiqua" w:hAnsi="Book Antiqua" w:cs="Times New Roman"/>
          <w:noProof w:val="0"/>
          <w:sz w:val="26"/>
          <w:szCs w:val="26"/>
        </w:rPr>
        <w:t>4</w:t>
      </w:r>
      <w:r w:rsidR="00B33A95" w:rsidRPr="00694793">
        <w:rPr>
          <w:rFonts w:ascii="Book Antiqua" w:hAnsi="Book Antiqua" w:cs="Times New Roman"/>
          <w:noProof w:val="0"/>
          <w:sz w:val="26"/>
          <w:szCs w:val="26"/>
        </w:rPr>
        <w:t xml:space="preserve">% au niveau national </w:t>
      </w:r>
      <w:r w:rsidR="00F941ED" w:rsidRPr="00694793">
        <w:rPr>
          <w:rFonts w:ascii="Book Antiqua" w:hAnsi="Book Antiqua" w:cs="Times New Roman"/>
          <w:noProof w:val="0"/>
          <w:sz w:val="26"/>
          <w:szCs w:val="26"/>
        </w:rPr>
        <w:t>(</w:t>
      </w:r>
      <w:r w:rsidR="00F941ED">
        <w:rPr>
          <w:rFonts w:ascii="Book Antiqua" w:hAnsi="Book Antiqua" w:cs="Times New Roman"/>
          <w:noProof w:val="0"/>
          <w:sz w:val="26"/>
          <w:szCs w:val="26"/>
        </w:rPr>
        <w:t xml:space="preserve">hausse de </w:t>
      </w:r>
      <w:r w:rsidR="0066691D">
        <w:rPr>
          <w:rFonts w:ascii="Book Antiqua" w:hAnsi="Book Antiqua" w:cs="Times New Roman"/>
          <w:noProof w:val="0"/>
          <w:sz w:val="26"/>
          <w:szCs w:val="26"/>
        </w:rPr>
        <w:t>3</w:t>
      </w:r>
      <w:r w:rsidR="009D2A50" w:rsidRPr="00694793">
        <w:rPr>
          <w:rFonts w:ascii="Book Antiqua" w:hAnsi="Book Antiqua" w:cs="Times New Roman"/>
          <w:noProof w:val="0"/>
          <w:sz w:val="26"/>
          <w:szCs w:val="26"/>
        </w:rPr>
        <w:t>,</w:t>
      </w:r>
      <w:r w:rsidR="0066691D">
        <w:rPr>
          <w:rFonts w:ascii="Book Antiqua" w:hAnsi="Book Antiqua" w:cs="Times New Roman"/>
          <w:noProof w:val="0"/>
          <w:sz w:val="26"/>
          <w:szCs w:val="26"/>
        </w:rPr>
        <w:t>5</w:t>
      </w:r>
      <w:r w:rsidR="009D2A50" w:rsidRPr="00694793">
        <w:rPr>
          <w:rFonts w:ascii="Book Antiqua" w:hAnsi="Book Antiqua" w:cs="Times New Roman"/>
          <w:noProof w:val="0"/>
          <w:sz w:val="26"/>
          <w:szCs w:val="26"/>
        </w:rPr>
        <w:t xml:space="preserve">% en milieu </w:t>
      </w:r>
      <w:r w:rsidR="003624E5">
        <w:rPr>
          <w:rFonts w:ascii="Book Antiqua" w:hAnsi="Book Antiqua" w:cs="Times New Roman"/>
          <w:noProof w:val="0"/>
          <w:sz w:val="26"/>
          <w:szCs w:val="26"/>
        </w:rPr>
        <w:t>urbain</w:t>
      </w:r>
      <w:r w:rsidR="0063534D">
        <w:rPr>
          <w:rFonts w:ascii="Book Antiqua" w:hAnsi="Book Antiqua" w:cs="Times New Roman" w:hint="cs"/>
          <w:noProof w:val="0"/>
          <w:sz w:val="26"/>
          <w:szCs w:val="26"/>
          <w:rtl/>
        </w:rPr>
        <w:t xml:space="preserve"> </w:t>
      </w:r>
      <w:r w:rsidR="009D2A50">
        <w:rPr>
          <w:rFonts w:ascii="Book Antiqua" w:hAnsi="Book Antiqua" w:cs="Times New Roman"/>
          <w:noProof w:val="0"/>
          <w:sz w:val="26"/>
          <w:szCs w:val="26"/>
        </w:rPr>
        <w:t xml:space="preserve">et </w:t>
      </w:r>
      <w:r w:rsidR="00F941ED">
        <w:rPr>
          <w:rFonts w:ascii="Book Antiqua" w:hAnsi="Book Antiqua" w:cs="Times New Roman"/>
          <w:noProof w:val="0"/>
          <w:sz w:val="26"/>
          <w:szCs w:val="26"/>
        </w:rPr>
        <w:t xml:space="preserve">de </w:t>
      </w:r>
      <w:r w:rsidR="0066691D">
        <w:rPr>
          <w:rFonts w:ascii="Book Antiqua" w:hAnsi="Book Antiqua" w:cs="Times New Roman"/>
          <w:noProof w:val="0"/>
          <w:sz w:val="26"/>
          <w:szCs w:val="26"/>
        </w:rPr>
        <w:t>0</w:t>
      </w:r>
      <w:r w:rsidR="00B33A95" w:rsidRPr="00694793">
        <w:rPr>
          <w:rFonts w:ascii="Book Antiqua" w:hAnsi="Book Antiqua" w:cs="Times New Roman"/>
          <w:noProof w:val="0"/>
          <w:sz w:val="26"/>
          <w:szCs w:val="26"/>
        </w:rPr>
        <w:t>,</w:t>
      </w:r>
      <w:r w:rsidR="0066691D">
        <w:rPr>
          <w:rFonts w:ascii="Book Antiqua" w:hAnsi="Book Antiqua" w:cs="Times New Roman"/>
          <w:noProof w:val="0"/>
          <w:sz w:val="26"/>
          <w:szCs w:val="26"/>
        </w:rPr>
        <w:t>8</w:t>
      </w:r>
      <w:r w:rsidR="00B33A95" w:rsidRPr="00694793">
        <w:rPr>
          <w:rFonts w:ascii="Book Antiqua" w:hAnsi="Book Antiqua" w:cs="Times New Roman"/>
          <w:noProof w:val="0"/>
          <w:sz w:val="26"/>
          <w:szCs w:val="26"/>
        </w:rPr>
        <w:t xml:space="preserve">% en milieu </w:t>
      </w:r>
      <w:r w:rsidR="003624E5">
        <w:rPr>
          <w:rFonts w:ascii="Book Antiqua" w:hAnsi="Book Antiqua" w:cs="Times New Roman"/>
          <w:noProof w:val="0"/>
          <w:sz w:val="26"/>
          <w:szCs w:val="26"/>
        </w:rPr>
        <w:t>rural</w:t>
      </w:r>
      <w:r w:rsidR="00B33A95" w:rsidRPr="00694793">
        <w:rPr>
          <w:rFonts w:ascii="Book Antiqua" w:hAnsi="Book Antiqua" w:cs="Times New Roman"/>
          <w:noProof w:val="0"/>
          <w:sz w:val="26"/>
          <w:szCs w:val="26"/>
        </w:rPr>
        <w:t>)</w:t>
      </w:r>
      <w:r w:rsidR="009B7BDC" w:rsidRPr="00694793">
        <w:rPr>
          <w:rFonts w:ascii="Book Antiqua" w:hAnsi="Book Antiqua" w:cs="Times New Roman"/>
          <w:noProof w:val="0"/>
          <w:sz w:val="26"/>
          <w:szCs w:val="26"/>
        </w:rPr>
        <w:t>.</w:t>
      </w:r>
      <w:r w:rsidR="00955B5F">
        <w:rPr>
          <w:rFonts w:ascii="Book Antiqua" w:hAnsi="Book Antiqua" w:cs="Times New Roman"/>
          <w:noProof w:val="0"/>
          <w:sz w:val="26"/>
          <w:szCs w:val="26"/>
        </w:rPr>
        <w:t xml:space="preserve"> </w:t>
      </w:r>
      <w:r w:rsidR="00DB580E" w:rsidRPr="00694793">
        <w:rPr>
          <w:rFonts w:ascii="Book Antiqua" w:hAnsi="Book Antiqua" w:cs="Times New Roman"/>
          <w:noProof w:val="0"/>
          <w:sz w:val="26"/>
          <w:szCs w:val="26"/>
        </w:rPr>
        <w:t>Ainsi, l</w:t>
      </w:r>
      <w:r w:rsidR="00D41611" w:rsidRPr="00694793">
        <w:rPr>
          <w:rFonts w:ascii="Book Antiqua" w:hAnsi="Book Antiqua" w:cs="Times New Roman"/>
          <w:noProof w:val="0"/>
          <w:sz w:val="26"/>
          <w:szCs w:val="26"/>
        </w:rPr>
        <w:t>e taux d’activité</w:t>
      </w:r>
      <w:r w:rsidR="0063534D">
        <w:rPr>
          <w:rFonts w:ascii="Book Antiqua" w:hAnsi="Book Antiqua" w:cs="Times New Roman" w:hint="cs"/>
          <w:noProof w:val="0"/>
          <w:sz w:val="26"/>
          <w:szCs w:val="26"/>
          <w:rtl/>
        </w:rPr>
        <w:t xml:space="preserve"> </w:t>
      </w:r>
      <w:r w:rsidR="00B33A95" w:rsidRPr="00694793">
        <w:rPr>
          <w:rFonts w:ascii="Book Antiqua" w:hAnsi="Book Antiqua" w:cs="Times New Roman"/>
          <w:noProof w:val="0"/>
          <w:sz w:val="26"/>
          <w:szCs w:val="26"/>
        </w:rPr>
        <w:t>est passé</w:t>
      </w:r>
      <w:r w:rsidR="00014CF6" w:rsidRPr="00694793">
        <w:rPr>
          <w:rFonts w:ascii="Book Antiqua" w:hAnsi="Book Antiqua" w:cs="Times New Roman"/>
          <w:noProof w:val="0"/>
          <w:sz w:val="26"/>
          <w:szCs w:val="26"/>
        </w:rPr>
        <w:t xml:space="preserve"> </w:t>
      </w:r>
      <w:r w:rsidR="0063534D">
        <w:rPr>
          <w:rFonts w:ascii="Book Antiqua" w:hAnsi="Book Antiqua" w:cs="Times New Roman" w:hint="cs"/>
          <w:noProof w:val="0"/>
          <w:sz w:val="26"/>
          <w:szCs w:val="26"/>
          <w:rtl/>
        </w:rPr>
        <w:t xml:space="preserve"> </w:t>
      </w:r>
      <w:r w:rsidR="009B7BDC" w:rsidRPr="00694793">
        <w:rPr>
          <w:rFonts w:ascii="Book Antiqua" w:hAnsi="Book Antiqua" w:cs="Times New Roman"/>
          <w:noProof w:val="0"/>
          <w:sz w:val="26"/>
          <w:szCs w:val="26"/>
        </w:rPr>
        <w:t xml:space="preserve">de </w:t>
      </w:r>
      <w:r w:rsidR="0066691D">
        <w:rPr>
          <w:rFonts w:ascii="Book Antiqua" w:hAnsi="Book Antiqua" w:cs="Times New Roman"/>
          <w:noProof w:val="0"/>
          <w:sz w:val="26"/>
          <w:szCs w:val="26"/>
        </w:rPr>
        <w:t>45</w:t>
      </w:r>
      <w:r w:rsidR="0066691D" w:rsidRPr="00DA6A9A">
        <w:rPr>
          <w:rFonts w:ascii="Book Antiqua" w:hAnsi="Book Antiqua" w:cs="Times New Roman"/>
          <w:noProof w:val="0"/>
          <w:sz w:val="26"/>
          <w:szCs w:val="26"/>
        </w:rPr>
        <w:t>,</w:t>
      </w:r>
      <w:r w:rsidR="0066691D">
        <w:rPr>
          <w:rFonts w:ascii="Book Antiqua" w:hAnsi="Book Antiqua" w:cs="Times New Roman"/>
          <w:noProof w:val="0"/>
          <w:sz w:val="26"/>
          <w:szCs w:val="26"/>
        </w:rPr>
        <w:t>7</w:t>
      </w:r>
      <w:r w:rsidR="0066691D" w:rsidRPr="00DA6A9A">
        <w:rPr>
          <w:rFonts w:ascii="Book Antiqua" w:hAnsi="Book Antiqua" w:cs="Times New Roman"/>
          <w:noProof w:val="0"/>
          <w:sz w:val="26"/>
          <w:szCs w:val="26"/>
        </w:rPr>
        <w:t xml:space="preserve">% à </w:t>
      </w:r>
      <w:r w:rsidR="0066691D">
        <w:rPr>
          <w:rFonts w:ascii="Book Antiqua" w:hAnsi="Book Antiqua" w:cs="Times New Roman"/>
          <w:noProof w:val="0"/>
          <w:sz w:val="26"/>
          <w:szCs w:val="26"/>
        </w:rPr>
        <w:t>46</w:t>
      </w:r>
      <w:r w:rsidR="0066691D" w:rsidRPr="00DA6A9A">
        <w:rPr>
          <w:rFonts w:ascii="Book Antiqua" w:hAnsi="Book Antiqua" w:cs="Times New Roman"/>
          <w:noProof w:val="0"/>
          <w:sz w:val="26"/>
          <w:szCs w:val="26"/>
        </w:rPr>
        <w:t>,</w:t>
      </w:r>
      <w:r w:rsidR="0066691D">
        <w:rPr>
          <w:rFonts w:ascii="Book Antiqua" w:hAnsi="Book Antiqua" w:cs="Times New Roman"/>
          <w:noProof w:val="0"/>
          <w:sz w:val="26"/>
          <w:szCs w:val="26"/>
        </w:rPr>
        <w:t>0</w:t>
      </w:r>
      <w:r w:rsidR="0066691D" w:rsidRPr="00DA6A9A">
        <w:rPr>
          <w:rFonts w:ascii="Book Antiqua" w:hAnsi="Book Antiqua" w:cs="Times New Roman"/>
          <w:noProof w:val="0"/>
          <w:sz w:val="26"/>
          <w:szCs w:val="26"/>
        </w:rPr>
        <w:t>%</w:t>
      </w:r>
      <w:r w:rsidR="00F941ED">
        <w:rPr>
          <w:rFonts w:ascii="Book Antiqua" w:hAnsi="Book Antiqua" w:cs="Times New Roman"/>
          <w:noProof w:val="0"/>
          <w:sz w:val="26"/>
          <w:szCs w:val="26"/>
        </w:rPr>
        <w:t xml:space="preserve"> au niveau national</w:t>
      </w:r>
      <w:r w:rsidR="0066691D">
        <w:rPr>
          <w:rFonts w:ascii="Book Antiqua" w:hAnsi="Book Antiqua" w:cs="Times New Roman"/>
          <w:noProof w:val="0"/>
          <w:sz w:val="26"/>
          <w:szCs w:val="26"/>
        </w:rPr>
        <w:t>,</w:t>
      </w:r>
      <w:r w:rsidR="00446136">
        <w:rPr>
          <w:rFonts w:ascii="Book Antiqua" w:hAnsi="Book Antiqua" w:cs="Times New Roman"/>
          <w:noProof w:val="0"/>
          <w:sz w:val="26"/>
          <w:szCs w:val="26"/>
        </w:rPr>
        <w:t xml:space="preserve"> </w:t>
      </w:r>
      <w:r w:rsidR="00036D21" w:rsidRPr="00DA6A9A">
        <w:rPr>
          <w:rFonts w:ascii="Book Antiqua" w:hAnsi="Book Antiqua" w:cs="Times New Roman"/>
          <w:noProof w:val="0"/>
          <w:sz w:val="26"/>
          <w:szCs w:val="26"/>
        </w:rPr>
        <w:t>de</w:t>
      </w:r>
      <w:r w:rsidR="00036D21">
        <w:rPr>
          <w:rFonts w:ascii="Book Antiqua" w:hAnsi="Book Antiqua" w:cs="Times New Roman"/>
          <w:noProof w:val="0"/>
          <w:sz w:val="26"/>
          <w:szCs w:val="26"/>
        </w:rPr>
        <w:t xml:space="preserve"> 4</w:t>
      </w:r>
      <w:r w:rsidR="0066691D">
        <w:rPr>
          <w:rFonts w:ascii="Book Antiqua" w:hAnsi="Book Antiqua" w:cs="Times New Roman"/>
          <w:noProof w:val="0"/>
          <w:sz w:val="26"/>
          <w:szCs w:val="26"/>
        </w:rPr>
        <w:t>1</w:t>
      </w:r>
      <w:r w:rsidR="00036D21" w:rsidRPr="00DA6A9A">
        <w:rPr>
          <w:rFonts w:ascii="Book Antiqua" w:hAnsi="Book Antiqua" w:cs="Times New Roman"/>
          <w:noProof w:val="0"/>
          <w:sz w:val="26"/>
          <w:szCs w:val="26"/>
        </w:rPr>
        <w:t>,</w:t>
      </w:r>
      <w:r w:rsidR="0066691D">
        <w:rPr>
          <w:rFonts w:ascii="Book Antiqua" w:hAnsi="Book Antiqua" w:cs="Times New Roman"/>
          <w:noProof w:val="0"/>
          <w:sz w:val="26"/>
          <w:szCs w:val="26"/>
        </w:rPr>
        <w:t>6</w:t>
      </w:r>
      <w:r w:rsidR="00036D21" w:rsidRPr="00DA6A9A">
        <w:rPr>
          <w:rFonts w:ascii="Book Antiqua" w:hAnsi="Book Antiqua" w:cs="Times New Roman"/>
          <w:noProof w:val="0"/>
          <w:sz w:val="26"/>
          <w:szCs w:val="26"/>
        </w:rPr>
        <w:t xml:space="preserve">% à </w:t>
      </w:r>
      <w:r w:rsidR="00036D21">
        <w:rPr>
          <w:rFonts w:ascii="Book Antiqua" w:hAnsi="Book Antiqua" w:cs="Times New Roman"/>
          <w:noProof w:val="0"/>
          <w:sz w:val="26"/>
          <w:szCs w:val="26"/>
        </w:rPr>
        <w:t>4</w:t>
      </w:r>
      <w:r w:rsidR="0066691D">
        <w:rPr>
          <w:rFonts w:ascii="Book Antiqua" w:hAnsi="Book Antiqua" w:cs="Times New Roman"/>
          <w:noProof w:val="0"/>
          <w:sz w:val="26"/>
          <w:szCs w:val="26"/>
        </w:rPr>
        <w:t>2</w:t>
      </w:r>
      <w:r w:rsidR="00036D21" w:rsidRPr="00DA6A9A">
        <w:rPr>
          <w:rFonts w:ascii="Book Antiqua" w:hAnsi="Book Antiqua" w:cs="Times New Roman"/>
          <w:noProof w:val="0"/>
          <w:sz w:val="26"/>
          <w:szCs w:val="26"/>
        </w:rPr>
        <w:t>,</w:t>
      </w:r>
      <w:r w:rsidR="0066691D">
        <w:rPr>
          <w:rFonts w:ascii="Book Antiqua" w:hAnsi="Book Antiqua" w:cs="Times New Roman"/>
          <w:noProof w:val="0"/>
          <w:sz w:val="26"/>
          <w:szCs w:val="26"/>
        </w:rPr>
        <w:t>1</w:t>
      </w:r>
      <w:r w:rsidR="00036D21" w:rsidRPr="00DA6A9A">
        <w:rPr>
          <w:rFonts w:ascii="Book Antiqua" w:hAnsi="Book Antiqua" w:cs="Times New Roman"/>
          <w:noProof w:val="0"/>
          <w:sz w:val="26"/>
          <w:szCs w:val="26"/>
        </w:rPr>
        <w:t>%</w:t>
      </w:r>
      <w:r w:rsidR="00332C8A">
        <w:rPr>
          <w:rFonts w:ascii="Book Antiqua" w:hAnsi="Book Antiqua" w:cs="Times New Roman"/>
          <w:noProof w:val="0"/>
          <w:sz w:val="26"/>
          <w:szCs w:val="26"/>
        </w:rPr>
        <w:t xml:space="preserve"> </w:t>
      </w:r>
      <w:r w:rsidR="00563B7F" w:rsidRPr="00DA6A9A">
        <w:rPr>
          <w:rFonts w:ascii="Book Antiqua" w:hAnsi="Book Antiqua" w:cs="Times New Roman"/>
          <w:noProof w:val="0"/>
          <w:sz w:val="26"/>
          <w:szCs w:val="26"/>
        </w:rPr>
        <w:t>en milieu urbain</w:t>
      </w:r>
      <w:r w:rsidR="0063534D">
        <w:rPr>
          <w:rFonts w:ascii="Book Antiqua" w:hAnsi="Book Antiqua" w:cs="Times New Roman" w:hint="cs"/>
          <w:noProof w:val="0"/>
          <w:sz w:val="26"/>
          <w:szCs w:val="26"/>
          <w:rtl/>
        </w:rPr>
        <w:t xml:space="preserve"> </w:t>
      </w:r>
      <w:r w:rsidR="00036D21">
        <w:rPr>
          <w:rFonts w:ascii="Book Antiqua" w:hAnsi="Book Antiqua" w:cs="Times New Roman"/>
          <w:noProof w:val="0"/>
          <w:sz w:val="26"/>
          <w:szCs w:val="26"/>
        </w:rPr>
        <w:t xml:space="preserve">et </w:t>
      </w:r>
      <w:r w:rsidR="00036D21" w:rsidRPr="00DA6A9A">
        <w:rPr>
          <w:rFonts w:ascii="Book Antiqua" w:hAnsi="Book Antiqua" w:cs="Times New Roman"/>
          <w:noProof w:val="0"/>
          <w:sz w:val="26"/>
          <w:szCs w:val="26"/>
        </w:rPr>
        <w:t>de</w:t>
      </w:r>
      <w:r w:rsidR="0063534D">
        <w:rPr>
          <w:rFonts w:ascii="Book Antiqua" w:hAnsi="Book Antiqua" w:cs="Times New Roman" w:hint="cs"/>
          <w:noProof w:val="0"/>
          <w:sz w:val="26"/>
          <w:szCs w:val="26"/>
          <w:rtl/>
        </w:rPr>
        <w:t xml:space="preserve"> </w:t>
      </w:r>
      <w:r w:rsidR="0066691D">
        <w:rPr>
          <w:rFonts w:ascii="Book Antiqua" w:hAnsi="Book Antiqua" w:cs="Times New Roman"/>
          <w:noProof w:val="0"/>
          <w:sz w:val="26"/>
          <w:szCs w:val="26"/>
        </w:rPr>
        <w:t>53</w:t>
      </w:r>
      <w:r w:rsidR="00036D21" w:rsidRPr="00DA6A9A">
        <w:rPr>
          <w:rFonts w:ascii="Book Antiqua" w:hAnsi="Book Antiqua" w:cs="Times New Roman"/>
          <w:noProof w:val="0"/>
          <w:sz w:val="26"/>
          <w:szCs w:val="26"/>
        </w:rPr>
        <w:t>,</w:t>
      </w:r>
      <w:r w:rsidR="0066691D">
        <w:rPr>
          <w:rFonts w:ascii="Book Antiqua" w:hAnsi="Book Antiqua" w:cs="Times New Roman"/>
          <w:noProof w:val="0"/>
          <w:sz w:val="26"/>
          <w:szCs w:val="26"/>
        </w:rPr>
        <w:t>0</w:t>
      </w:r>
      <w:r w:rsidR="00036D21" w:rsidRPr="00DA6A9A">
        <w:rPr>
          <w:rFonts w:ascii="Book Antiqua" w:hAnsi="Book Antiqua" w:cs="Times New Roman"/>
          <w:noProof w:val="0"/>
          <w:sz w:val="26"/>
          <w:szCs w:val="26"/>
        </w:rPr>
        <w:t xml:space="preserve">% à </w:t>
      </w:r>
      <w:r w:rsidR="00036D21">
        <w:rPr>
          <w:rFonts w:ascii="Book Antiqua" w:hAnsi="Book Antiqua" w:cs="Times New Roman"/>
          <w:noProof w:val="0"/>
          <w:sz w:val="26"/>
          <w:szCs w:val="26"/>
        </w:rPr>
        <w:t>5</w:t>
      </w:r>
      <w:r w:rsidR="0066691D">
        <w:rPr>
          <w:rFonts w:ascii="Book Antiqua" w:hAnsi="Book Antiqua" w:cs="Times New Roman"/>
          <w:noProof w:val="0"/>
          <w:sz w:val="26"/>
          <w:szCs w:val="26"/>
        </w:rPr>
        <w:t>3</w:t>
      </w:r>
      <w:r w:rsidR="00036D21" w:rsidRPr="00DA6A9A">
        <w:rPr>
          <w:rFonts w:ascii="Book Antiqua" w:hAnsi="Book Antiqua" w:cs="Times New Roman"/>
          <w:noProof w:val="0"/>
          <w:sz w:val="26"/>
          <w:szCs w:val="26"/>
        </w:rPr>
        <w:t>,</w:t>
      </w:r>
      <w:r w:rsidR="0066691D">
        <w:rPr>
          <w:rFonts w:ascii="Book Antiqua" w:hAnsi="Book Antiqua" w:cs="Times New Roman"/>
          <w:noProof w:val="0"/>
          <w:sz w:val="26"/>
          <w:szCs w:val="26"/>
        </w:rPr>
        <w:t>3</w:t>
      </w:r>
      <w:r w:rsidR="00036D21" w:rsidRPr="00DA6A9A">
        <w:rPr>
          <w:rFonts w:ascii="Book Antiqua" w:hAnsi="Book Antiqua" w:cs="Times New Roman"/>
          <w:noProof w:val="0"/>
          <w:sz w:val="26"/>
          <w:szCs w:val="26"/>
        </w:rPr>
        <w:t>%</w:t>
      </w:r>
      <w:r w:rsidR="00563B7F">
        <w:rPr>
          <w:rFonts w:ascii="Book Antiqua" w:hAnsi="Book Antiqua" w:cs="Times New Roman"/>
          <w:noProof w:val="0"/>
          <w:sz w:val="26"/>
          <w:szCs w:val="26"/>
        </w:rPr>
        <w:t xml:space="preserve"> en milieu rural</w:t>
      </w:r>
      <w:r w:rsidR="00036D21" w:rsidRPr="00DA6A9A">
        <w:rPr>
          <w:rFonts w:ascii="Book Antiqua" w:hAnsi="Book Antiqua" w:cs="Times New Roman"/>
          <w:noProof w:val="0"/>
          <w:sz w:val="26"/>
          <w:szCs w:val="26"/>
        </w:rPr>
        <w:t>.</w:t>
      </w:r>
      <w:r w:rsidR="00215B05">
        <w:rPr>
          <w:rFonts w:ascii="Book Antiqua" w:hAnsi="Book Antiqua" w:cs="Times New Roman"/>
          <w:noProof w:val="0"/>
          <w:sz w:val="26"/>
          <w:szCs w:val="26"/>
        </w:rPr>
        <w:t> </w:t>
      </w:r>
    </w:p>
    <w:p w:rsidR="00C55DFD" w:rsidRDefault="00C55DFD" w:rsidP="00C55DFD">
      <w:pPr>
        <w:autoSpaceDE w:val="0"/>
        <w:autoSpaceDN w:val="0"/>
        <w:bidi w:val="0"/>
        <w:adjustRightInd w:val="0"/>
        <w:spacing w:line="276" w:lineRule="auto"/>
        <w:jc w:val="both"/>
        <w:rPr>
          <w:rFonts w:ascii="Book Antiqua" w:hAnsi="Book Antiqua" w:cs="Times New Roman"/>
          <w:noProof w:val="0"/>
          <w:sz w:val="26"/>
          <w:szCs w:val="26"/>
        </w:rPr>
      </w:pPr>
    </w:p>
    <w:p w:rsidR="00C55DFD" w:rsidRDefault="00C55DFD" w:rsidP="00332C8A">
      <w:pPr>
        <w:shd w:val="clear" w:color="auto" w:fill="FFFFFF" w:themeFill="background1"/>
        <w:autoSpaceDE w:val="0"/>
        <w:autoSpaceDN w:val="0"/>
        <w:bidi w:val="0"/>
        <w:adjustRightInd w:val="0"/>
        <w:spacing w:line="276" w:lineRule="auto"/>
        <w:jc w:val="both"/>
        <w:rPr>
          <w:rFonts w:ascii="Book Antiqua" w:hAnsi="Book Antiqua" w:cs="Times New Roman"/>
          <w:noProof w:val="0"/>
          <w:sz w:val="26"/>
          <w:szCs w:val="26"/>
        </w:rPr>
      </w:pPr>
      <w:r w:rsidRPr="00332C8A">
        <w:rPr>
          <w:rFonts w:ascii="Book Antiqua" w:hAnsi="Book Antiqua" w:cs="Times New Roman"/>
          <w:noProof w:val="0"/>
          <w:sz w:val="26"/>
          <w:szCs w:val="26"/>
        </w:rPr>
        <w:t>Avec une création de 80.000 emplois en milieu urbain et une perte de 3.000 en milieu rural, l’économie nationale a créé 77.000 postes d’emploi. Le volume global d’emploi est ainsi passé, entre les deux périodes, de 10.880.000 à 10.957.000 personnes. Le taux d’emploi a, quant à lui, reculé de 0,3</w:t>
      </w:r>
      <w:r w:rsidRPr="00332C8A">
        <w:rPr>
          <w:rFonts w:ascii="Book Antiqua" w:hAnsi="Book Antiqua" w:cs="Times New Roman"/>
          <w:noProof w:val="0"/>
          <w:sz w:val="26"/>
          <w:szCs w:val="26"/>
          <w:rtl/>
        </w:rPr>
        <w:t xml:space="preserve"> </w:t>
      </w:r>
      <w:r w:rsidRPr="00332C8A">
        <w:rPr>
          <w:rFonts w:ascii="Book Antiqua" w:hAnsi="Book Antiqua" w:cs="Times New Roman"/>
          <w:noProof w:val="0"/>
          <w:sz w:val="26"/>
          <w:szCs w:val="26"/>
        </w:rPr>
        <w:t>point au niveau national, passant de 41,5% à 41,2%. Ce taux a baissé de 36,1% à 35,7%en milieu urbain et de 51,4% à 51,2% en milieu rural.</w:t>
      </w:r>
      <w:r>
        <w:rPr>
          <w:rFonts w:ascii="Book Antiqua" w:hAnsi="Book Antiqua" w:cs="Times New Roman"/>
          <w:noProof w:val="0"/>
          <w:sz w:val="26"/>
          <w:szCs w:val="26"/>
        </w:rPr>
        <w:t xml:space="preserve"> </w:t>
      </w:r>
    </w:p>
    <w:p w:rsidR="009B7BDC" w:rsidRPr="00694793" w:rsidRDefault="009B7BDC" w:rsidP="009B7BDC">
      <w:pPr>
        <w:autoSpaceDE w:val="0"/>
        <w:autoSpaceDN w:val="0"/>
        <w:bidi w:val="0"/>
        <w:adjustRightInd w:val="0"/>
        <w:spacing w:line="276" w:lineRule="auto"/>
        <w:jc w:val="both"/>
        <w:rPr>
          <w:rFonts w:ascii="Book Antiqua" w:hAnsi="Book Antiqua" w:cs="Times New Roman"/>
          <w:noProof w:val="0"/>
          <w:sz w:val="12"/>
          <w:szCs w:val="12"/>
        </w:rPr>
      </w:pPr>
    </w:p>
    <w:p w:rsidR="00E032BB" w:rsidRPr="00AA7937" w:rsidRDefault="005965F7" w:rsidP="00332C8A">
      <w:pPr>
        <w:autoSpaceDE w:val="0"/>
        <w:autoSpaceDN w:val="0"/>
        <w:bidi w:val="0"/>
        <w:adjustRightInd w:val="0"/>
        <w:spacing w:line="276" w:lineRule="auto"/>
        <w:jc w:val="both"/>
        <w:rPr>
          <w:rFonts w:ascii="Book Antiqua" w:hAnsi="Book Antiqua" w:cs="Times New Roman"/>
          <w:noProof w:val="0"/>
          <w:sz w:val="26"/>
          <w:szCs w:val="26"/>
        </w:rPr>
      </w:pPr>
      <w:r w:rsidRPr="004600F1">
        <w:rPr>
          <w:rFonts w:ascii="Book Antiqua" w:hAnsi="Book Antiqua" w:cs="Times New Roman"/>
          <w:noProof w:val="0"/>
          <w:sz w:val="26"/>
          <w:szCs w:val="26"/>
        </w:rPr>
        <w:t>S</w:t>
      </w:r>
      <w:r w:rsidR="00C55DFD" w:rsidRPr="004600F1">
        <w:rPr>
          <w:rFonts w:ascii="Book Antiqua" w:hAnsi="Book Antiqua" w:cs="Times New Roman"/>
          <w:noProof w:val="0"/>
          <w:sz w:val="26"/>
          <w:szCs w:val="26"/>
        </w:rPr>
        <w:t>elon le type d’emploi</w:t>
      </w:r>
      <w:r w:rsidR="007B3FB1" w:rsidRPr="004600F1">
        <w:rPr>
          <w:rFonts w:ascii="Book Antiqua" w:hAnsi="Book Antiqua" w:cs="Times New Roman"/>
          <w:noProof w:val="0"/>
          <w:sz w:val="26"/>
          <w:szCs w:val="26"/>
        </w:rPr>
        <w:t>, 112</w:t>
      </w:r>
      <w:r w:rsidR="007B3FB1" w:rsidRPr="00C55DFD">
        <w:rPr>
          <w:rFonts w:ascii="Book Antiqua" w:hAnsi="Book Antiqua" w:cs="Times New Roman"/>
          <w:noProof w:val="0"/>
          <w:sz w:val="26"/>
          <w:szCs w:val="26"/>
        </w:rPr>
        <w:t>.000 postes d’emploi rémunérés ont été créés au cours de la période, 97.000 en milieu urbain et 15.000 en milieu rural. L’emploi non rémunéré, composé d’environ 96% d’aides familiaux, a en revanche enregistré une baisse de 35.000 postes,</w:t>
      </w:r>
      <w:r w:rsidR="007B3FB1" w:rsidRPr="00C55DFD">
        <w:rPr>
          <w:rFonts w:ascii="Book Antiqua" w:hAnsi="Book Antiqua" w:cs="Times New Roman"/>
          <w:noProof w:val="0"/>
          <w:sz w:val="26"/>
          <w:szCs w:val="26"/>
          <w:rtl/>
        </w:rPr>
        <w:t xml:space="preserve"> </w:t>
      </w:r>
      <w:r w:rsidR="007B3FB1" w:rsidRPr="00C55DFD">
        <w:rPr>
          <w:rFonts w:ascii="Book Antiqua" w:hAnsi="Book Antiqua" w:cs="Times New Roman"/>
          <w:noProof w:val="0"/>
          <w:sz w:val="26"/>
          <w:szCs w:val="26"/>
        </w:rPr>
        <w:t>18.000 en zones rurales et 17.000 en zones urbaines.</w:t>
      </w:r>
      <w:r w:rsidR="00E032BB" w:rsidRPr="00AA7937">
        <w:rPr>
          <w:rFonts w:ascii="Book Antiqua" w:hAnsi="Book Antiqua" w:cs="Times New Roman"/>
          <w:noProof w:val="0"/>
          <w:sz w:val="26"/>
          <w:szCs w:val="26"/>
        </w:rPr>
        <w:t xml:space="preserve"> </w:t>
      </w:r>
    </w:p>
    <w:p w:rsidR="009B7BDC" w:rsidRPr="009D2A50" w:rsidRDefault="009B7BDC" w:rsidP="00E032BB">
      <w:pPr>
        <w:autoSpaceDE w:val="0"/>
        <w:autoSpaceDN w:val="0"/>
        <w:bidi w:val="0"/>
        <w:adjustRightInd w:val="0"/>
        <w:spacing w:line="276" w:lineRule="auto"/>
        <w:jc w:val="both"/>
        <w:rPr>
          <w:rFonts w:ascii="Book Antiqua" w:hAnsi="Book Antiqua" w:cs="Times New Roman"/>
          <w:noProof w:val="0"/>
          <w:sz w:val="12"/>
          <w:szCs w:val="12"/>
        </w:rPr>
      </w:pPr>
    </w:p>
    <w:p w:rsidR="009B7BDC" w:rsidRPr="00AA7937" w:rsidRDefault="009B7BDC" w:rsidP="005F1FBC">
      <w:pPr>
        <w:autoSpaceDE w:val="0"/>
        <w:autoSpaceDN w:val="0"/>
        <w:adjustRightInd w:val="0"/>
        <w:jc w:val="center"/>
        <w:rPr>
          <w:rFonts w:ascii="Book Antiqua" w:hAnsi="Book Antiqua" w:cs="Times New Roman"/>
          <w:noProof w:val="0"/>
          <w:sz w:val="26"/>
          <w:szCs w:val="26"/>
        </w:rPr>
      </w:pPr>
      <w:r w:rsidRPr="002E1989">
        <w:rPr>
          <w:rFonts w:ascii="Book Antiqua" w:hAnsi="Book Antiqua" w:cs="Times New Roman"/>
          <w:b/>
          <w:bCs/>
          <w:noProof w:val="0"/>
          <w:sz w:val="26"/>
          <w:szCs w:val="26"/>
        </w:rPr>
        <w:t xml:space="preserve">Figure 1 : Créations nettes d’emploi entre les </w:t>
      </w:r>
      <w:r w:rsidR="005A2F48" w:rsidRPr="002E1989">
        <w:rPr>
          <w:rFonts w:ascii="Book Antiqua" w:hAnsi="Book Antiqua" w:cs="Times New Roman"/>
          <w:b/>
          <w:bCs/>
          <w:noProof w:val="0"/>
          <w:sz w:val="26"/>
          <w:szCs w:val="26"/>
        </w:rPr>
        <w:t xml:space="preserve">premiers trimestres de </w:t>
      </w:r>
      <w:r w:rsidR="00213BBB" w:rsidRPr="002E1989">
        <w:rPr>
          <w:rFonts w:ascii="Book Antiqua" w:hAnsi="Book Antiqua" w:cs="Times New Roman"/>
          <w:b/>
          <w:bCs/>
          <w:noProof w:val="0"/>
          <w:sz w:val="26"/>
          <w:szCs w:val="26"/>
        </w:rPr>
        <w:t>201</w:t>
      </w:r>
      <w:r w:rsidR="00E64BA3" w:rsidRPr="002E1989">
        <w:rPr>
          <w:rFonts w:ascii="Book Antiqua" w:hAnsi="Book Antiqua" w:cs="Times New Roman"/>
          <w:b/>
          <w:bCs/>
          <w:noProof w:val="0"/>
          <w:sz w:val="26"/>
          <w:szCs w:val="26"/>
        </w:rPr>
        <w:t>9</w:t>
      </w:r>
      <w:r w:rsidRPr="002E1989">
        <w:rPr>
          <w:rFonts w:ascii="Book Antiqua" w:hAnsi="Book Antiqua" w:cs="Times New Roman"/>
          <w:b/>
          <w:bCs/>
          <w:noProof w:val="0"/>
          <w:sz w:val="26"/>
          <w:szCs w:val="26"/>
        </w:rPr>
        <w:t xml:space="preserve"> et </w:t>
      </w:r>
      <w:r w:rsidR="00446136">
        <w:rPr>
          <w:rFonts w:ascii="Book Antiqua" w:hAnsi="Book Antiqua" w:cs="Times New Roman"/>
          <w:b/>
          <w:bCs/>
          <w:noProof w:val="0"/>
          <w:sz w:val="26"/>
          <w:szCs w:val="26"/>
        </w:rPr>
        <w:t xml:space="preserve">de </w:t>
      </w:r>
      <w:r w:rsidR="00E64BA3" w:rsidRPr="002E1989">
        <w:rPr>
          <w:rFonts w:ascii="Book Antiqua" w:hAnsi="Book Antiqua" w:cs="Times New Roman"/>
          <w:b/>
          <w:bCs/>
          <w:noProof w:val="0"/>
          <w:sz w:val="26"/>
          <w:szCs w:val="26"/>
        </w:rPr>
        <w:t>2020</w:t>
      </w:r>
      <w:r w:rsidR="00446136">
        <w:rPr>
          <w:rFonts w:ascii="Book Antiqua" w:hAnsi="Book Antiqua" w:cs="Times New Roman"/>
          <w:b/>
          <w:bCs/>
          <w:noProof w:val="0"/>
          <w:sz w:val="26"/>
          <w:szCs w:val="26"/>
        </w:rPr>
        <w:t xml:space="preserve"> </w:t>
      </w:r>
      <w:r w:rsidR="00C55DFD">
        <w:rPr>
          <w:rFonts w:ascii="Book Antiqua" w:hAnsi="Book Antiqua" w:cs="Times New Roman"/>
          <w:b/>
          <w:bCs/>
          <w:noProof w:val="0"/>
          <w:sz w:val="26"/>
          <w:szCs w:val="26"/>
        </w:rPr>
        <w:t>Selon</w:t>
      </w:r>
      <w:r w:rsidRPr="002E1989">
        <w:rPr>
          <w:rFonts w:ascii="Book Antiqua" w:hAnsi="Book Antiqua" w:cs="Times New Roman"/>
          <w:b/>
          <w:bCs/>
          <w:noProof w:val="0"/>
          <w:sz w:val="26"/>
          <w:szCs w:val="26"/>
        </w:rPr>
        <w:t xml:space="preserve"> le milieu de résidence</w:t>
      </w:r>
      <w:r w:rsidR="000E21B7" w:rsidRPr="002E1989">
        <w:rPr>
          <w:rFonts w:ascii="Book Antiqua" w:hAnsi="Book Antiqua" w:cs="Times New Roman"/>
          <w:b/>
          <w:bCs/>
          <w:noProof w:val="0"/>
          <w:sz w:val="26"/>
          <w:szCs w:val="26"/>
        </w:rPr>
        <w:t>.</w:t>
      </w:r>
    </w:p>
    <w:p w:rsidR="00AA7937" w:rsidRPr="00446136" w:rsidRDefault="00AA7937" w:rsidP="009B7BDC">
      <w:pPr>
        <w:autoSpaceDE w:val="0"/>
        <w:autoSpaceDN w:val="0"/>
        <w:adjustRightInd w:val="0"/>
        <w:jc w:val="center"/>
        <w:rPr>
          <w:rFonts w:ascii="Book Antiqua" w:hAnsi="Book Antiqua" w:cs="Times New Roman"/>
          <w:b/>
          <w:bCs/>
          <w:noProof w:val="0"/>
          <w:color w:val="FF0000"/>
          <w:sz w:val="24"/>
          <w:szCs w:val="24"/>
        </w:rPr>
      </w:pPr>
    </w:p>
    <w:p w:rsidR="00AA7937" w:rsidRDefault="00AA7937" w:rsidP="009B7BDC">
      <w:pPr>
        <w:autoSpaceDE w:val="0"/>
        <w:autoSpaceDN w:val="0"/>
        <w:adjustRightInd w:val="0"/>
        <w:jc w:val="center"/>
        <w:rPr>
          <w:rFonts w:ascii="Book Antiqua" w:hAnsi="Book Antiqua" w:cs="Times New Roman"/>
          <w:b/>
          <w:bCs/>
          <w:noProof w:val="0"/>
          <w:sz w:val="24"/>
          <w:szCs w:val="24"/>
        </w:rPr>
      </w:pPr>
      <w:r w:rsidRPr="00AA7937">
        <w:rPr>
          <w:rFonts w:ascii="Book Antiqua" w:hAnsi="Book Antiqua" w:cs="Times New Roman"/>
          <w:b/>
          <w:bCs/>
          <w:sz w:val="24"/>
          <w:szCs w:val="24"/>
          <w:rtl/>
        </w:rPr>
        <w:drawing>
          <wp:inline distT="0" distB="0" distL="0" distR="0">
            <wp:extent cx="5629275" cy="2714625"/>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769F" w:rsidRDefault="0068769F" w:rsidP="009B7BDC">
      <w:pPr>
        <w:autoSpaceDE w:val="0"/>
        <w:autoSpaceDN w:val="0"/>
        <w:adjustRightInd w:val="0"/>
        <w:jc w:val="center"/>
        <w:rPr>
          <w:rFonts w:ascii="Book Antiqua" w:hAnsi="Book Antiqua" w:cs="Times New Roman"/>
          <w:b/>
          <w:bCs/>
          <w:noProof w:val="0"/>
          <w:sz w:val="24"/>
          <w:szCs w:val="24"/>
        </w:rPr>
      </w:pPr>
    </w:p>
    <w:p w:rsidR="005F1FBC" w:rsidRDefault="005F1FBC" w:rsidP="00332C8A">
      <w:pPr>
        <w:bidi w:val="0"/>
        <w:rPr>
          <w:rFonts w:ascii="Book Antiqua" w:hAnsi="Book Antiqua" w:cs="Times New Roman"/>
          <w:noProof w:val="0"/>
          <w:sz w:val="26"/>
          <w:szCs w:val="26"/>
        </w:rPr>
      </w:pPr>
    </w:p>
    <w:p w:rsidR="005965F7" w:rsidRDefault="005965F7">
      <w:pPr>
        <w:bidi w:val="0"/>
        <w:rPr>
          <w:rFonts w:ascii="Book Antiqua" w:hAnsi="Book Antiqua" w:cs="Times New Roman"/>
          <w:b/>
          <w:bCs/>
          <w:noProof w:val="0"/>
          <w:color w:val="0070C0"/>
          <w:sz w:val="28"/>
          <w:szCs w:val="28"/>
        </w:rPr>
      </w:pPr>
      <w:r>
        <w:rPr>
          <w:rFonts w:ascii="Book Antiqua" w:hAnsi="Book Antiqua" w:cs="Times New Roman"/>
          <w:b/>
          <w:bCs/>
          <w:noProof w:val="0"/>
          <w:color w:val="0070C0"/>
          <w:sz w:val="28"/>
          <w:szCs w:val="28"/>
        </w:rPr>
        <w:br w:type="page"/>
      </w:r>
    </w:p>
    <w:p w:rsidR="007B3FB1" w:rsidRPr="00215B05" w:rsidRDefault="00DA277B" w:rsidP="005F1FBC">
      <w:pPr>
        <w:bidi w:val="0"/>
        <w:rPr>
          <w:rFonts w:ascii="Book Antiqua" w:hAnsi="Book Antiqua" w:cs="Times New Roman"/>
          <w:b/>
          <w:bCs/>
          <w:noProof w:val="0"/>
          <w:color w:val="0070C0"/>
          <w:sz w:val="28"/>
          <w:szCs w:val="28"/>
        </w:rPr>
      </w:pPr>
      <w:r w:rsidRPr="00215B05">
        <w:rPr>
          <w:rFonts w:ascii="Book Antiqua" w:hAnsi="Book Antiqua" w:cs="Times New Roman"/>
          <w:b/>
          <w:bCs/>
          <w:noProof w:val="0"/>
          <w:color w:val="0070C0"/>
          <w:sz w:val="28"/>
          <w:szCs w:val="28"/>
        </w:rPr>
        <w:lastRenderedPageBreak/>
        <w:t>Création d’emploi dans les services et perte dans l’agriculture, forêt et pêche</w:t>
      </w:r>
    </w:p>
    <w:p w:rsidR="00DA277B" w:rsidRDefault="00DA277B" w:rsidP="00DA277B">
      <w:pPr>
        <w:bidi w:val="0"/>
        <w:jc w:val="both"/>
        <w:rPr>
          <w:rFonts w:ascii="Book Antiqua" w:hAnsi="Book Antiqua" w:cs="Times New Roman"/>
          <w:noProof w:val="0"/>
          <w:color w:val="0070C0"/>
          <w:sz w:val="28"/>
          <w:szCs w:val="28"/>
          <w:highlight w:val="yellow"/>
        </w:rPr>
      </w:pPr>
    </w:p>
    <w:p w:rsidR="00DA277B" w:rsidRDefault="00446136" w:rsidP="00AD0E67">
      <w:pPr>
        <w:autoSpaceDE w:val="0"/>
        <w:autoSpaceDN w:val="0"/>
        <w:bidi w:val="0"/>
        <w:adjustRightInd w:val="0"/>
        <w:spacing w:after="120" w:line="276" w:lineRule="auto"/>
        <w:jc w:val="both"/>
        <w:rPr>
          <w:rFonts w:ascii="Book Antiqua" w:hAnsi="Book Antiqua" w:cs="Times New Roman"/>
          <w:noProof w:val="0"/>
          <w:sz w:val="26"/>
          <w:szCs w:val="26"/>
        </w:rPr>
      </w:pPr>
      <w:r>
        <w:rPr>
          <w:rFonts w:ascii="Book Antiqua" w:hAnsi="Book Antiqua" w:cs="Times New Roman"/>
          <w:noProof w:val="0"/>
          <w:sz w:val="26"/>
          <w:szCs w:val="26"/>
        </w:rPr>
        <w:t>Entre le 1</w:t>
      </w:r>
      <w:r w:rsidRPr="006A7A6F">
        <w:rPr>
          <w:rFonts w:ascii="Book Antiqua" w:hAnsi="Book Antiqua" w:cs="Times New Roman"/>
          <w:noProof w:val="0"/>
          <w:sz w:val="26"/>
          <w:szCs w:val="26"/>
          <w:vertAlign w:val="superscript"/>
        </w:rPr>
        <w:t>er</w:t>
      </w:r>
      <w:r>
        <w:rPr>
          <w:rFonts w:ascii="Book Antiqua" w:hAnsi="Book Antiqua" w:cs="Times New Roman"/>
          <w:noProof w:val="0"/>
          <w:sz w:val="26"/>
          <w:szCs w:val="26"/>
        </w:rPr>
        <w:t xml:space="preserve"> trimestre de 2019 et la même période de 2020, l</w:t>
      </w:r>
      <w:r w:rsidR="00DA277B" w:rsidRPr="00EE2FC9">
        <w:rPr>
          <w:rFonts w:ascii="Book Antiqua" w:hAnsi="Book Antiqua" w:cs="Times New Roman"/>
          <w:noProof w:val="0"/>
          <w:sz w:val="26"/>
          <w:szCs w:val="26"/>
        </w:rPr>
        <w:t>e volume d’emploi dans le</w:t>
      </w:r>
      <w:r w:rsidR="00DA277B">
        <w:rPr>
          <w:rFonts w:ascii="Book Antiqua" w:hAnsi="Book Antiqua" w:cs="Times New Roman"/>
          <w:noProof w:val="0"/>
          <w:sz w:val="26"/>
          <w:szCs w:val="26"/>
        </w:rPr>
        <w:t xml:space="preserve"> secteur de</w:t>
      </w:r>
      <w:r w:rsidR="00DA277B" w:rsidRPr="00EE2FC9">
        <w:rPr>
          <w:rFonts w:ascii="Book Antiqua" w:hAnsi="Book Antiqua" w:cs="Times New Roman"/>
          <w:noProof w:val="0"/>
          <w:sz w:val="26"/>
          <w:szCs w:val="26"/>
        </w:rPr>
        <w:t>s "</w:t>
      </w:r>
      <w:r w:rsidR="00DA277B" w:rsidRPr="00AF152B">
        <w:rPr>
          <w:rFonts w:ascii="Book Antiqua" w:hAnsi="Book Antiqua" w:cs="Times New Roman"/>
          <w:b/>
          <w:bCs/>
          <w:noProof w:val="0"/>
          <w:sz w:val="26"/>
          <w:szCs w:val="26"/>
        </w:rPr>
        <w:t>services</w:t>
      </w:r>
      <w:r w:rsidR="00DA277B" w:rsidRPr="00EE2FC9">
        <w:rPr>
          <w:rFonts w:ascii="Book Antiqua" w:hAnsi="Book Antiqua" w:cs="Times New Roman"/>
          <w:noProof w:val="0"/>
          <w:sz w:val="26"/>
          <w:szCs w:val="26"/>
        </w:rPr>
        <w:t>"</w:t>
      </w:r>
      <w:r w:rsidR="00565C7B">
        <w:rPr>
          <w:rFonts w:ascii="Book Antiqua" w:hAnsi="Book Antiqua" w:cs="Times New Roman"/>
          <w:noProof w:val="0"/>
          <w:sz w:val="26"/>
          <w:szCs w:val="26"/>
        </w:rPr>
        <w:t xml:space="preserve"> </w:t>
      </w:r>
      <w:r w:rsidR="00DA277B" w:rsidRPr="00EE2FC9">
        <w:rPr>
          <w:rFonts w:ascii="Book Antiqua" w:hAnsi="Book Antiqua" w:cs="Times New Roman"/>
          <w:noProof w:val="0"/>
          <w:sz w:val="26"/>
          <w:szCs w:val="26"/>
        </w:rPr>
        <w:t>s’est accru</w:t>
      </w:r>
      <w:r w:rsidR="00DA277B">
        <w:rPr>
          <w:rFonts w:ascii="Book Antiqua" w:hAnsi="Book Antiqua" w:cs="Times New Roman"/>
          <w:noProof w:val="0"/>
          <w:sz w:val="26"/>
          <w:szCs w:val="26"/>
        </w:rPr>
        <w:t xml:space="preserve">, </w:t>
      </w:r>
      <w:r w:rsidR="00DA277B" w:rsidRPr="00EE2FC9">
        <w:rPr>
          <w:rFonts w:ascii="Book Antiqua" w:hAnsi="Book Antiqua" w:cs="Times New Roman"/>
          <w:noProof w:val="0"/>
          <w:sz w:val="26"/>
          <w:szCs w:val="26"/>
        </w:rPr>
        <w:t xml:space="preserve">de </w:t>
      </w:r>
      <w:r w:rsidR="00DA277B" w:rsidRPr="00890E33">
        <w:rPr>
          <w:rFonts w:ascii="Book Antiqua" w:hAnsi="Book Antiqua" w:cs="Times New Roman"/>
          <w:noProof w:val="0"/>
          <w:sz w:val="26"/>
          <w:szCs w:val="26"/>
        </w:rPr>
        <w:t>192.000 postes au niveau national</w:t>
      </w:r>
      <w:r w:rsidR="00DA277B">
        <w:rPr>
          <w:rFonts w:ascii="Book Antiqua" w:hAnsi="Book Antiqua" w:cs="Times New Roman"/>
          <w:noProof w:val="0"/>
          <w:sz w:val="26"/>
          <w:szCs w:val="26"/>
        </w:rPr>
        <w:t xml:space="preserve"> (4,1% du volume de l’emploi dans ce </w:t>
      </w:r>
      <w:r w:rsidR="00AD0E67">
        <w:rPr>
          <w:rFonts w:ascii="Book Antiqua" w:hAnsi="Book Antiqua" w:cs="Times New Roman"/>
          <w:noProof w:val="0"/>
          <w:sz w:val="26"/>
          <w:szCs w:val="26"/>
        </w:rPr>
        <w:t>secteur</w:t>
      </w:r>
      <w:r w:rsidR="00DA277B">
        <w:rPr>
          <w:rFonts w:ascii="Book Antiqua" w:hAnsi="Book Antiqua" w:cs="Times New Roman"/>
          <w:noProof w:val="0"/>
          <w:sz w:val="26"/>
          <w:szCs w:val="26"/>
        </w:rPr>
        <w:t>)</w:t>
      </w:r>
      <w:r w:rsidR="00DA277B" w:rsidRPr="00890E33">
        <w:rPr>
          <w:rFonts w:ascii="Book Antiqua" w:hAnsi="Book Antiqua" w:cs="Times New Roman"/>
          <w:noProof w:val="0"/>
          <w:sz w:val="26"/>
          <w:szCs w:val="26"/>
        </w:rPr>
        <w:t>, 119.000 en milieu urbain et 73.000 en milieu rural</w:t>
      </w:r>
      <w:r w:rsidR="00DA277B">
        <w:rPr>
          <w:rFonts w:ascii="Book Antiqua" w:hAnsi="Book Antiqua" w:cs="Times New Roman"/>
          <w:noProof w:val="0"/>
          <w:sz w:val="26"/>
          <w:szCs w:val="26"/>
        </w:rPr>
        <w:t>.</w:t>
      </w:r>
    </w:p>
    <w:p w:rsidR="00565C7B" w:rsidRPr="00411A33" w:rsidRDefault="00DA277B" w:rsidP="00540CCF">
      <w:pPr>
        <w:autoSpaceDE w:val="0"/>
        <w:autoSpaceDN w:val="0"/>
        <w:bidi w:val="0"/>
        <w:adjustRightInd w:val="0"/>
        <w:spacing w:after="200" w:line="276" w:lineRule="auto"/>
        <w:jc w:val="both"/>
        <w:rPr>
          <w:rFonts w:ascii="Book Antiqua" w:hAnsi="Book Antiqua" w:cs="Times New Roman"/>
          <w:noProof w:val="0"/>
          <w:sz w:val="27"/>
          <w:szCs w:val="27"/>
        </w:rPr>
      </w:pPr>
      <w:r>
        <w:rPr>
          <w:rFonts w:ascii="Book Antiqua" w:hAnsi="Book Antiqua" w:cs="Times New Roman"/>
          <w:noProof w:val="0"/>
          <w:sz w:val="26"/>
          <w:szCs w:val="26"/>
        </w:rPr>
        <w:t>L</w:t>
      </w:r>
      <w:r w:rsidRPr="00284DFF">
        <w:rPr>
          <w:rFonts w:ascii="Book Antiqua" w:hAnsi="Book Antiqua" w:cs="Times New Roman"/>
          <w:noProof w:val="0"/>
          <w:sz w:val="26"/>
          <w:szCs w:val="26"/>
        </w:rPr>
        <w:t>e secteur de l’"</w:t>
      </w:r>
      <w:r w:rsidRPr="00AF152B">
        <w:rPr>
          <w:rFonts w:ascii="Book Antiqua" w:hAnsi="Book Antiqua" w:cs="Times New Roman"/>
          <w:b/>
          <w:bCs/>
          <w:noProof w:val="0"/>
          <w:sz w:val="26"/>
          <w:szCs w:val="26"/>
        </w:rPr>
        <w:t>industrie</w:t>
      </w:r>
      <w:r>
        <w:rPr>
          <w:rFonts w:ascii="Book Antiqua" w:hAnsi="Book Antiqua" w:cs="Times New Roman"/>
          <w:b/>
          <w:bCs/>
          <w:noProof w:val="0"/>
          <w:sz w:val="26"/>
          <w:szCs w:val="26"/>
        </w:rPr>
        <w:t xml:space="preserve"> y compris l’artisanat</w:t>
      </w:r>
      <w:r>
        <w:rPr>
          <w:rFonts w:ascii="Book Antiqua" w:hAnsi="Book Antiqua" w:cs="Times New Roman"/>
          <w:noProof w:val="0"/>
          <w:sz w:val="26"/>
          <w:szCs w:val="26"/>
        </w:rPr>
        <w:t xml:space="preserve"> </w:t>
      </w:r>
      <w:r w:rsidRPr="00284DFF">
        <w:rPr>
          <w:rFonts w:ascii="Book Antiqua" w:hAnsi="Book Antiqua" w:cs="Times New Roman"/>
          <w:noProof w:val="0"/>
          <w:sz w:val="26"/>
          <w:szCs w:val="26"/>
        </w:rPr>
        <w:t xml:space="preserve">a </w:t>
      </w:r>
      <w:r>
        <w:rPr>
          <w:rFonts w:ascii="Book Antiqua" w:hAnsi="Book Antiqua" w:cs="Times New Roman"/>
          <w:noProof w:val="0"/>
          <w:sz w:val="26"/>
          <w:szCs w:val="26"/>
        </w:rPr>
        <w:t xml:space="preserve">créé </w:t>
      </w:r>
      <w:r w:rsidRPr="009D333B">
        <w:rPr>
          <w:rFonts w:ascii="Book Antiqua" w:hAnsi="Book Antiqua" w:cs="Times New Roman"/>
          <w:noProof w:val="0"/>
          <w:sz w:val="26"/>
          <w:szCs w:val="26"/>
        </w:rPr>
        <w:t>23.000 postes</w:t>
      </w:r>
      <w:r w:rsidR="00565C7B">
        <w:rPr>
          <w:rFonts w:ascii="Book Antiqua" w:hAnsi="Book Antiqua" w:cs="Times New Roman"/>
          <w:noProof w:val="0"/>
          <w:sz w:val="26"/>
          <w:szCs w:val="26"/>
        </w:rPr>
        <w:t xml:space="preserve">, </w:t>
      </w:r>
      <w:r w:rsidR="00565C7B" w:rsidRPr="00411A33">
        <w:rPr>
          <w:rFonts w:ascii="Book Antiqua" w:hAnsi="Book Antiqua" w:cs="Times New Roman"/>
          <w:noProof w:val="0"/>
          <w:sz w:val="27"/>
          <w:szCs w:val="27"/>
        </w:rPr>
        <w:t>résulta</w:t>
      </w:r>
      <w:r w:rsidR="00540CCF">
        <w:rPr>
          <w:rFonts w:ascii="Book Antiqua" w:hAnsi="Book Antiqua" w:cs="Times New Roman"/>
          <w:noProof w:val="0"/>
          <w:sz w:val="27"/>
          <w:szCs w:val="27"/>
        </w:rPr>
        <w:t>n</w:t>
      </w:r>
      <w:r w:rsidR="00565C7B" w:rsidRPr="00411A33">
        <w:rPr>
          <w:rFonts w:ascii="Book Antiqua" w:hAnsi="Book Antiqua" w:cs="Times New Roman"/>
          <w:noProof w:val="0"/>
          <w:sz w:val="27"/>
          <w:szCs w:val="27"/>
        </w:rPr>
        <w:t xml:space="preserve">t d’une création de </w:t>
      </w:r>
      <w:r w:rsidR="00565C7B">
        <w:rPr>
          <w:rFonts w:ascii="Book Antiqua" w:hAnsi="Book Antiqua" w:cs="Times New Roman"/>
          <w:noProof w:val="0"/>
          <w:sz w:val="27"/>
          <w:szCs w:val="27"/>
        </w:rPr>
        <w:t>20</w:t>
      </w:r>
      <w:r w:rsidR="00565C7B" w:rsidRPr="00411A33">
        <w:rPr>
          <w:rFonts w:ascii="Book Antiqua" w:hAnsi="Book Antiqua" w:cs="Times New Roman"/>
          <w:noProof w:val="0"/>
          <w:sz w:val="27"/>
          <w:szCs w:val="27"/>
        </w:rPr>
        <w:t xml:space="preserve">.000 postes en milieu urbain et de </w:t>
      </w:r>
      <w:r w:rsidR="00565C7B">
        <w:rPr>
          <w:rFonts w:ascii="Book Antiqua" w:hAnsi="Book Antiqua" w:cs="Times New Roman"/>
          <w:noProof w:val="0"/>
          <w:sz w:val="27"/>
          <w:szCs w:val="27"/>
        </w:rPr>
        <w:t>3</w:t>
      </w:r>
      <w:r w:rsidR="00565C7B" w:rsidRPr="00411A33">
        <w:rPr>
          <w:rFonts w:ascii="Book Antiqua" w:hAnsi="Book Antiqua" w:cs="Times New Roman"/>
          <w:noProof w:val="0"/>
          <w:sz w:val="27"/>
          <w:szCs w:val="27"/>
        </w:rPr>
        <w:t xml:space="preserve">.000 en milieu rural, enregistrant une hausse de </w:t>
      </w:r>
      <w:r w:rsidR="002D1E36" w:rsidRPr="009D333B">
        <w:rPr>
          <w:rFonts w:ascii="Book Antiqua" w:hAnsi="Book Antiqua" w:cs="Times New Roman"/>
          <w:noProof w:val="0"/>
          <w:sz w:val="26"/>
          <w:szCs w:val="26"/>
        </w:rPr>
        <w:t xml:space="preserve">1,8% </w:t>
      </w:r>
      <w:r w:rsidR="00565C7B" w:rsidRPr="00411A33">
        <w:rPr>
          <w:rFonts w:ascii="Book Antiqua" w:hAnsi="Book Antiqua" w:cs="Times New Roman"/>
          <w:noProof w:val="0"/>
          <w:sz w:val="27"/>
          <w:szCs w:val="27"/>
        </w:rPr>
        <w:t>du volume d’emploi dans ce secteur.</w:t>
      </w:r>
    </w:p>
    <w:p w:rsidR="002D1E36" w:rsidRPr="00DA6A9A" w:rsidRDefault="00DA277B" w:rsidP="00540CCF">
      <w:pPr>
        <w:autoSpaceDE w:val="0"/>
        <w:autoSpaceDN w:val="0"/>
        <w:bidi w:val="0"/>
        <w:adjustRightInd w:val="0"/>
        <w:spacing w:after="120" w:line="276" w:lineRule="auto"/>
        <w:jc w:val="both"/>
        <w:rPr>
          <w:rFonts w:ascii="Book Antiqua" w:hAnsi="Book Antiqua" w:cs="Times New Roman"/>
          <w:noProof w:val="0"/>
          <w:sz w:val="26"/>
          <w:szCs w:val="26"/>
        </w:rPr>
      </w:pPr>
      <w:r>
        <w:rPr>
          <w:rFonts w:ascii="Book Antiqua" w:hAnsi="Book Antiqua" w:cs="Times New Roman"/>
          <w:noProof w:val="0"/>
          <w:sz w:val="26"/>
          <w:szCs w:val="26"/>
        </w:rPr>
        <w:t xml:space="preserve">En revanche, </w:t>
      </w:r>
      <w:r w:rsidR="002D1E36">
        <w:rPr>
          <w:rFonts w:ascii="Book Antiqua" w:hAnsi="Book Antiqua" w:cs="Times New Roman"/>
          <w:noProof w:val="0"/>
          <w:sz w:val="26"/>
          <w:szCs w:val="26"/>
        </w:rPr>
        <w:t>l</w:t>
      </w:r>
      <w:r w:rsidR="002D1E36" w:rsidRPr="00DA6A9A">
        <w:rPr>
          <w:rFonts w:ascii="Book Antiqua" w:hAnsi="Book Antiqua" w:cs="Times New Roman"/>
          <w:noProof w:val="0"/>
          <w:sz w:val="26"/>
          <w:szCs w:val="26"/>
        </w:rPr>
        <w:t xml:space="preserve">e secteur </w:t>
      </w:r>
      <w:r w:rsidR="002D1E36" w:rsidRPr="0020642E">
        <w:rPr>
          <w:rFonts w:ascii="Book Antiqua" w:hAnsi="Book Antiqua" w:cs="Times New Roman"/>
          <w:noProof w:val="0"/>
          <w:sz w:val="26"/>
          <w:szCs w:val="26"/>
        </w:rPr>
        <w:t>de l’"</w:t>
      </w:r>
      <w:r w:rsidR="002D1E36" w:rsidRPr="003D7C3C">
        <w:rPr>
          <w:rFonts w:ascii="Book Antiqua" w:hAnsi="Book Antiqua" w:cs="Times New Roman"/>
          <w:b/>
          <w:bCs/>
          <w:noProof w:val="0"/>
          <w:sz w:val="26"/>
          <w:szCs w:val="26"/>
        </w:rPr>
        <w:t>agriculture, forêt et pêche</w:t>
      </w:r>
      <w:r w:rsidR="002D1E36" w:rsidRPr="0020642E">
        <w:rPr>
          <w:rFonts w:ascii="Book Antiqua" w:hAnsi="Book Antiqua" w:cs="Times New Roman"/>
          <w:noProof w:val="0"/>
          <w:sz w:val="26"/>
          <w:szCs w:val="26"/>
        </w:rPr>
        <w:t>"</w:t>
      </w:r>
      <w:r w:rsidR="002D1E36">
        <w:rPr>
          <w:rFonts w:ascii="Book Antiqua" w:hAnsi="Book Antiqua" w:cs="Times New Roman"/>
          <w:noProof w:val="0"/>
          <w:sz w:val="26"/>
          <w:szCs w:val="26"/>
        </w:rPr>
        <w:t xml:space="preserve"> a perdu 134</w:t>
      </w:r>
      <w:r w:rsidR="002D1E36" w:rsidRPr="00DA6A9A">
        <w:rPr>
          <w:rFonts w:ascii="Book Antiqua" w:hAnsi="Book Antiqua" w:cs="Times New Roman"/>
          <w:noProof w:val="0"/>
          <w:sz w:val="26"/>
          <w:szCs w:val="26"/>
        </w:rPr>
        <w:t xml:space="preserve">.000 </w:t>
      </w:r>
      <w:r w:rsidR="00540CCF">
        <w:rPr>
          <w:rFonts w:ascii="Book Antiqua" w:hAnsi="Book Antiqua" w:cs="Times New Roman"/>
          <w:noProof w:val="0"/>
          <w:sz w:val="26"/>
          <w:szCs w:val="26"/>
        </w:rPr>
        <w:t>postes d’</w:t>
      </w:r>
      <w:r w:rsidR="002D1E36">
        <w:rPr>
          <w:rFonts w:ascii="Book Antiqua" w:hAnsi="Book Antiqua" w:cs="Times New Roman"/>
          <w:noProof w:val="0"/>
          <w:sz w:val="26"/>
          <w:szCs w:val="26"/>
        </w:rPr>
        <w:t xml:space="preserve">emplois, </w:t>
      </w:r>
      <w:r w:rsidR="002D1E36" w:rsidRPr="009D333B">
        <w:rPr>
          <w:rFonts w:ascii="Book Antiqua" w:hAnsi="Book Antiqua" w:cs="Times New Roman"/>
          <w:noProof w:val="0"/>
          <w:sz w:val="26"/>
          <w:szCs w:val="26"/>
        </w:rPr>
        <w:t>104.000</w:t>
      </w:r>
      <w:r w:rsidR="002D1E36">
        <w:rPr>
          <w:rFonts w:ascii="Book Antiqua" w:hAnsi="Book Antiqua" w:cs="Times New Roman"/>
          <w:noProof w:val="0"/>
          <w:sz w:val="26"/>
          <w:szCs w:val="26"/>
        </w:rPr>
        <w:t xml:space="preserve"> en milieu rural et 30</w:t>
      </w:r>
      <w:r w:rsidR="009A4597">
        <w:rPr>
          <w:rFonts w:ascii="Book Antiqua" w:hAnsi="Book Antiqua" w:cs="Times New Roman"/>
          <w:noProof w:val="0"/>
          <w:sz w:val="26"/>
          <w:szCs w:val="26"/>
        </w:rPr>
        <w:t>.000</w:t>
      </w:r>
      <w:r w:rsidR="002D1E36">
        <w:rPr>
          <w:rFonts w:ascii="Book Antiqua" w:hAnsi="Book Antiqua" w:cs="Times New Roman"/>
          <w:noProof w:val="0"/>
          <w:sz w:val="26"/>
          <w:szCs w:val="26"/>
        </w:rPr>
        <w:t xml:space="preserve"> en milieu urbain</w:t>
      </w:r>
      <w:r w:rsidR="002D1E36" w:rsidRPr="00DA6A9A">
        <w:rPr>
          <w:rFonts w:ascii="Book Antiqua" w:hAnsi="Book Antiqua" w:cs="Times New Roman"/>
          <w:noProof w:val="0"/>
          <w:sz w:val="26"/>
          <w:szCs w:val="26"/>
        </w:rPr>
        <w:t xml:space="preserve">, ce qui correspond à une </w:t>
      </w:r>
      <w:r w:rsidR="002D1E36">
        <w:rPr>
          <w:rFonts w:ascii="Book Antiqua" w:hAnsi="Book Antiqua" w:cs="Times New Roman"/>
          <w:noProof w:val="0"/>
          <w:sz w:val="26"/>
          <w:szCs w:val="26"/>
        </w:rPr>
        <w:t>baisse</w:t>
      </w:r>
      <w:r w:rsidR="002D1E36">
        <w:rPr>
          <w:rFonts w:ascii="Book Antiqua" w:hAnsi="Book Antiqua" w:cs="Times New Roman" w:hint="cs"/>
          <w:noProof w:val="0"/>
          <w:sz w:val="26"/>
          <w:szCs w:val="26"/>
          <w:rtl/>
        </w:rPr>
        <w:t xml:space="preserve"> </w:t>
      </w:r>
      <w:r w:rsidR="002D1E36" w:rsidRPr="009D333B">
        <w:rPr>
          <w:rFonts w:ascii="Book Antiqua" w:hAnsi="Book Antiqua" w:cs="Times New Roman"/>
          <w:noProof w:val="0"/>
          <w:sz w:val="26"/>
          <w:szCs w:val="26"/>
        </w:rPr>
        <w:t>de 3,6%</w:t>
      </w:r>
      <w:r w:rsidR="002D1E36" w:rsidRPr="00DA6A9A">
        <w:rPr>
          <w:rFonts w:ascii="Book Antiqua" w:hAnsi="Book Antiqua" w:cs="Times New Roman"/>
          <w:noProof w:val="0"/>
          <w:sz w:val="26"/>
          <w:szCs w:val="26"/>
        </w:rPr>
        <w:t xml:space="preserve"> du volume d’emploi d</w:t>
      </w:r>
      <w:r w:rsidR="002D1E36">
        <w:rPr>
          <w:rFonts w:ascii="Book Antiqua" w:hAnsi="Book Antiqua" w:cs="Times New Roman"/>
          <w:noProof w:val="0"/>
          <w:sz w:val="26"/>
          <w:szCs w:val="26"/>
        </w:rPr>
        <w:t xml:space="preserve">ans ce </w:t>
      </w:r>
      <w:r w:rsidR="002D1E36" w:rsidRPr="00DA6A9A">
        <w:rPr>
          <w:rFonts w:ascii="Book Antiqua" w:hAnsi="Book Antiqua" w:cs="Times New Roman"/>
          <w:noProof w:val="0"/>
          <w:sz w:val="26"/>
          <w:szCs w:val="26"/>
        </w:rPr>
        <w:t>secteur.</w:t>
      </w:r>
    </w:p>
    <w:p w:rsidR="00DA277B" w:rsidRDefault="00204209" w:rsidP="00540CCF">
      <w:pPr>
        <w:autoSpaceDE w:val="0"/>
        <w:autoSpaceDN w:val="0"/>
        <w:bidi w:val="0"/>
        <w:adjustRightInd w:val="0"/>
        <w:spacing w:after="120" w:line="276" w:lineRule="auto"/>
        <w:jc w:val="both"/>
        <w:rPr>
          <w:rFonts w:ascii="Book Antiqua" w:hAnsi="Book Antiqua" w:cs="Times New Roman"/>
          <w:noProof w:val="0"/>
          <w:sz w:val="26"/>
          <w:szCs w:val="26"/>
        </w:rPr>
      </w:pPr>
      <w:r>
        <w:rPr>
          <w:rFonts w:ascii="Book Antiqua" w:hAnsi="Book Antiqua" w:cs="Times New Roman"/>
          <w:noProof w:val="0"/>
          <w:sz w:val="26"/>
          <w:szCs w:val="26"/>
        </w:rPr>
        <w:t>L</w:t>
      </w:r>
      <w:r w:rsidR="00DA277B">
        <w:rPr>
          <w:rFonts w:ascii="Book Antiqua" w:hAnsi="Book Antiqua" w:cs="Times New Roman"/>
          <w:noProof w:val="0"/>
          <w:sz w:val="26"/>
          <w:szCs w:val="26"/>
        </w:rPr>
        <w:t xml:space="preserve">e </w:t>
      </w:r>
      <w:r w:rsidR="00DA277B" w:rsidRPr="00DA6A9A">
        <w:rPr>
          <w:rFonts w:ascii="Book Antiqua" w:hAnsi="Book Antiqua" w:cs="Times New Roman"/>
          <w:noProof w:val="0"/>
          <w:sz w:val="26"/>
          <w:szCs w:val="26"/>
        </w:rPr>
        <w:t xml:space="preserve">secteur des </w:t>
      </w:r>
      <w:r w:rsidR="00DA277B" w:rsidRPr="003D7C3C">
        <w:rPr>
          <w:rFonts w:ascii="Book Antiqua" w:hAnsi="Book Antiqua" w:cs="Times New Roman"/>
          <w:b/>
          <w:bCs/>
          <w:noProof w:val="0"/>
          <w:sz w:val="26"/>
          <w:szCs w:val="26"/>
        </w:rPr>
        <w:t>BTP</w:t>
      </w:r>
      <w:r w:rsidR="00860CCC">
        <w:rPr>
          <w:rFonts w:ascii="Book Antiqua" w:hAnsi="Book Antiqua" w:cs="Times New Roman" w:hint="cs"/>
          <w:b/>
          <w:bCs/>
          <w:noProof w:val="0"/>
          <w:sz w:val="26"/>
          <w:szCs w:val="26"/>
          <w:rtl/>
        </w:rPr>
        <w:t xml:space="preserve"> </w:t>
      </w:r>
      <w:r w:rsidR="00DA277B">
        <w:rPr>
          <w:rFonts w:ascii="Book Antiqua" w:hAnsi="Book Antiqua" w:cs="Times New Roman"/>
          <w:noProof w:val="0"/>
          <w:sz w:val="26"/>
          <w:szCs w:val="26"/>
        </w:rPr>
        <w:t xml:space="preserve">a perdu </w:t>
      </w:r>
      <w:r w:rsidR="00DA277B" w:rsidRPr="009D333B">
        <w:rPr>
          <w:rFonts w:ascii="Book Antiqua" w:hAnsi="Book Antiqua" w:cs="Times New Roman"/>
          <w:noProof w:val="0"/>
          <w:sz w:val="26"/>
          <w:szCs w:val="26"/>
        </w:rPr>
        <w:t>1.000 postes</w:t>
      </w:r>
      <w:r w:rsidR="002D1E36">
        <w:rPr>
          <w:rFonts w:ascii="Book Antiqua" w:hAnsi="Book Antiqua" w:cs="Times New Roman"/>
          <w:noProof w:val="0"/>
          <w:sz w:val="26"/>
          <w:szCs w:val="26"/>
        </w:rPr>
        <w:t xml:space="preserve">, </w:t>
      </w:r>
      <w:r w:rsidR="002D1E36" w:rsidRPr="00411A33">
        <w:rPr>
          <w:rFonts w:ascii="Book Antiqua" w:hAnsi="Book Antiqua" w:cs="Times New Roman"/>
          <w:noProof w:val="0"/>
          <w:sz w:val="27"/>
          <w:szCs w:val="27"/>
        </w:rPr>
        <w:t>résulta</w:t>
      </w:r>
      <w:r w:rsidR="00540CCF">
        <w:rPr>
          <w:rFonts w:ascii="Book Antiqua" w:hAnsi="Book Antiqua" w:cs="Times New Roman"/>
          <w:noProof w:val="0"/>
          <w:sz w:val="27"/>
          <w:szCs w:val="27"/>
        </w:rPr>
        <w:t>n</w:t>
      </w:r>
      <w:r w:rsidR="002D1E36" w:rsidRPr="00411A33">
        <w:rPr>
          <w:rFonts w:ascii="Book Antiqua" w:hAnsi="Book Antiqua" w:cs="Times New Roman"/>
          <w:noProof w:val="0"/>
          <w:sz w:val="27"/>
          <w:szCs w:val="27"/>
        </w:rPr>
        <w:t>t d’une création</w:t>
      </w:r>
      <w:r w:rsidR="002D1E36">
        <w:rPr>
          <w:rFonts w:ascii="Book Antiqua" w:hAnsi="Book Antiqua" w:cs="Times New Roman"/>
          <w:noProof w:val="0"/>
          <w:sz w:val="27"/>
          <w:szCs w:val="27"/>
        </w:rPr>
        <w:t xml:space="preserve"> de 25.000 postes en milieu rural et d’une perte de </w:t>
      </w:r>
      <w:r w:rsidR="00DA277B" w:rsidRPr="009D333B">
        <w:rPr>
          <w:rFonts w:ascii="Book Antiqua" w:hAnsi="Book Antiqua" w:cs="Times New Roman"/>
          <w:noProof w:val="0"/>
          <w:sz w:val="26"/>
          <w:szCs w:val="26"/>
        </w:rPr>
        <w:t>26.000</w:t>
      </w:r>
      <w:r w:rsidR="00DA277B">
        <w:rPr>
          <w:rFonts w:ascii="Book Antiqua" w:hAnsi="Book Antiqua" w:cs="Times New Roman"/>
          <w:noProof w:val="0"/>
          <w:sz w:val="26"/>
          <w:szCs w:val="26"/>
        </w:rPr>
        <w:t xml:space="preserve"> </w:t>
      </w:r>
      <w:r w:rsidR="009A4597">
        <w:rPr>
          <w:rFonts w:ascii="Book Antiqua" w:hAnsi="Book Antiqua" w:cs="Times New Roman"/>
          <w:noProof w:val="0"/>
          <w:sz w:val="26"/>
          <w:szCs w:val="26"/>
        </w:rPr>
        <w:t>en</w:t>
      </w:r>
      <w:r w:rsidR="002D1E36">
        <w:rPr>
          <w:rFonts w:ascii="Book Antiqua" w:hAnsi="Book Antiqua" w:cs="Times New Roman"/>
          <w:noProof w:val="0"/>
          <w:sz w:val="26"/>
          <w:szCs w:val="26"/>
        </w:rPr>
        <w:t xml:space="preserve">  milieu urbain.</w:t>
      </w:r>
    </w:p>
    <w:p w:rsidR="00FE093F" w:rsidRDefault="00FE093F" w:rsidP="00DA277B">
      <w:pPr>
        <w:autoSpaceDE w:val="0"/>
        <w:autoSpaceDN w:val="0"/>
        <w:bidi w:val="0"/>
        <w:adjustRightInd w:val="0"/>
        <w:jc w:val="center"/>
        <w:rPr>
          <w:rFonts w:ascii="Book Antiqua" w:hAnsi="Book Antiqua" w:cs="Times New Roman"/>
          <w:b/>
          <w:bCs/>
          <w:noProof w:val="0"/>
          <w:sz w:val="24"/>
          <w:szCs w:val="24"/>
        </w:rPr>
      </w:pPr>
    </w:p>
    <w:p w:rsidR="00732456" w:rsidRPr="005C2DC1" w:rsidRDefault="009B7BDC" w:rsidP="00FE093F">
      <w:pPr>
        <w:autoSpaceDE w:val="0"/>
        <w:autoSpaceDN w:val="0"/>
        <w:bidi w:val="0"/>
        <w:adjustRightInd w:val="0"/>
        <w:jc w:val="center"/>
        <w:rPr>
          <w:rFonts w:ascii="Book Antiqua" w:hAnsi="Book Antiqua" w:cs="Times New Roman"/>
          <w:b/>
          <w:bCs/>
          <w:noProof w:val="0"/>
          <w:sz w:val="24"/>
          <w:szCs w:val="24"/>
        </w:rPr>
      </w:pPr>
      <w:r w:rsidRPr="005C2DC1">
        <w:rPr>
          <w:rFonts w:ascii="Book Antiqua" w:hAnsi="Book Antiqua" w:cs="Times New Roman"/>
          <w:b/>
          <w:bCs/>
          <w:noProof w:val="0"/>
          <w:sz w:val="24"/>
          <w:szCs w:val="24"/>
        </w:rPr>
        <w:t>Figure 2. Créations nettes d’emploi</w:t>
      </w:r>
      <w:r w:rsidR="005C2DC1" w:rsidRPr="005C2DC1">
        <w:rPr>
          <w:rFonts w:ascii="Book Antiqua" w:hAnsi="Book Antiqua" w:cs="Times New Roman"/>
          <w:b/>
          <w:bCs/>
          <w:noProof w:val="0"/>
          <w:sz w:val="24"/>
          <w:szCs w:val="24"/>
        </w:rPr>
        <w:t xml:space="preserve">, </w:t>
      </w:r>
      <w:r w:rsidR="005C2DC1" w:rsidRPr="00754D0C">
        <w:rPr>
          <w:rFonts w:ascii="Book Antiqua" w:hAnsi="Book Antiqua" w:cs="Times New Roman"/>
          <w:b/>
          <w:bCs/>
          <w:noProof w:val="0"/>
          <w:sz w:val="24"/>
          <w:szCs w:val="24"/>
        </w:rPr>
        <w:t xml:space="preserve">entre les </w:t>
      </w:r>
      <w:r w:rsidR="005C2DC1">
        <w:rPr>
          <w:rFonts w:ascii="Book Antiqua" w:hAnsi="Book Antiqua" w:cs="Times New Roman"/>
          <w:b/>
          <w:bCs/>
          <w:noProof w:val="0"/>
          <w:sz w:val="24"/>
          <w:szCs w:val="24"/>
        </w:rPr>
        <w:t>premiers trimestres de 201</w:t>
      </w:r>
      <w:r w:rsidR="00DA277B">
        <w:rPr>
          <w:rFonts w:ascii="Book Antiqua" w:hAnsi="Book Antiqua" w:cs="Times New Roman"/>
          <w:b/>
          <w:bCs/>
          <w:noProof w:val="0"/>
          <w:sz w:val="24"/>
          <w:szCs w:val="24"/>
        </w:rPr>
        <w:t>9</w:t>
      </w:r>
      <w:r w:rsidR="005C2DC1" w:rsidRPr="00652E80">
        <w:rPr>
          <w:rFonts w:ascii="Book Antiqua" w:hAnsi="Book Antiqua" w:cs="Times New Roman"/>
          <w:b/>
          <w:bCs/>
          <w:noProof w:val="0"/>
          <w:sz w:val="24"/>
          <w:szCs w:val="24"/>
        </w:rPr>
        <w:t xml:space="preserve"> et </w:t>
      </w:r>
      <w:r w:rsidR="00540CCF">
        <w:rPr>
          <w:rFonts w:ascii="Book Antiqua" w:hAnsi="Book Antiqua" w:cs="Times New Roman"/>
          <w:b/>
          <w:bCs/>
          <w:noProof w:val="0"/>
          <w:sz w:val="24"/>
          <w:szCs w:val="24"/>
        </w:rPr>
        <w:t xml:space="preserve">de </w:t>
      </w:r>
      <w:r w:rsidR="005C2DC1">
        <w:rPr>
          <w:rFonts w:ascii="Book Antiqua" w:hAnsi="Book Antiqua" w:cs="Times New Roman"/>
          <w:b/>
          <w:bCs/>
          <w:noProof w:val="0"/>
          <w:sz w:val="24"/>
          <w:szCs w:val="24"/>
        </w:rPr>
        <w:t>20</w:t>
      </w:r>
      <w:r w:rsidR="00DA277B">
        <w:rPr>
          <w:rFonts w:ascii="Book Antiqua" w:hAnsi="Book Antiqua" w:cs="Times New Roman"/>
          <w:b/>
          <w:bCs/>
          <w:noProof w:val="0"/>
          <w:sz w:val="24"/>
          <w:szCs w:val="24"/>
        </w:rPr>
        <w:t>20</w:t>
      </w:r>
      <w:r w:rsidR="005C2DC1">
        <w:rPr>
          <w:rFonts w:ascii="Book Antiqua" w:hAnsi="Book Antiqua" w:cs="Times New Roman"/>
          <w:b/>
          <w:bCs/>
          <w:noProof w:val="0"/>
          <w:sz w:val="24"/>
          <w:szCs w:val="24"/>
        </w:rPr>
        <w:t>,</w:t>
      </w:r>
      <w:r w:rsidRPr="005C2DC1">
        <w:rPr>
          <w:rFonts w:ascii="Book Antiqua" w:hAnsi="Book Antiqua" w:cs="Times New Roman"/>
          <w:b/>
          <w:bCs/>
          <w:noProof w:val="0"/>
          <w:sz w:val="24"/>
          <w:szCs w:val="24"/>
        </w:rPr>
        <w:t xml:space="preserve"> par secteur d’activité économique et milieu de résidence</w:t>
      </w:r>
      <w:r w:rsidR="00A21C6A">
        <w:rPr>
          <w:rStyle w:val="Appelnotedebasdep"/>
          <w:rFonts w:ascii="Book Antiqua" w:hAnsi="Book Antiqua" w:cs="Times New Roman"/>
          <w:b/>
          <w:bCs/>
          <w:noProof w:val="0"/>
          <w:sz w:val="24"/>
          <w:szCs w:val="24"/>
        </w:rPr>
        <w:footnoteReference w:id="3"/>
      </w:r>
    </w:p>
    <w:p w:rsidR="009B7BDC" w:rsidRPr="00732456" w:rsidRDefault="009B7BDC" w:rsidP="00732456">
      <w:pPr>
        <w:autoSpaceDE w:val="0"/>
        <w:autoSpaceDN w:val="0"/>
        <w:bidi w:val="0"/>
        <w:adjustRightInd w:val="0"/>
        <w:jc w:val="center"/>
        <w:rPr>
          <w:rFonts w:ascii="Book Antiqua" w:hAnsi="Book Antiqua" w:cs="Times New Roman"/>
          <w:b/>
          <w:bCs/>
          <w:noProof w:val="0"/>
          <w:sz w:val="8"/>
          <w:szCs w:val="8"/>
        </w:rPr>
      </w:pPr>
    </w:p>
    <w:p w:rsidR="009B7BDC" w:rsidRPr="00754D0C" w:rsidRDefault="00AA7937" w:rsidP="009B7BDC">
      <w:pPr>
        <w:autoSpaceDE w:val="0"/>
        <w:autoSpaceDN w:val="0"/>
        <w:bidi w:val="0"/>
        <w:adjustRightInd w:val="0"/>
        <w:jc w:val="center"/>
        <w:rPr>
          <w:rFonts w:ascii="Book Antiqua" w:hAnsi="Book Antiqua"/>
        </w:rPr>
      </w:pPr>
      <w:r>
        <w:rPr>
          <w:rFonts w:ascii="Book Antiqua" w:hAnsi="Book Antiqua"/>
        </w:rPr>
        <w:drawing>
          <wp:anchor distT="0" distB="0" distL="114300" distR="114300" simplePos="0" relativeHeight="251659264" behindDoc="1" locked="0" layoutInCell="1" allowOverlap="1">
            <wp:simplePos x="0" y="0"/>
            <wp:positionH relativeFrom="column">
              <wp:posOffset>-114935</wp:posOffset>
            </wp:positionH>
            <wp:positionV relativeFrom="paragraph">
              <wp:posOffset>111125</wp:posOffset>
            </wp:positionV>
            <wp:extent cx="6372225" cy="3095625"/>
            <wp:effectExtent l="0" t="0" r="0" b="0"/>
            <wp:wrapTight wrapText="bothSides">
              <wp:wrapPolygon edited="0">
                <wp:start x="8330" y="930"/>
                <wp:lineTo x="8330" y="1462"/>
                <wp:lineTo x="10203" y="3057"/>
                <wp:lineTo x="10784" y="3057"/>
                <wp:lineTo x="10848" y="7311"/>
                <wp:lineTo x="6457" y="7577"/>
                <wp:lineTo x="6457" y="9172"/>
                <wp:lineTo x="10784" y="9438"/>
                <wp:lineTo x="10848" y="11564"/>
                <wp:lineTo x="2066" y="11697"/>
                <wp:lineTo x="2066" y="12495"/>
                <wp:lineTo x="10784" y="13691"/>
                <wp:lineTo x="3293" y="14622"/>
                <wp:lineTo x="3293" y="15419"/>
                <wp:lineTo x="4262" y="15818"/>
                <wp:lineTo x="4262" y="16615"/>
                <wp:lineTo x="10784" y="17945"/>
                <wp:lineTo x="2260" y="18875"/>
                <wp:lineTo x="2131" y="19806"/>
                <wp:lineTo x="3422" y="20071"/>
                <wp:lineTo x="3422" y="20736"/>
                <wp:lineTo x="4778" y="20869"/>
                <wp:lineTo x="9105" y="20869"/>
                <wp:lineTo x="9363" y="20869"/>
                <wp:lineTo x="9428" y="20204"/>
                <wp:lineTo x="9428" y="20071"/>
                <wp:lineTo x="17564" y="19673"/>
                <wp:lineTo x="17564" y="19008"/>
                <wp:lineTo x="10719" y="17945"/>
                <wp:lineTo x="10784" y="13691"/>
                <wp:lineTo x="11107" y="13691"/>
                <wp:lineTo x="12463" y="11963"/>
                <wp:lineTo x="12398" y="11564"/>
                <wp:lineTo x="14335" y="11298"/>
                <wp:lineTo x="14206" y="10501"/>
                <wp:lineTo x="10784" y="9438"/>
                <wp:lineTo x="13367" y="8374"/>
                <wp:lineTo x="13367" y="7577"/>
                <wp:lineTo x="10784" y="7311"/>
                <wp:lineTo x="17564" y="6380"/>
                <wp:lineTo x="17564" y="5583"/>
                <wp:lineTo x="10784" y="5184"/>
                <wp:lineTo x="16596" y="4519"/>
                <wp:lineTo x="16596" y="3722"/>
                <wp:lineTo x="10784" y="3057"/>
                <wp:lineTo x="13109" y="3057"/>
                <wp:lineTo x="18726" y="1595"/>
                <wp:lineTo x="18662" y="930"/>
                <wp:lineTo x="8330" y="930"/>
              </wp:wrapPolygon>
            </wp:wrapTight>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E093F" w:rsidRDefault="00FE093F">
      <w:pPr>
        <w:bidi w:val="0"/>
        <w:rPr>
          <w:rFonts w:ascii="Book Antiqua" w:hAnsi="Book Antiqua" w:cs="Times New Roman"/>
          <w:b/>
          <w:bCs/>
          <w:noProof w:val="0"/>
          <w:color w:val="0070C0"/>
          <w:sz w:val="28"/>
          <w:szCs w:val="28"/>
        </w:rPr>
      </w:pPr>
      <w:r>
        <w:rPr>
          <w:rFonts w:ascii="Book Antiqua" w:hAnsi="Book Antiqua" w:cs="Times New Roman"/>
          <w:b/>
          <w:bCs/>
          <w:noProof w:val="0"/>
          <w:color w:val="0070C0"/>
          <w:sz w:val="28"/>
          <w:szCs w:val="28"/>
        </w:rPr>
        <w:br w:type="page"/>
      </w:r>
    </w:p>
    <w:p w:rsidR="009D2DC9" w:rsidRPr="00984E6C" w:rsidRDefault="009D2DC9" w:rsidP="009D2DC9">
      <w:pPr>
        <w:bidi w:val="0"/>
        <w:rPr>
          <w:rFonts w:ascii="Book Antiqua" w:hAnsi="Book Antiqua" w:cs="Times New Roman"/>
          <w:b/>
          <w:bCs/>
          <w:noProof w:val="0"/>
          <w:color w:val="0070C0"/>
          <w:sz w:val="28"/>
          <w:szCs w:val="28"/>
        </w:rPr>
      </w:pPr>
      <w:r>
        <w:rPr>
          <w:rFonts w:ascii="Book Antiqua" w:hAnsi="Book Antiqua" w:cs="Times New Roman"/>
          <w:b/>
          <w:bCs/>
          <w:noProof w:val="0"/>
          <w:color w:val="0070C0"/>
          <w:sz w:val="28"/>
          <w:szCs w:val="28"/>
        </w:rPr>
        <w:lastRenderedPageBreak/>
        <w:t>Hausse</w:t>
      </w:r>
      <w:r w:rsidRPr="00984E6C">
        <w:rPr>
          <w:rFonts w:ascii="Book Antiqua" w:hAnsi="Book Antiqua" w:cs="Times New Roman"/>
          <w:b/>
          <w:bCs/>
          <w:noProof w:val="0"/>
          <w:color w:val="0070C0"/>
          <w:sz w:val="28"/>
          <w:szCs w:val="28"/>
        </w:rPr>
        <w:t xml:space="preserve"> du volume et du taux de chômage</w:t>
      </w:r>
    </w:p>
    <w:p w:rsidR="009D2DC9" w:rsidRPr="005E24F2" w:rsidRDefault="009D2DC9" w:rsidP="009D2DC9">
      <w:pPr>
        <w:bidi w:val="0"/>
        <w:rPr>
          <w:rFonts w:ascii="Book Antiqua" w:hAnsi="Book Antiqua" w:cs="Times New Roman"/>
          <w:b/>
          <w:bCs/>
          <w:noProof w:val="0"/>
          <w:color w:val="0070C0"/>
          <w:sz w:val="14"/>
          <w:szCs w:val="14"/>
        </w:rPr>
      </w:pPr>
      <w:r w:rsidRPr="00CA7892">
        <w:rPr>
          <w:rFonts w:ascii="Book Antiqua" w:hAnsi="Book Antiqua" w:cs="Times New Roman"/>
          <w:b/>
          <w:bCs/>
          <w:noProof w:val="0"/>
          <w:color w:val="0070C0"/>
          <w:sz w:val="28"/>
          <w:szCs w:val="28"/>
        </w:rPr>
        <w:t xml:space="preserve"> </w:t>
      </w:r>
    </w:p>
    <w:p w:rsidR="009D2DC9" w:rsidRPr="00E4205E" w:rsidRDefault="009D2DC9" w:rsidP="00540CCF">
      <w:pPr>
        <w:bidi w:val="0"/>
        <w:spacing w:after="120"/>
        <w:contextualSpacing/>
        <w:jc w:val="both"/>
        <w:rPr>
          <w:rFonts w:ascii="Book Antiqua" w:hAnsi="Book Antiqua" w:cs="Times New Roman"/>
          <w:noProof w:val="0"/>
          <w:sz w:val="26"/>
          <w:szCs w:val="26"/>
        </w:rPr>
      </w:pPr>
      <w:r w:rsidRPr="004B3621">
        <w:rPr>
          <w:rFonts w:ascii="Book Antiqua" w:hAnsi="Book Antiqua" w:cs="Times New Roman"/>
          <w:noProof w:val="0"/>
          <w:sz w:val="26"/>
          <w:szCs w:val="26"/>
        </w:rPr>
        <w:t>Avec</w:t>
      </w:r>
      <w:r>
        <w:rPr>
          <w:rFonts w:ascii="Book Antiqua" w:hAnsi="Book Antiqua" w:cs="Times New Roman"/>
          <w:noProof w:val="0"/>
          <w:sz w:val="26"/>
          <w:szCs w:val="26"/>
        </w:rPr>
        <w:t xml:space="preserve"> une hausse de 208</w:t>
      </w:r>
      <w:r w:rsidRPr="00D95E34">
        <w:rPr>
          <w:rFonts w:ascii="Book Antiqua" w:hAnsi="Book Antiqua" w:cs="Times New Roman"/>
          <w:noProof w:val="0"/>
          <w:sz w:val="26"/>
          <w:szCs w:val="26"/>
        </w:rPr>
        <w:t xml:space="preserve">.000 chômeurs, </w:t>
      </w:r>
      <w:r>
        <w:rPr>
          <w:rFonts w:ascii="Book Antiqua" w:hAnsi="Book Antiqua" w:cs="Times New Roman"/>
          <w:noProof w:val="0"/>
          <w:sz w:val="26"/>
          <w:szCs w:val="26"/>
        </w:rPr>
        <w:t xml:space="preserve">résultant d’une </w:t>
      </w:r>
      <w:r w:rsidR="00540CCF">
        <w:rPr>
          <w:rFonts w:ascii="Book Antiqua" w:hAnsi="Book Antiqua" w:cs="Times New Roman"/>
          <w:noProof w:val="0"/>
          <w:sz w:val="26"/>
          <w:szCs w:val="26"/>
        </w:rPr>
        <w:t xml:space="preserve">augmentation </w:t>
      </w:r>
      <w:r>
        <w:rPr>
          <w:rFonts w:ascii="Book Antiqua" w:hAnsi="Book Antiqua" w:cs="Times New Roman"/>
          <w:noProof w:val="0"/>
          <w:sz w:val="26"/>
          <w:szCs w:val="26"/>
        </w:rPr>
        <w:t>de 165</w:t>
      </w:r>
      <w:r w:rsidRPr="00D95E34">
        <w:rPr>
          <w:rFonts w:ascii="Book Antiqua" w:hAnsi="Book Antiqua" w:cs="Times New Roman"/>
          <w:noProof w:val="0"/>
          <w:sz w:val="26"/>
          <w:szCs w:val="26"/>
        </w:rPr>
        <w:t xml:space="preserve">.000 en milieu urbain et </w:t>
      </w:r>
      <w:r>
        <w:rPr>
          <w:rFonts w:ascii="Book Antiqua" w:hAnsi="Book Antiqua" w:cs="Times New Roman"/>
          <w:noProof w:val="0"/>
          <w:sz w:val="26"/>
          <w:szCs w:val="26"/>
        </w:rPr>
        <w:t>de 43.</w:t>
      </w:r>
      <w:r w:rsidRPr="00D95E34">
        <w:rPr>
          <w:rFonts w:ascii="Book Antiqua" w:hAnsi="Book Antiqua" w:cs="Times New Roman"/>
          <w:noProof w:val="0"/>
          <w:sz w:val="26"/>
          <w:szCs w:val="26"/>
        </w:rPr>
        <w:t>000 en milieu rural</w:t>
      </w:r>
      <w:r>
        <w:rPr>
          <w:rFonts w:ascii="Book Antiqua" w:hAnsi="Book Antiqua" w:cs="Times New Roman"/>
          <w:noProof w:val="0"/>
          <w:sz w:val="26"/>
          <w:szCs w:val="26"/>
        </w:rPr>
        <w:t xml:space="preserve">, </w:t>
      </w:r>
      <w:r w:rsidRPr="00D95E34">
        <w:rPr>
          <w:rFonts w:ascii="Book Antiqua" w:hAnsi="Book Antiqua" w:cs="Times New Roman"/>
          <w:noProof w:val="0"/>
          <w:sz w:val="26"/>
          <w:szCs w:val="26"/>
        </w:rPr>
        <w:t xml:space="preserve">la population active en chômage </w:t>
      </w:r>
      <w:r>
        <w:rPr>
          <w:rFonts w:ascii="Book Antiqua" w:hAnsi="Book Antiqua" w:cs="Times New Roman"/>
          <w:noProof w:val="0"/>
          <w:sz w:val="26"/>
          <w:szCs w:val="26"/>
        </w:rPr>
        <w:t>est passée</w:t>
      </w:r>
      <w:r w:rsidRPr="003D37FE">
        <w:rPr>
          <w:rFonts w:ascii="Book Antiqua" w:hAnsi="Book Antiqua" w:cs="Times New Roman"/>
          <w:noProof w:val="0"/>
          <w:sz w:val="26"/>
          <w:szCs w:val="26"/>
        </w:rPr>
        <w:t xml:space="preserve">, entre le premier trimestre de l’année </w:t>
      </w:r>
      <w:r>
        <w:rPr>
          <w:rFonts w:ascii="Book Antiqua" w:hAnsi="Book Antiqua" w:cs="Times New Roman"/>
          <w:noProof w:val="0"/>
          <w:sz w:val="26"/>
          <w:szCs w:val="26"/>
        </w:rPr>
        <w:t>2019</w:t>
      </w:r>
      <w:r w:rsidRPr="003D37FE">
        <w:rPr>
          <w:rFonts w:ascii="Book Antiqua" w:hAnsi="Book Antiqua" w:cs="Times New Roman"/>
          <w:noProof w:val="0"/>
          <w:sz w:val="26"/>
          <w:szCs w:val="26"/>
        </w:rPr>
        <w:t xml:space="preserve"> et celui de </w:t>
      </w:r>
      <w:r>
        <w:rPr>
          <w:rFonts w:ascii="Book Antiqua" w:hAnsi="Book Antiqua" w:cs="Times New Roman"/>
          <w:noProof w:val="0"/>
          <w:sz w:val="26"/>
          <w:szCs w:val="26"/>
        </w:rPr>
        <w:t>2020</w:t>
      </w:r>
      <w:r w:rsidRPr="003D37FE">
        <w:rPr>
          <w:rFonts w:ascii="Book Antiqua" w:hAnsi="Book Antiqua" w:cs="Times New Roman"/>
          <w:noProof w:val="0"/>
          <w:sz w:val="26"/>
          <w:szCs w:val="26"/>
        </w:rPr>
        <w:t>, de</w:t>
      </w:r>
      <w:r w:rsidRPr="002E1989">
        <w:rPr>
          <w:rFonts w:ascii="Book Antiqua" w:hAnsi="Book Antiqua" w:cs="Times New Roman"/>
          <w:noProof w:val="0"/>
          <w:sz w:val="26"/>
          <w:szCs w:val="26"/>
        </w:rPr>
        <w:t xml:space="preserve"> </w:t>
      </w:r>
      <w:r w:rsidRPr="003D37FE">
        <w:rPr>
          <w:rFonts w:ascii="Book Antiqua" w:hAnsi="Book Antiqua" w:cs="Times New Roman"/>
          <w:noProof w:val="0"/>
          <w:sz w:val="26"/>
          <w:szCs w:val="26"/>
        </w:rPr>
        <w:t>1.</w:t>
      </w:r>
      <w:r>
        <w:rPr>
          <w:rFonts w:ascii="Book Antiqua" w:hAnsi="Book Antiqua" w:cs="Times New Roman"/>
          <w:noProof w:val="0"/>
          <w:sz w:val="26"/>
          <w:szCs w:val="26"/>
        </w:rPr>
        <w:t>084</w:t>
      </w:r>
      <w:r w:rsidRPr="003D37FE">
        <w:rPr>
          <w:rFonts w:ascii="Book Antiqua" w:hAnsi="Book Antiqua" w:cs="Times New Roman"/>
          <w:noProof w:val="0"/>
          <w:sz w:val="26"/>
          <w:szCs w:val="26"/>
        </w:rPr>
        <w:t>.000 à 1.</w:t>
      </w:r>
      <w:r>
        <w:rPr>
          <w:rFonts w:ascii="Book Antiqua" w:hAnsi="Book Antiqua" w:cs="Times New Roman"/>
          <w:noProof w:val="0"/>
          <w:sz w:val="26"/>
          <w:szCs w:val="26"/>
        </w:rPr>
        <w:t>292</w:t>
      </w:r>
      <w:r w:rsidRPr="003D37FE">
        <w:rPr>
          <w:rFonts w:ascii="Book Antiqua" w:hAnsi="Book Antiqua" w:cs="Times New Roman"/>
          <w:noProof w:val="0"/>
          <w:sz w:val="26"/>
          <w:szCs w:val="26"/>
        </w:rPr>
        <w:t>.000 chômeurs</w:t>
      </w:r>
      <w:r>
        <w:rPr>
          <w:rFonts w:ascii="Book Antiqua" w:hAnsi="Book Antiqua" w:cs="Times New Roman"/>
          <w:noProof w:val="0"/>
          <w:sz w:val="26"/>
          <w:szCs w:val="26"/>
        </w:rPr>
        <w:t xml:space="preserve">, enregistrant une hausse </w:t>
      </w:r>
      <w:r w:rsidR="00540CCF">
        <w:rPr>
          <w:rFonts w:ascii="Book Antiqua" w:hAnsi="Book Antiqua" w:cs="Times New Roman"/>
          <w:noProof w:val="0"/>
          <w:sz w:val="26"/>
          <w:szCs w:val="26"/>
        </w:rPr>
        <w:t>du</w:t>
      </w:r>
      <w:r w:rsidRPr="002E1989">
        <w:rPr>
          <w:rFonts w:ascii="Book Antiqua" w:hAnsi="Book Antiqua" w:cs="Times New Roman"/>
          <w:noProof w:val="0"/>
          <w:sz w:val="26"/>
          <w:szCs w:val="26"/>
        </w:rPr>
        <w:t xml:space="preserve"> </w:t>
      </w:r>
      <w:r w:rsidRPr="004B3621">
        <w:rPr>
          <w:rFonts w:ascii="Book Antiqua" w:hAnsi="Book Antiqua" w:cs="Times New Roman"/>
          <w:noProof w:val="0"/>
          <w:sz w:val="26"/>
          <w:szCs w:val="26"/>
        </w:rPr>
        <w:t>volume global du chômage au niveau national</w:t>
      </w:r>
      <w:r w:rsidR="00540CCF" w:rsidRPr="00540CCF">
        <w:rPr>
          <w:rFonts w:ascii="Book Antiqua" w:hAnsi="Book Antiqua" w:cs="Times New Roman"/>
          <w:noProof w:val="0"/>
          <w:sz w:val="26"/>
          <w:szCs w:val="26"/>
        </w:rPr>
        <w:t xml:space="preserve"> </w:t>
      </w:r>
      <w:r w:rsidR="00540CCF">
        <w:rPr>
          <w:rFonts w:ascii="Book Antiqua" w:hAnsi="Book Antiqua" w:cs="Times New Roman"/>
          <w:noProof w:val="0"/>
          <w:sz w:val="26"/>
          <w:szCs w:val="26"/>
        </w:rPr>
        <w:t>de 19,1</w:t>
      </w:r>
      <w:r w:rsidR="00540CCF" w:rsidRPr="00D95E34">
        <w:rPr>
          <w:rFonts w:ascii="Book Antiqua" w:hAnsi="Book Antiqua" w:cs="Times New Roman"/>
          <w:noProof w:val="0"/>
          <w:sz w:val="26"/>
          <w:szCs w:val="26"/>
        </w:rPr>
        <w:t>%</w:t>
      </w:r>
      <w:r w:rsidRPr="004B3621">
        <w:rPr>
          <w:rFonts w:ascii="Book Antiqua" w:hAnsi="Book Antiqua" w:cs="Times New Roman"/>
          <w:noProof w:val="0"/>
          <w:sz w:val="26"/>
          <w:szCs w:val="26"/>
        </w:rPr>
        <w:t xml:space="preserve">. Le taux de chômage est ainsi </w:t>
      </w:r>
      <w:r w:rsidRPr="00D95E34">
        <w:rPr>
          <w:rFonts w:ascii="Book Antiqua" w:hAnsi="Book Antiqua" w:cs="Times New Roman"/>
          <w:noProof w:val="0"/>
          <w:sz w:val="26"/>
          <w:szCs w:val="26"/>
        </w:rPr>
        <w:t xml:space="preserve">passé  de </w:t>
      </w:r>
      <w:r w:rsidRPr="00E4205E">
        <w:rPr>
          <w:rFonts w:ascii="Book Antiqua" w:hAnsi="Book Antiqua" w:cs="Times New Roman"/>
          <w:noProof w:val="0"/>
          <w:sz w:val="26"/>
          <w:szCs w:val="26"/>
        </w:rPr>
        <w:t>9,1</w:t>
      </w:r>
      <w:r w:rsidRPr="00D95E34">
        <w:rPr>
          <w:rFonts w:ascii="Book Antiqua" w:hAnsi="Book Antiqua" w:cs="Times New Roman"/>
          <w:noProof w:val="0"/>
          <w:sz w:val="26"/>
          <w:szCs w:val="26"/>
        </w:rPr>
        <w:t>% à</w:t>
      </w:r>
      <w:r>
        <w:rPr>
          <w:rFonts w:ascii="Book Antiqua" w:hAnsi="Book Antiqua" w:cs="Times New Roman"/>
          <w:noProof w:val="0"/>
          <w:sz w:val="26"/>
          <w:szCs w:val="26"/>
        </w:rPr>
        <w:t xml:space="preserve"> </w:t>
      </w:r>
      <w:r w:rsidRPr="00E4205E">
        <w:rPr>
          <w:rFonts w:ascii="Book Antiqua" w:hAnsi="Book Antiqua" w:cs="Times New Roman"/>
          <w:noProof w:val="0"/>
          <w:sz w:val="26"/>
          <w:szCs w:val="26"/>
        </w:rPr>
        <w:t>10,5</w:t>
      </w:r>
      <w:r w:rsidRPr="00D95E34">
        <w:rPr>
          <w:rFonts w:ascii="Book Antiqua" w:hAnsi="Book Antiqua" w:cs="Times New Roman"/>
          <w:noProof w:val="0"/>
          <w:sz w:val="26"/>
          <w:szCs w:val="26"/>
        </w:rPr>
        <w:t xml:space="preserve">% au niveau national, de </w:t>
      </w:r>
      <w:r w:rsidRPr="00E4205E">
        <w:rPr>
          <w:rFonts w:ascii="Book Antiqua" w:hAnsi="Book Antiqua" w:cs="Times New Roman"/>
          <w:noProof w:val="0"/>
          <w:sz w:val="26"/>
          <w:szCs w:val="26"/>
        </w:rPr>
        <w:t>13,3</w:t>
      </w:r>
      <w:r w:rsidRPr="00D95E34">
        <w:rPr>
          <w:rFonts w:ascii="Book Antiqua" w:hAnsi="Book Antiqua" w:cs="Times New Roman"/>
          <w:noProof w:val="0"/>
          <w:sz w:val="26"/>
          <w:szCs w:val="26"/>
        </w:rPr>
        <w:t xml:space="preserve">% à </w:t>
      </w:r>
      <w:r w:rsidRPr="00E4205E">
        <w:rPr>
          <w:rFonts w:ascii="Book Antiqua" w:hAnsi="Book Antiqua" w:cs="Times New Roman"/>
          <w:noProof w:val="0"/>
          <w:sz w:val="26"/>
          <w:szCs w:val="26"/>
        </w:rPr>
        <w:t>15,1</w:t>
      </w:r>
      <w:r w:rsidRPr="00D95E34">
        <w:rPr>
          <w:rFonts w:ascii="Book Antiqua" w:hAnsi="Book Antiqua" w:cs="Times New Roman"/>
          <w:noProof w:val="0"/>
          <w:sz w:val="26"/>
          <w:szCs w:val="26"/>
        </w:rPr>
        <w:t>% en milieu urbain et de</w:t>
      </w:r>
      <w:r>
        <w:rPr>
          <w:rFonts w:ascii="Book Antiqua" w:hAnsi="Book Antiqua" w:cs="Times New Roman"/>
          <w:noProof w:val="0"/>
          <w:sz w:val="26"/>
          <w:szCs w:val="26"/>
        </w:rPr>
        <w:t xml:space="preserve"> </w:t>
      </w:r>
      <w:r w:rsidRPr="00E4205E">
        <w:rPr>
          <w:rFonts w:ascii="Book Antiqua" w:hAnsi="Book Antiqua" w:cs="Times New Roman"/>
          <w:noProof w:val="0"/>
          <w:sz w:val="26"/>
          <w:szCs w:val="26"/>
        </w:rPr>
        <w:t>3,1</w:t>
      </w:r>
      <w:r w:rsidRPr="00D95E34">
        <w:rPr>
          <w:rFonts w:ascii="Book Antiqua" w:hAnsi="Book Antiqua" w:cs="Times New Roman"/>
          <w:noProof w:val="0"/>
          <w:sz w:val="26"/>
          <w:szCs w:val="26"/>
        </w:rPr>
        <w:t>% à</w:t>
      </w:r>
      <w:r>
        <w:rPr>
          <w:rFonts w:ascii="Book Antiqua" w:hAnsi="Book Antiqua" w:cs="Times New Roman"/>
          <w:noProof w:val="0"/>
          <w:sz w:val="26"/>
          <w:szCs w:val="26"/>
        </w:rPr>
        <w:t xml:space="preserve"> </w:t>
      </w:r>
      <w:r w:rsidRPr="00E4205E">
        <w:rPr>
          <w:rFonts w:ascii="Book Antiqua" w:hAnsi="Book Antiqua" w:cs="Times New Roman"/>
          <w:noProof w:val="0"/>
          <w:sz w:val="26"/>
          <w:szCs w:val="26"/>
        </w:rPr>
        <w:t>3,9</w:t>
      </w:r>
      <w:r w:rsidRPr="00D95E34">
        <w:rPr>
          <w:rFonts w:ascii="Book Antiqua" w:hAnsi="Book Antiqua" w:cs="Times New Roman"/>
          <w:noProof w:val="0"/>
          <w:sz w:val="26"/>
          <w:szCs w:val="26"/>
        </w:rPr>
        <w:t>% en milieu  rural.</w:t>
      </w:r>
    </w:p>
    <w:p w:rsidR="009D2DC9" w:rsidRPr="00AB105A" w:rsidRDefault="009D2DC9" w:rsidP="002E1989">
      <w:pPr>
        <w:autoSpaceDE w:val="0"/>
        <w:autoSpaceDN w:val="0"/>
        <w:bidi w:val="0"/>
        <w:adjustRightInd w:val="0"/>
        <w:spacing w:after="120"/>
        <w:jc w:val="both"/>
        <w:rPr>
          <w:rFonts w:ascii="Book Antiqua" w:hAnsi="Book Antiqua" w:cs="Times New Roman"/>
          <w:noProof w:val="0"/>
          <w:sz w:val="8"/>
          <w:szCs w:val="8"/>
        </w:rPr>
      </w:pPr>
    </w:p>
    <w:p w:rsidR="009D2DC9" w:rsidRDefault="007B3FB1" w:rsidP="005F1FBC">
      <w:pPr>
        <w:bidi w:val="0"/>
        <w:spacing w:after="120"/>
        <w:jc w:val="both"/>
        <w:rPr>
          <w:rFonts w:ascii="Book Antiqua" w:hAnsi="Book Antiqua" w:cs="Times New Roman"/>
          <w:noProof w:val="0"/>
          <w:sz w:val="26"/>
          <w:szCs w:val="26"/>
        </w:rPr>
      </w:pPr>
      <w:r w:rsidRPr="005F1FBC">
        <w:rPr>
          <w:rFonts w:ascii="Book Antiqua" w:hAnsi="Book Antiqua" w:cs="Times New Roman"/>
          <w:noProof w:val="0"/>
          <w:sz w:val="26"/>
          <w:szCs w:val="26"/>
        </w:rPr>
        <w:t>Les hausses les plus importantes du taux de chômage ont été relevées parmi les jeunes âgés de 15 à 24 ans</w:t>
      </w:r>
      <w:r w:rsidR="00C55DFD" w:rsidRPr="005F1FBC">
        <w:rPr>
          <w:rFonts w:ascii="Book Antiqua" w:hAnsi="Book Antiqua" w:cs="Times New Roman"/>
          <w:noProof w:val="0"/>
          <w:sz w:val="26"/>
          <w:szCs w:val="26"/>
        </w:rPr>
        <w:t xml:space="preserve"> </w:t>
      </w:r>
      <w:r w:rsidR="005F1FBC">
        <w:rPr>
          <w:rFonts w:ascii="Book Antiqua" w:hAnsi="Book Antiqua" w:cs="Times New Roman"/>
          <w:noProof w:val="0"/>
          <w:sz w:val="26"/>
          <w:szCs w:val="26"/>
        </w:rPr>
        <w:t>(</w:t>
      </w:r>
      <w:r w:rsidRPr="005F1FBC">
        <w:rPr>
          <w:rFonts w:ascii="Book Antiqua" w:hAnsi="Book Antiqua" w:cs="Times New Roman"/>
          <w:noProof w:val="0"/>
          <w:sz w:val="26"/>
          <w:szCs w:val="26"/>
        </w:rPr>
        <w:t>3,9 points), les personnes âgées de 25 à 34 ans (2,3 points), les personnes disposant d’un diplôme (1,9 points) et les hommes (1,6 points).</w:t>
      </w:r>
      <w:r w:rsidR="009D2DC9" w:rsidRPr="00E71298">
        <w:rPr>
          <w:rFonts w:ascii="Book Antiqua" w:hAnsi="Book Antiqua" w:cs="Times New Roman"/>
          <w:noProof w:val="0"/>
          <w:sz w:val="26"/>
          <w:szCs w:val="26"/>
        </w:rPr>
        <w:t xml:space="preserve"> </w:t>
      </w:r>
    </w:p>
    <w:p w:rsidR="00150AE7" w:rsidRPr="007A195B" w:rsidRDefault="00150AE7" w:rsidP="00150AE7">
      <w:pPr>
        <w:bidi w:val="0"/>
        <w:jc w:val="both"/>
        <w:rPr>
          <w:rFonts w:ascii="Arial" w:hAnsi="Arial" w:cs="Arial"/>
          <w:noProof w:val="0"/>
          <w:color w:val="993300"/>
          <w:sz w:val="18"/>
          <w:szCs w:val="18"/>
        </w:rPr>
      </w:pPr>
    </w:p>
    <w:p w:rsidR="009D2DC9" w:rsidRPr="004A086F" w:rsidRDefault="009D2DC9" w:rsidP="009D2DC9">
      <w:pPr>
        <w:autoSpaceDE w:val="0"/>
        <w:autoSpaceDN w:val="0"/>
        <w:bidi w:val="0"/>
        <w:adjustRightInd w:val="0"/>
        <w:jc w:val="center"/>
        <w:rPr>
          <w:rFonts w:ascii="Book Antiqua" w:hAnsi="Book Antiqua" w:cs="Times New Roman"/>
          <w:b/>
          <w:bCs/>
          <w:noProof w:val="0"/>
          <w:sz w:val="8"/>
          <w:szCs w:val="8"/>
        </w:rPr>
      </w:pPr>
    </w:p>
    <w:p w:rsidR="009D2DC9" w:rsidRDefault="009D2DC9" w:rsidP="00682FD9">
      <w:pPr>
        <w:autoSpaceDE w:val="0"/>
        <w:autoSpaceDN w:val="0"/>
        <w:bidi w:val="0"/>
        <w:adjustRightInd w:val="0"/>
        <w:jc w:val="center"/>
        <w:rPr>
          <w:rFonts w:ascii="Book Antiqua" w:hAnsi="Book Antiqua" w:cs="Times New Roman"/>
          <w:b/>
          <w:bCs/>
          <w:noProof w:val="0"/>
          <w:sz w:val="24"/>
          <w:szCs w:val="24"/>
        </w:rPr>
      </w:pPr>
      <w:r w:rsidRPr="001F0CDE">
        <w:rPr>
          <w:rFonts w:ascii="Book Antiqua" w:hAnsi="Book Antiqua" w:cs="Times New Roman"/>
          <w:b/>
          <w:bCs/>
          <w:noProof w:val="0"/>
          <w:sz w:val="24"/>
          <w:szCs w:val="24"/>
        </w:rPr>
        <w:t xml:space="preserve">Figure 3 : Evolution du taux de chômage </w:t>
      </w:r>
      <w:r w:rsidRPr="00754D0C">
        <w:rPr>
          <w:rFonts w:ascii="Book Antiqua" w:hAnsi="Book Antiqua" w:cs="Times New Roman"/>
          <w:b/>
          <w:bCs/>
          <w:noProof w:val="0"/>
          <w:sz w:val="24"/>
          <w:szCs w:val="24"/>
        </w:rPr>
        <w:t xml:space="preserve">entre les </w:t>
      </w:r>
      <w:r>
        <w:rPr>
          <w:rFonts w:ascii="Book Antiqua" w:hAnsi="Book Antiqua" w:cs="Times New Roman"/>
          <w:b/>
          <w:bCs/>
          <w:noProof w:val="0"/>
          <w:sz w:val="24"/>
          <w:szCs w:val="24"/>
        </w:rPr>
        <w:t>premiers</w:t>
      </w:r>
      <w:r w:rsidRPr="00754D0C">
        <w:rPr>
          <w:rFonts w:ascii="Book Antiqua" w:hAnsi="Book Antiqua" w:cs="Times New Roman"/>
          <w:b/>
          <w:bCs/>
          <w:noProof w:val="0"/>
          <w:sz w:val="24"/>
          <w:szCs w:val="24"/>
        </w:rPr>
        <w:t xml:space="preserve"> trimestres de </w:t>
      </w:r>
      <w:r>
        <w:rPr>
          <w:rFonts w:ascii="Book Antiqua" w:hAnsi="Book Antiqua" w:cs="Times New Roman"/>
          <w:b/>
          <w:bCs/>
          <w:noProof w:val="0"/>
          <w:sz w:val="24"/>
          <w:szCs w:val="24"/>
        </w:rPr>
        <w:t>2019</w:t>
      </w:r>
      <w:r w:rsidRPr="00652E80">
        <w:rPr>
          <w:rFonts w:ascii="Book Antiqua" w:hAnsi="Book Antiqua" w:cs="Times New Roman"/>
          <w:b/>
          <w:bCs/>
          <w:noProof w:val="0"/>
          <w:sz w:val="24"/>
          <w:szCs w:val="24"/>
        </w:rPr>
        <w:t xml:space="preserve"> et </w:t>
      </w:r>
      <w:r w:rsidR="00682FD9">
        <w:rPr>
          <w:rFonts w:ascii="Book Antiqua" w:hAnsi="Book Antiqua" w:cs="Times New Roman"/>
          <w:b/>
          <w:bCs/>
          <w:noProof w:val="0"/>
          <w:sz w:val="24"/>
          <w:szCs w:val="24"/>
        </w:rPr>
        <w:t xml:space="preserve">de </w:t>
      </w:r>
      <w:r>
        <w:rPr>
          <w:rFonts w:ascii="Book Antiqua" w:hAnsi="Book Antiqua" w:cs="Times New Roman"/>
          <w:b/>
          <w:bCs/>
          <w:noProof w:val="0"/>
          <w:sz w:val="24"/>
          <w:szCs w:val="24"/>
        </w:rPr>
        <w:t>2020</w:t>
      </w:r>
      <w:r w:rsidRPr="001F0CDE">
        <w:rPr>
          <w:rFonts w:ascii="Book Antiqua" w:hAnsi="Book Antiqua" w:cs="Times New Roman"/>
          <w:b/>
          <w:bCs/>
          <w:noProof w:val="0"/>
          <w:sz w:val="24"/>
          <w:szCs w:val="24"/>
        </w:rPr>
        <w:t xml:space="preserve"> </w:t>
      </w:r>
      <w:r w:rsidR="00682FD9">
        <w:rPr>
          <w:rFonts w:ascii="Book Antiqua" w:hAnsi="Book Antiqua" w:cs="Times New Roman"/>
          <w:b/>
          <w:bCs/>
          <w:noProof w:val="0"/>
          <w:sz w:val="24"/>
          <w:szCs w:val="24"/>
        </w:rPr>
        <w:t xml:space="preserve">pour </w:t>
      </w:r>
      <w:r>
        <w:rPr>
          <w:rFonts w:ascii="Book Antiqua" w:hAnsi="Book Antiqua" w:cs="Times New Roman"/>
          <w:b/>
          <w:bCs/>
          <w:noProof w:val="0"/>
          <w:sz w:val="24"/>
          <w:szCs w:val="24"/>
        </w:rPr>
        <w:t>certaines catégories de la population</w:t>
      </w:r>
      <w:r w:rsidRPr="001F0CDE">
        <w:rPr>
          <w:rFonts w:ascii="Book Antiqua" w:hAnsi="Book Antiqua" w:cs="Times New Roman"/>
          <w:b/>
          <w:bCs/>
          <w:noProof w:val="0"/>
          <w:sz w:val="24"/>
          <w:szCs w:val="24"/>
        </w:rPr>
        <w:t xml:space="preserve"> (en %).</w:t>
      </w:r>
    </w:p>
    <w:p w:rsidR="009D2DC9" w:rsidRPr="00373B0C" w:rsidRDefault="009D2DC9" w:rsidP="009D2DC9">
      <w:pPr>
        <w:autoSpaceDE w:val="0"/>
        <w:autoSpaceDN w:val="0"/>
        <w:bidi w:val="0"/>
        <w:adjustRightInd w:val="0"/>
        <w:jc w:val="center"/>
        <w:rPr>
          <w:rFonts w:ascii="Book Antiqua" w:hAnsi="Book Antiqua" w:cs="Times New Roman"/>
          <w:sz w:val="8"/>
          <w:szCs w:val="8"/>
        </w:rPr>
      </w:pPr>
    </w:p>
    <w:p w:rsidR="009D2DC9" w:rsidRDefault="009D2DC9" w:rsidP="009D2DC9">
      <w:pPr>
        <w:autoSpaceDE w:val="0"/>
        <w:autoSpaceDN w:val="0"/>
        <w:bidi w:val="0"/>
        <w:adjustRightInd w:val="0"/>
        <w:jc w:val="center"/>
        <w:rPr>
          <w:rFonts w:ascii="Book Antiqua" w:hAnsi="Book Antiqua" w:cs="Times New Roman"/>
          <w:noProof w:val="0"/>
          <w:sz w:val="24"/>
          <w:szCs w:val="24"/>
        </w:rPr>
      </w:pPr>
      <w:r w:rsidRPr="00227CFC">
        <w:rPr>
          <w:rFonts w:ascii="Book Antiqua" w:hAnsi="Book Antiqua" w:cs="Times New Roman"/>
          <w:sz w:val="24"/>
          <w:szCs w:val="24"/>
        </w:rPr>
        <w:drawing>
          <wp:inline distT="0" distB="0" distL="0" distR="0">
            <wp:extent cx="5501217" cy="2785533"/>
            <wp:effectExtent l="0" t="0" r="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2DC9" w:rsidRDefault="009D2DC9" w:rsidP="009D2DC9">
      <w:pPr>
        <w:autoSpaceDE w:val="0"/>
        <w:autoSpaceDN w:val="0"/>
        <w:bidi w:val="0"/>
        <w:adjustRightInd w:val="0"/>
        <w:jc w:val="center"/>
        <w:rPr>
          <w:rFonts w:ascii="Book Antiqua" w:hAnsi="Book Antiqua" w:cs="Times New Roman"/>
          <w:noProof w:val="0"/>
          <w:sz w:val="8"/>
          <w:szCs w:val="8"/>
        </w:rPr>
      </w:pPr>
    </w:p>
    <w:p w:rsidR="009D2DC9" w:rsidRPr="007A195B" w:rsidRDefault="009D2DC9" w:rsidP="006165AE">
      <w:pPr>
        <w:bidi w:val="0"/>
        <w:spacing w:after="120"/>
        <w:jc w:val="both"/>
        <w:rPr>
          <w:rFonts w:ascii="Arial" w:hAnsi="Arial" w:cs="Arial"/>
          <w:noProof w:val="0"/>
          <w:color w:val="000000"/>
          <w:sz w:val="18"/>
          <w:szCs w:val="18"/>
        </w:rPr>
      </w:pPr>
      <w:r w:rsidRPr="004A578D">
        <w:rPr>
          <w:rFonts w:ascii="Book Antiqua" w:hAnsi="Book Antiqua" w:cs="Times New Roman"/>
          <w:noProof w:val="0"/>
          <w:sz w:val="26"/>
          <w:szCs w:val="26"/>
        </w:rPr>
        <w:t>Les taux de chômage les plus élevés sont relevés, en particulier, parmi les femmes (</w:t>
      </w:r>
      <w:r w:rsidRPr="00E4205E">
        <w:rPr>
          <w:rFonts w:ascii="Book Antiqua" w:hAnsi="Book Antiqua" w:cs="Times New Roman"/>
          <w:noProof w:val="0"/>
          <w:sz w:val="26"/>
          <w:szCs w:val="26"/>
        </w:rPr>
        <w:t>14,3</w:t>
      </w:r>
      <w:r w:rsidRPr="004A578D">
        <w:rPr>
          <w:rFonts w:ascii="Book Antiqua" w:hAnsi="Book Antiqua" w:cs="Times New Roman"/>
          <w:noProof w:val="0"/>
          <w:sz w:val="26"/>
          <w:szCs w:val="26"/>
        </w:rPr>
        <w:t>% contre</w:t>
      </w:r>
      <w:r>
        <w:rPr>
          <w:rFonts w:ascii="Book Antiqua" w:hAnsi="Book Antiqua" w:cs="Times New Roman"/>
          <w:noProof w:val="0"/>
          <w:sz w:val="26"/>
          <w:szCs w:val="26"/>
        </w:rPr>
        <w:t xml:space="preserve"> </w:t>
      </w:r>
      <w:r w:rsidRPr="00E4205E">
        <w:rPr>
          <w:rFonts w:ascii="Book Antiqua" w:hAnsi="Book Antiqua" w:cs="Times New Roman"/>
          <w:noProof w:val="0"/>
          <w:sz w:val="26"/>
          <w:szCs w:val="26"/>
        </w:rPr>
        <w:t>9,3</w:t>
      </w:r>
      <w:r w:rsidRPr="004A578D">
        <w:rPr>
          <w:rFonts w:ascii="Book Antiqua" w:hAnsi="Book Antiqua" w:cs="Times New Roman"/>
          <w:noProof w:val="0"/>
          <w:sz w:val="26"/>
          <w:szCs w:val="26"/>
        </w:rPr>
        <w:t>% parmi les hommes), les jeunes âgés de 15 à 24 ans (</w:t>
      </w:r>
      <w:r w:rsidRPr="00E4205E">
        <w:rPr>
          <w:rFonts w:ascii="Book Antiqua" w:hAnsi="Book Antiqua" w:cs="Times New Roman"/>
          <w:noProof w:val="0"/>
          <w:sz w:val="26"/>
          <w:szCs w:val="26"/>
        </w:rPr>
        <w:t>26,8</w:t>
      </w:r>
      <w:r w:rsidRPr="004A578D">
        <w:rPr>
          <w:rFonts w:ascii="Book Antiqua" w:hAnsi="Book Antiqua" w:cs="Times New Roman"/>
          <w:noProof w:val="0"/>
          <w:sz w:val="26"/>
          <w:szCs w:val="26"/>
        </w:rPr>
        <w:t xml:space="preserve">% contre </w:t>
      </w:r>
      <w:r w:rsidR="00D03BD8" w:rsidRPr="00D03BD8">
        <w:rPr>
          <w:rFonts w:ascii="Book Antiqua" w:hAnsi="Book Antiqua" w:cs="Times New Roman"/>
          <w:noProof w:val="0"/>
          <w:sz w:val="26"/>
          <w:szCs w:val="26"/>
        </w:rPr>
        <w:t>8</w:t>
      </w:r>
      <w:r w:rsidRPr="00D03BD8">
        <w:rPr>
          <w:rFonts w:ascii="Book Antiqua" w:hAnsi="Book Antiqua" w:cs="Times New Roman"/>
          <w:noProof w:val="0"/>
          <w:sz w:val="26"/>
          <w:szCs w:val="26"/>
        </w:rPr>
        <w:t>,</w:t>
      </w:r>
      <w:r w:rsidR="00D03BD8" w:rsidRPr="00D03BD8">
        <w:rPr>
          <w:rFonts w:ascii="Book Antiqua" w:hAnsi="Book Antiqua" w:cs="Times New Roman"/>
          <w:noProof w:val="0"/>
          <w:sz w:val="26"/>
          <w:szCs w:val="26"/>
        </w:rPr>
        <w:t>2</w:t>
      </w:r>
      <w:r w:rsidRPr="00D03BD8">
        <w:rPr>
          <w:rFonts w:ascii="Book Antiqua" w:hAnsi="Book Antiqua" w:cs="Times New Roman"/>
          <w:noProof w:val="0"/>
          <w:sz w:val="26"/>
          <w:szCs w:val="26"/>
        </w:rPr>
        <w:t>% parmi les personnes âgées de 25 ans et plus)</w:t>
      </w:r>
      <w:r w:rsidRPr="004A578D">
        <w:rPr>
          <w:rFonts w:ascii="Book Antiqua" w:hAnsi="Book Antiqua" w:cs="Times New Roman"/>
          <w:noProof w:val="0"/>
          <w:sz w:val="26"/>
          <w:szCs w:val="26"/>
        </w:rPr>
        <w:t xml:space="preserve"> et les détenteurs d’un diplôme (</w:t>
      </w:r>
      <w:r w:rsidRPr="00E4205E">
        <w:rPr>
          <w:rFonts w:ascii="Book Antiqua" w:hAnsi="Book Antiqua" w:cs="Times New Roman"/>
          <w:noProof w:val="0"/>
          <w:sz w:val="26"/>
          <w:szCs w:val="26"/>
        </w:rPr>
        <w:t>17,8</w:t>
      </w:r>
      <w:r w:rsidRPr="004A578D">
        <w:rPr>
          <w:rFonts w:ascii="Book Antiqua" w:hAnsi="Book Antiqua" w:cs="Times New Roman"/>
          <w:noProof w:val="0"/>
          <w:sz w:val="26"/>
          <w:szCs w:val="26"/>
        </w:rPr>
        <w:t>% contre</w:t>
      </w:r>
      <w:r>
        <w:rPr>
          <w:rFonts w:ascii="Book Antiqua" w:hAnsi="Book Antiqua" w:cs="Times New Roman"/>
          <w:noProof w:val="0"/>
          <w:sz w:val="26"/>
          <w:szCs w:val="26"/>
        </w:rPr>
        <w:t xml:space="preserve"> </w:t>
      </w:r>
      <w:r w:rsidRPr="00E4205E">
        <w:rPr>
          <w:rFonts w:ascii="Book Antiqua" w:hAnsi="Book Antiqua" w:cs="Times New Roman"/>
          <w:noProof w:val="0"/>
          <w:sz w:val="26"/>
          <w:szCs w:val="26"/>
        </w:rPr>
        <w:t>3,6</w:t>
      </w:r>
      <w:r w:rsidRPr="004A578D">
        <w:rPr>
          <w:rFonts w:ascii="Book Antiqua" w:hAnsi="Book Antiqua" w:cs="Times New Roman"/>
          <w:noProof w:val="0"/>
          <w:sz w:val="26"/>
          <w:szCs w:val="26"/>
        </w:rPr>
        <w:t xml:space="preserve">% parmi les personnes n’ayant aucun diplôme). </w:t>
      </w:r>
    </w:p>
    <w:p w:rsidR="009D2DC9" w:rsidRDefault="009D2DC9" w:rsidP="009D2DC9">
      <w:pPr>
        <w:bidi w:val="0"/>
        <w:rPr>
          <w:rFonts w:ascii="Book Antiqua" w:hAnsi="Book Antiqua" w:cs="Times New Roman"/>
          <w:noProof w:val="0"/>
          <w:color w:val="0070C0"/>
          <w:sz w:val="28"/>
          <w:szCs w:val="28"/>
        </w:rPr>
      </w:pPr>
    </w:p>
    <w:p w:rsidR="009D2DC9" w:rsidRPr="00984E6C" w:rsidRDefault="009D2DC9" w:rsidP="009D2DC9">
      <w:pPr>
        <w:bidi w:val="0"/>
        <w:rPr>
          <w:rFonts w:ascii="Book Antiqua" w:hAnsi="Book Antiqua" w:cs="Times New Roman"/>
          <w:b/>
          <w:bCs/>
          <w:noProof w:val="0"/>
          <w:color w:val="0070C0"/>
          <w:sz w:val="28"/>
          <w:szCs w:val="28"/>
        </w:rPr>
      </w:pPr>
      <w:r w:rsidRPr="00984E6C">
        <w:rPr>
          <w:rFonts w:ascii="Book Antiqua" w:hAnsi="Book Antiqua" w:cs="Times New Roman"/>
          <w:b/>
          <w:bCs/>
          <w:noProof w:val="0"/>
          <w:color w:val="0070C0"/>
          <w:sz w:val="28"/>
          <w:szCs w:val="28"/>
        </w:rPr>
        <w:t>Un chômage de longue durée et de première insertion</w:t>
      </w:r>
    </w:p>
    <w:p w:rsidR="009D2DC9" w:rsidRPr="0090502A" w:rsidRDefault="009D2DC9" w:rsidP="009D2DC9">
      <w:pPr>
        <w:autoSpaceDE w:val="0"/>
        <w:autoSpaceDN w:val="0"/>
        <w:bidi w:val="0"/>
        <w:adjustRightInd w:val="0"/>
        <w:spacing w:line="276" w:lineRule="auto"/>
        <w:jc w:val="both"/>
        <w:rPr>
          <w:rFonts w:ascii="Book Antiqua" w:hAnsi="Book Antiqua" w:cs="Times New Roman"/>
          <w:noProof w:val="0"/>
          <w:sz w:val="8"/>
          <w:szCs w:val="8"/>
          <w:highlight w:val="yellow"/>
        </w:rPr>
      </w:pPr>
    </w:p>
    <w:p w:rsidR="004105FE" w:rsidRDefault="009D2DC9" w:rsidP="00682FD9">
      <w:pPr>
        <w:bidi w:val="0"/>
        <w:spacing w:after="120"/>
        <w:jc w:val="both"/>
        <w:rPr>
          <w:rFonts w:ascii="Book Antiqua" w:hAnsi="Book Antiqua" w:cs="Times New Roman"/>
          <w:noProof w:val="0"/>
          <w:sz w:val="26"/>
          <w:szCs w:val="26"/>
        </w:rPr>
      </w:pPr>
      <w:r>
        <w:rPr>
          <w:rFonts w:ascii="Book Antiqua" w:hAnsi="Book Antiqua" w:cs="Times New Roman"/>
          <w:noProof w:val="0"/>
          <w:sz w:val="26"/>
          <w:szCs w:val="26"/>
        </w:rPr>
        <w:t>La moitié des</w:t>
      </w:r>
      <w:r w:rsidRPr="00CC0CBB">
        <w:rPr>
          <w:rFonts w:ascii="Book Antiqua" w:hAnsi="Book Antiqua" w:cs="Times New Roman"/>
          <w:noProof w:val="0"/>
          <w:sz w:val="26"/>
          <w:szCs w:val="26"/>
        </w:rPr>
        <w:t xml:space="preserve"> </w:t>
      </w:r>
      <w:r w:rsidRPr="00C6267F">
        <w:rPr>
          <w:rFonts w:ascii="Book Antiqua" w:hAnsi="Book Antiqua" w:cs="Times New Roman"/>
          <w:noProof w:val="0"/>
          <w:sz w:val="26"/>
          <w:szCs w:val="26"/>
        </w:rPr>
        <w:t>chômeurs (</w:t>
      </w:r>
      <w:r w:rsidRPr="006D64AE">
        <w:rPr>
          <w:rFonts w:ascii="Book Antiqua" w:hAnsi="Book Antiqua" w:cs="Times New Roman"/>
          <w:noProof w:val="0"/>
          <w:sz w:val="26"/>
          <w:szCs w:val="26"/>
        </w:rPr>
        <w:t>50,7</w:t>
      </w:r>
      <w:r w:rsidRPr="00C6267F">
        <w:rPr>
          <w:rFonts w:ascii="Book Antiqua" w:hAnsi="Book Antiqua" w:cs="Times New Roman"/>
          <w:noProof w:val="0"/>
          <w:sz w:val="26"/>
          <w:szCs w:val="26"/>
        </w:rPr>
        <w:t>%) sont à la recherche de leur premier emploi (</w:t>
      </w:r>
      <w:r w:rsidR="00695592" w:rsidRPr="00695592">
        <w:rPr>
          <w:rFonts w:ascii="Book Antiqua" w:hAnsi="Book Antiqua" w:cs="Times New Roman"/>
          <w:noProof w:val="0"/>
          <w:sz w:val="26"/>
          <w:szCs w:val="26"/>
        </w:rPr>
        <w:t>44</w:t>
      </w:r>
      <w:r w:rsidRPr="00695592">
        <w:rPr>
          <w:rFonts w:ascii="Book Antiqua" w:hAnsi="Book Antiqua" w:cs="Times New Roman"/>
          <w:noProof w:val="0"/>
          <w:sz w:val="26"/>
          <w:szCs w:val="26"/>
        </w:rPr>
        <w:t>,</w:t>
      </w:r>
      <w:r w:rsidR="00695592" w:rsidRPr="00695592">
        <w:rPr>
          <w:rFonts w:ascii="Book Antiqua" w:hAnsi="Book Antiqua" w:cs="Times New Roman"/>
          <w:noProof w:val="0"/>
          <w:sz w:val="26"/>
          <w:szCs w:val="26"/>
        </w:rPr>
        <w:t>4</w:t>
      </w:r>
      <w:r w:rsidRPr="00695592">
        <w:rPr>
          <w:rFonts w:ascii="Book Antiqua" w:hAnsi="Book Antiqua" w:cs="Times New Roman"/>
          <w:noProof w:val="0"/>
          <w:sz w:val="26"/>
          <w:szCs w:val="26"/>
        </w:rPr>
        <w:t xml:space="preserve">% parmi les hommes et </w:t>
      </w:r>
      <w:r w:rsidR="00695592" w:rsidRPr="00695592">
        <w:rPr>
          <w:rFonts w:ascii="Book Antiqua" w:hAnsi="Book Antiqua" w:cs="Times New Roman"/>
          <w:noProof w:val="0"/>
          <w:sz w:val="26"/>
          <w:szCs w:val="26"/>
        </w:rPr>
        <w:t>63</w:t>
      </w:r>
      <w:r w:rsidRPr="00695592">
        <w:rPr>
          <w:rFonts w:ascii="Book Antiqua" w:hAnsi="Book Antiqua" w:cs="Times New Roman"/>
          <w:noProof w:val="0"/>
          <w:sz w:val="26"/>
          <w:szCs w:val="26"/>
        </w:rPr>
        <w:t>,</w:t>
      </w:r>
      <w:r w:rsidR="00695592" w:rsidRPr="00695592">
        <w:rPr>
          <w:rFonts w:ascii="Book Antiqua" w:hAnsi="Book Antiqua" w:cs="Times New Roman"/>
          <w:noProof w:val="0"/>
          <w:sz w:val="26"/>
          <w:szCs w:val="26"/>
        </w:rPr>
        <w:t>0</w:t>
      </w:r>
      <w:r w:rsidRPr="00695592">
        <w:rPr>
          <w:rFonts w:ascii="Book Antiqua" w:hAnsi="Book Antiqua" w:cs="Times New Roman"/>
          <w:noProof w:val="0"/>
          <w:sz w:val="26"/>
          <w:szCs w:val="26"/>
        </w:rPr>
        <w:t>% parmi les femmes)</w:t>
      </w:r>
      <w:r>
        <w:rPr>
          <w:rFonts w:ascii="Book Antiqua" w:hAnsi="Book Antiqua" w:cs="Times New Roman"/>
          <w:noProof w:val="0"/>
          <w:sz w:val="26"/>
          <w:szCs w:val="26"/>
        </w:rPr>
        <w:t xml:space="preserve">. Les </w:t>
      </w:r>
      <w:r w:rsidRPr="00C6267F">
        <w:rPr>
          <w:rFonts w:ascii="Book Antiqua" w:hAnsi="Book Antiqua" w:cs="Times New Roman"/>
          <w:noProof w:val="0"/>
          <w:sz w:val="26"/>
          <w:szCs w:val="26"/>
        </w:rPr>
        <w:t xml:space="preserve">deux-tiers </w:t>
      </w:r>
      <w:r>
        <w:rPr>
          <w:rFonts w:ascii="Book Antiqua" w:hAnsi="Book Antiqua" w:cs="Times New Roman"/>
          <w:noProof w:val="0"/>
          <w:sz w:val="26"/>
          <w:szCs w:val="26"/>
        </w:rPr>
        <w:t xml:space="preserve">des chômeurs </w:t>
      </w:r>
      <w:r w:rsidRPr="00C6267F">
        <w:rPr>
          <w:rFonts w:ascii="Book Antiqua" w:hAnsi="Book Antiqua" w:cs="Times New Roman"/>
          <w:noProof w:val="0"/>
          <w:sz w:val="26"/>
          <w:szCs w:val="26"/>
        </w:rPr>
        <w:t>(</w:t>
      </w:r>
      <w:r w:rsidRPr="006D64AE">
        <w:rPr>
          <w:rFonts w:ascii="Book Antiqua" w:hAnsi="Book Antiqua" w:cs="Times New Roman"/>
          <w:noProof w:val="0"/>
          <w:sz w:val="26"/>
          <w:szCs w:val="26"/>
        </w:rPr>
        <w:t>66,</w:t>
      </w:r>
      <w:r w:rsidR="00D03BD8">
        <w:rPr>
          <w:rFonts w:ascii="Book Antiqua" w:hAnsi="Book Antiqua" w:cs="Times New Roman"/>
          <w:noProof w:val="0"/>
          <w:sz w:val="26"/>
          <w:szCs w:val="26"/>
        </w:rPr>
        <w:t>1</w:t>
      </w:r>
      <w:r w:rsidRPr="00C6267F">
        <w:rPr>
          <w:rFonts w:ascii="Book Antiqua" w:hAnsi="Book Antiqua" w:cs="Times New Roman"/>
          <w:noProof w:val="0"/>
          <w:sz w:val="26"/>
          <w:szCs w:val="26"/>
        </w:rPr>
        <w:t xml:space="preserve">%) </w:t>
      </w:r>
      <w:r>
        <w:rPr>
          <w:rFonts w:ascii="Book Antiqua" w:hAnsi="Book Antiqua" w:cs="Times New Roman"/>
          <w:noProof w:val="0"/>
          <w:sz w:val="26"/>
          <w:szCs w:val="26"/>
        </w:rPr>
        <w:t xml:space="preserve">sont </w:t>
      </w:r>
      <w:r w:rsidR="00682FD9">
        <w:rPr>
          <w:rFonts w:ascii="Book Antiqua" w:hAnsi="Book Antiqua" w:cs="Times New Roman"/>
          <w:noProof w:val="0"/>
          <w:sz w:val="26"/>
          <w:szCs w:val="26"/>
        </w:rPr>
        <w:t xml:space="preserve">en situation de chômage </w:t>
      </w:r>
      <w:r w:rsidRPr="00C6267F">
        <w:rPr>
          <w:rFonts w:ascii="Book Antiqua" w:hAnsi="Book Antiqua" w:cs="Times New Roman"/>
          <w:noProof w:val="0"/>
          <w:sz w:val="26"/>
          <w:szCs w:val="26"/>
        </w:rPr>
        <w:t>depuis une année ou plus </w:t>
      </w:r>
      <w:r w:rsidRPr="00695592">
        <w:rPr>
          <w:rFonts w:ascii="Book Antiqua" w:hAnsi="Book Antiqua" w:cs="Times New Roman"/>
          <w:noProof w:val="0"/>
          <w:sz w:val="26"/>
          <w:szCs w:val="26"/>
        </w:rPr>
        <w:t>(6</w:t>
      </w:r>
      <w:r w:rsidR="00D03BD8" w:rsidRPr="00695592">
        <w:rPr>
          <w:rFonts w:ascii="Book Antiqua" w:hAnsi="Book Antiqua" w:cs="Times New Roman"/>
          <w:noProof w:val="0"/>
          <w:sz w:val="26"/>
          <w:szCs w:val="26"/>
        </w:rPr>
        <w:t>2</w:t>
      </w:r>
      <w:r w:rsidRPr="00695592">
        <w:rPr>
          <w:rFonts w:ascii="Book Antiqua" w:hAnsi="Book Antiqua" w:cs="Times New Roman"/>
          <w:noProof w:val="0"/>
          <w:sz w:val="26"/>
          <w:szCs w:val="26"/>
        </w:rPr>
        <w:t>,1% parmi les hommes et 7</w:t>
      </w:r>
      <w:r w:rsidR="00695592" w:rsidRPr="00695592">
        <w:rPr>
          <w:rFonts w:ascii="Book Antiqua" w:hAnsi="Book Antiqua" w:cs="Times New Roman"/>
          <w:noProof w:val="0"/>
          <w:sz w:val="26"/>
          <w:szCs w:val="26"/>
        </w:rPr>
        <w:t>4</w:t>
      </w:r>
      <w:r w:rsidRPr="00695592">
        <w:rPr>
          <w:rFonts w:ascii="Book Antiqua" w:hAnsi="Book Antiqua" w:cs="Times New Roman"/>
          <w:noProof w:val="0"/>
          <w:sz w:val="26"/>
          <w:szCs w:val="26"/>
        </w:rPr>
        <w:t>,</w:t>
      </w:r>
      <w:r w:rsidR="00695592" w:rsidRPr="00695592">
        <w:rPr>
          <w:rFonts w:ascii="Book Antiqua" w:hAnsi="Book Antiqua" w:cs="Times New Roman"/>
          <w:noProof w:val="0"/>
          <w:sz w:val="26"/>
          <w:szCs w:val="26"/>
        </w:rPr>
        <w:t>0</w:t>
      </w:r>
      <w:r w:rsidRPr="00695592">
        <w:rPr>
          <w:rFonts w:ascii="Book Antiqua" w:hAnsi="Book Antiqua" w:cs="Times New Roman"/>
          <w:noProof w:val="0"/>
          <w:sz w:val="26"/>
          <w:szCs w:val="26"/>
        </w:rPr>
        <w:t>% parmi les femmes).</w:t>
      </w:r>
      <w:r>
        <w:rPr>
          <w:rFonts w:ascii="Book Antiqua" w:hAnsi="Book Antiqua" w:cs="Times New Roman"/>
          <w:noProof w:val="0"/>
          <w:sz w:val="26"/>
          <w:szCs w:val="26"/>
        </w:rPr>
        <w:t xml:space="preserve"> </w:t>
      </w:r>
    </w:p>
    <w:p w:rsidR="009D2DC9" w:rsidRPr="00FA7407" w:rsidRDefault="009D2DC9" w:rsidP="002E1989">
      <w:pPr>
        <w:bidi w:val="0"/>
        <w:spacing w:after="120"/>
        <w:jc w:val="both"/>
        <w:rPr>
          <w:rFonts w:ascii="Arial" w:hAnsi="Arial" w:cs="Arial"/>
          <w:noProof w:val="0"/>
          <w:color w:val="000000"/>
          <w:sz w:val="18"/>
          <w:szCs w:val="18"/>
        </w:rPr>
      </w:pPr>
      <w:r w:rsidRPr="00D3269D">
        <w:rPr>
          <w:rFonts w:ascii="Book Antiqua" w:hAnsi="Book Antiqua" w:cs="Times New Roman"/>
          <w:noProof w:val="0"/>
          <w:sz w:val="26"/>
          <w:szCs w:val="26"/>
        </w:rPr>
        <w:lastRenderedPageBreak/>
        <w:t xml:space="preserve">D’un autre côté, </w:t>
      </w:r>
      <w:r w:rsidRPr="00836E12">
        <w:rPr>
          <w:rFonts w:ascii="Book Antiqua" w:hAnsi="Book Antiqua" w:cs="Times New Roman"/>
          <w:noProof w:val="0"/>
          <w:sz w:val="26"/>
          <w:szCs w:val="26"/>
        </w:rPr>
        <w:t>30,4%</w:t>
      </w:r>
      <w:r w:rsidRPr="00D3269D">
        <w:rPr>
          <w:rFonts w:ascii="Book Antiqua" w:hAnsi="Book Antiqua" w:cs="Times New Roman"/>
          <w:noProof w:val="0"/>
          <w:sz w:val="26"/>
          <w:szCs w:val="26"/>
        </w:rPr>
        <w:t xml:space="preserve"> des chômeurs se sont retrouvés dans cette situation suite au licenciement ou à l’arrêt de l’activité de l’établissement</w:t>
      </w:r>
      <w:r w:rsidR="00682FD9">
        <w:rPr>
          <w:rFonts w:ascii="Book Antiqua" w:hAnsi="Book Antiqua" w:cs="Times New Roman"/>
          <w:noProof w:val="0"/>
          <w:sz w:val="26"/>
          <w:szCs w:val="26"/>
        </w:rPr>
        <w:t xml:space="preserve"> employeur</w:t>
      </w:r>
      <w:r w:rsidRPr="00D3269D">
        <w:rPr>
          <w:rFonts w:ascii="Book Antiqua" w:hAnsi="Book Antiqua" w:cs="Times New Roman"/>
          <w:noProof w:val="0"/>
          <w:sz w:val="26"/>
          <w:szCs w:val="26"/>
        </w:rPr>
        <w:t>.</w:t>
      </w:r>
    </w:p>
    <w:p w:rsidR="009D2DC9" w:rsidRDefault="009D2DC9" w:rsidP="002E1989">
      <w:pPr>
        <w:bidi w:val="0"/>
        <w:rPr>
          <w:rFonts w:ascii="Book Antiqua" w:hAnsi="Book Antiqua" w:cs="Times New Roman"/>
          <w:b/>
          <w:bCs/>
          <w:noProof w:val="0"/>
          <w:color w:val="0070C0"/>
          <w:sz w:val="28"/>
          <w:szCs w:val="28"/>
        </w:rPr>
      </w:pPr>
      <w:r w:rsidRPr="00984E6C">
        <w:rPr>
          <w:rFonts w:ascii="Book Antiqua" w:hAnsi="Book Antiqua" w:cs="Times New Roman"/>
          <w:b/>
          <w:bCs/>
          <w:noProof w:val="0"/>
          <w:color w:val="0070C0"/>
          <w:sz w:val="28"/>
          <w:szCs w:val="28"/>
        </w:rPr>
        <w:t xml:space="preserve">Baisse du volume et du taux de sous-emploi </w:t>
      </w:r>
    </w:p>
    <w:p w:rsidR="00695592" w:rsidRDefault="00695592" w:rsidP="00695592">
      <w:pPr>
        <w:autoSpaceDE w:val="0"/>
        <w:autoSpaceDN w:val="0"/>
        <w:bidi w:val="0"/>
        <w:adjustRightInd w:val="0"/>
        <w:spacing w:before="240"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Conformément aux recommandations du BIT, le sous-emploi </w:t>
      </w:r>
      <w:r w:rsidRPr="00053CA4">
        <w:rPr>
          <w:rFonts w:ascii="Book Antiqua" w:hAnsi="Book Antiqua" w:cs="Times New Roman"/>
          <w:noProof w:val="0"/>
          <w:sz w:val="27"/>
          <w:szCs w:val="27"/>
        </w:rPr>
        <w:t>est constitué</w:t>
      </w:r>
      <w:r>
        <w:rPr>
          <w:rFonts w:ascii="Book Antiqua" w:hAnsi="Book Antiqua" w:cs="Times New Roman"/>
          <w:noProof w:val="0"/>
          <w:sz w:val="27"/>
          <w:szCs w:val="27"/>
        </w:rPr>
        <w:t xml:space="preserve">, selon l’approche de l’Enquête nationale sur l’emploi,  </w:t>
      </w:r>
      <w:r w:rsidRPr="00053CA4">
        <w:rPr>
          <w:rFonts w:ascii="Book Antiqua" w:hAnsi="Book Antiqua" w:cs="Times New Roman"/>
          <w:noProof w:val="0"/>
          <w:sz w:val="27"/>
          <w:szCs w:val="27"/>
        </w:rPr>
        <w:t>de deux composantes</w:t>
      </w:r>
      <w:r>
        <w:rPr>
          <w:rFonts w:ascii="Book Antiqua" w:hAnsi="Book Antiqua" w:cs="Times New Roman"/>
          <w:noProof w:val="0"/>
          <w:sz w:val="27"/>
          <w:szCs w:val="27"/>
        </w:rPr>
        <w:t xml:space="preserve">, </w:t>
      </w:r>
      <w:r w:rsidRPr="00053CA4">
        <w:rPr>
          <w:rFonts w:ascii="Book Antiqua" w:hAnsi="Book Antiqua" w:cs="Times New Roman"/>
          <w:noProof w:val="0"/>
          <w:sz w:val="27"/>
          <w:szCs w:val="27"/>
        </w:rPr>
        <w:t xml:space="preserve">la première liée au nombre d’heures travaillées et la deuxième </w:t>
      </w:r>
      <w:r>
        <w:rPr>
          <w:rFonts w:ascii="Book Antiqua" w:hAnsi="Book Antiqua" w:cs="Times New Roman"/>
          <w:noProof w:val="0"/>
          <w:sz w:val="27"/>
          <w:szCs w:val="27"/>
        </w:rPr>
        <w:t xml:space="preserve">à </w:t>
      </w:r>
      <w:r w:rsidRPr="00053CA4">
        <w:rPr>
          <w:rFonts w:ascii="Book Antiqua" w:hAnsi="Book Antiqua" w:cs="Times New Roman"/>
          <w:noProof w:val="0"/>
          <w:sz w:val="27"/>
          <w:szCs w:val="27"/>
        </w:rPr>
        <w:t xml:space="preserve">l’insuffisance du revenu </w:t>
      </w:r>
      <w:r>
        <w:rPr>
          <w:rFonts w:ascii="Book Antiqua" w:hAnsi="Book Antiqua" w:cs="Times New Roman"/>
          <w:noProof w:val="0"/>
          <w:sz w:val="27"/>
          <w:szCs w:val="27"/>
        </w:rPr>
        <w:t>ou à</w:t>
      </w:r>
      <w:r w:rsidRPr="00053CA4">
        <w:rPr>
          <w:rFonts w:ascii="Book Antiqua" w:hAnsi="Book Antiqua" w:cs="Times New Roman"/>
          <w:noProof w:val="0"/>
          <w:sz w:val="27"/>
          <w:szCs w:val="27"/>
        </w:rPr>
        <w:t xml:space="preserve"> l’inadéquation entre la formation et l’emploi</w:t>
      </w:r>
      <w:r>
        <w:rPr>
          <w:rFonts w:ascii="Book Antiqua" w:hAnsi="Book Antiqua" w:cs="Times New Roman"/>
          <w:noProof w:val="0"/>
          <w:sz w:val="27"/>
          <w:szCs w:val="27"/>
        </w:rPr>
        <w:t xml:space="preserve"> exercé</w:t>
      </w:r>
      <w:r w:rsidRPr="00053CA4">
        <w:rPr>
          <w:rFonts w:ascii="Book Antiqua" w:hAnsi="Book Antiqua" w:cs="Times New Roman"/>
          <w:noProof w:val="0"/>
          <w:sz w:val="27"/>
          <w:szCs w:val="27"/>
        </w:rPr>
        <w:t>.</w:t>
      </w:r>
      <w:r w:rsidRPr="000B134A">
        <w:rPr>
          <w:rFonts w:ascii="Book Antiqua" w:hAnsi="Book Antiqua" w:cs="Times New Roman"/>
          <w:noProof w:val="0"/>
          <w:sz w:val="27"/>
          <w:szCs w:val="27"/>
        </w:rPr>
        <w:t xml:space="preserve"> </w:t>
      </w:r>
    </w:p>
    <w:p w:rsidR="00876A1F" w:rsidRPr="00053CA4" w:rsidRDefault="00876A1F" w:rsidP="009A4597">
      <w:pPr>
        <w:autoSpaceDE w:val="0"/>
        <w:autoSpaceDN w:val="0"/>
        <w:bidi w:val="0"/>
        <w:adjustRightInd w:val="0"/>
        <w:spacing w:before="240" w:line="276" w:lineRule="auto"/>
        <w:jc w:val="both"/>
        <w:rPr>
          <w:rFonts w:ascii="Book Antiqua" w:hAnsi="Book Antiqua" w:cs="Times New Roman"/>
          <w:noProof w:val="0"/>
          <w:sz w:val="27"/>
          <w:szCs w:val="27"/>
        </w:rPr>
      </w:pPr>
      <w:r>
        <w:rPr>
          <w:rFonts w:ascii="Book Antiqua" w:hAnsi="Book Antiqua" w:cs="Times New Roman"/>
          <w:noProof w:val="0"/>
          <w:sz w:val="27"/>
          <w:szCs w:val="27"/>
        </w:rPr>
        <w:t>S’agissant de l</w:t>
      </w:r>
      <w:r w:rsidRPr="00053CA4">
        <w:rPr>
          <w:rFonts w:ascii="Book Antiqua" w:hAnsi="Book Antiqua" w:cs="Times New Roman"/>
          <w:noProof w:val="0"/>
          <w:sz w:val="27"/>
          <w:szCs w:val="27"/>
        </w:rPr>
        <w:t xml:space="preserve">a première composante, la population active occupée en situation de sous-emploi liée au nombre d’heures travaillées est passée, entre le </w:t>
      </w:r>
      <w:r w:rsidR="00450821">
        <w:rPr>
          <w:rFonts w:ascii="Book Antiqua" w:hAnsi="Book Antiqua" w:cs="Times New Roman"/>
          <w:noProof w:val="0"/>
          <w:sz w:val="27"/>
          <w:szCs w:val="27"/>
        </w:rPr>
        <w:t>premier</w:t>
      </w:r>
      <w:r w:rsidRPr="00053CA4">
        <w:rPr>
          <w:rFonts w:ascii="Book Antiqua" w:hAnsi="Book Antiqua" w:cs="Times New Roman"/>
          <w:noProof w:val="0"/>
          <w:sz w:val="27"/>
          <w:szCs w:val="27"/>
        </w:rPr>
        <w:t xml:space="preserve"> trimestre de 201</w:t>
      </w:r>
      <w:r w:rsidR="009A4597">
        <w:rPr>
          <w:rFonts w:ascii="Book Antiqua" w:hAnsi="Book Antiqua" w:cs="Times New Roman"/>
          <w:noProof w:val="0"/>
          <w:sz w:val="27"/>
          <w:szCs w:val="27"/>
        </w:rPr>
        <w:t>9</w:t>
      </w:r>
      <w:r w:rsidRPr="00053CA4">
        <w:rPr>
          <w:rFonts w:ascii="Book Antiqua" w:hAnsi="Book Antiqua" w:cs="Times New Roman"/>
          <w:noProof w:val="0"/>
          <w:sz w:val="27"/>
          <w:szCs w:val="27"/>
        </w:rPr>
        <w:t xml:space="preserve"> et celui de 20</w:t>
      </w:r>
      <w:r w:rsidR="00450821">
        <w:rPr>
          <w:rFonts w:ascii="Book Antiqua" w:hAnsi="Book Antiqua" w:cs="Times New Roman"/>
          <w:noProof w:val="0"/>
          <w:sz w:val="27"/>
          <w:szCs w:val="27"/>
        </w:rPr>
        <w:t>20</w:t>
      </w:r>
      <w:r w:rsidRPr="00053CA4">
        <w:rPr>
          <w:rFonts w:ascii="Book Antiqua" w:hAnsi="Book Antiqua" w:cs="Times New Roman"/>
          <w:noProof w:val="0"/>
          <w:sz w:val="27"/>
          <w:szCs w:val="27"/>
        </w:rPr>
        <w:t xml:space="preserve">, </w:t>
      </w:r>
      <w:r w:rsidRPr="0025061C">
        <w:rPr>
          <w:rFonts w:ascii="Book Antiqua" w:hAnsi="Book Antiqua" w:cs="Times New Roman"/>
          <w:noProof w:val="0"/>
          <w:sz w:val="27"/>
          <w:szCs w:val="27"/>
        </w:rPr>
        <w:t>de 3</w:t>
      </w:r>
      <w:r w:rsidR="00450821" w:rsidRPr="0025061C">
        <w:rPr>
          <w:rFonts w:ascii="Book Antiqua" w:hAnsi="Book Antiqua" w:cs="Times New Roman"/>
          <w:noProof w:val="0"/>
          <w:sz w:val="27"/>
          <w:szCs w:val="27"/>
        </w:rPr>
        <w:t>94</w:t>
      </w:r>
      <w:r w:rsidRPr="0025061C">
        <w:rPr>
          <w:rFonts w:ascii="Book Antiqua" w:hAnsi="Book Antiqua" w:cs="Times New Roman"/>
          <w:noProof w:val="0"/>
          <w:sz w:val="27"/>
          <w:szCs w:val="27"/>
        </w:rPr>
        <w:t>.000</w:t>
      </w:r>
      <w:r w:rsidRPr="00053CA4">
        <w:rPr>
          <w:rFonts w:ascii="Book Antiqua" w:hAnsi="Book Antiqua" w:cs="Times New Roman"/>
          <w:noProof w:val="0"/>
          <w:sz w:val="27"/>
          <w:szCs w:val="27"/>
        </w:rPr>
        <w:t xml:space="preserve"> à </w:t>
      </w:r>
      <w:r w:rsidR="00450821">
        <w:rPr>
          <w:rFonts w:ascii="Book Antiqua" w:hAnsi="Book Antiqua" w:cs="Times New Roman"/>
          <w:noProof w:val="0"/>
          <w:sz w:val="27"/>
          <w:szCs w:val="27"/>
        </w:rPr>
        <w:t>443</w:t>
      </w:r>
      <w:r w:rsidRPr="00053CA4">
        <w:rPr>
          <w:rFonts w:ascii="Book Antiqua" w:hAnsi="Book Antiqua" w:cs="Times New Roman"/>
          <w:noProof w:val="0"/>
          <w:sz w:val="27"/>
          <w:szCs w:val="27"/>
        </w:rPr>
        <w:t>.000 personnes au niveau national</w:t>
      </w:r>
      <w:r>
        <w:rPr>
          <w:rFonts w:ascii="Book Antiqua" w:hAnsi="Book Antiqua" w:cs="Times New Roman"/>
          <w:noProof w:val="0"/>
          <w:sz w:val="27"/>
          <w:szCs w:val="27"/>
        </w:rPr>
        <w:t xml:space="preserve">. Le taux correspondant est ainsi passé </w:t>
      </w:r>
      <w:r w:rsidRPr="0025061C">
        <w:rPr>
          <w:rFonts w:ascii="Book Antiqua" w:hAnsi="Book Antiqua" w:cs="Times New Roman"/>
          <w:noProof w:val="0"/>
          <w:sz w:val="27"/>
          <w:szCs w:val="27"/>
        </w:rPr>
        <w:t>de 3,</w:t>
      </w:r>
      <w:r w:rsidR="0025061C" w:rsidRPr="0025061C">
        <w:rPr>
          <w:rFonts w:ascii="Book Antiqua" w:hAnsi="Book Antiqua" w:cs="Times New Roman"/>
          <w:noProof w:val="0"/>
          <w:sz w:val="27"/>
          <w:szCs w:val="27"/>
        </w:rPr>
        <w:t>6</w:t>
      </w:r>
      <w:r w:rsidRPr="0025061C">
        <w:rPr>
          <w:rFonts w:ascii="Book Antiqua" w:hAnsi="Book Antiqua" w:cs="Times New Roman"/>
          <w:noProof w:val="0"/>
          <w:sz w:val="27"/>
          <w:szCs w:val="27"/>
        </w:rPr>
        <w:t>%</w:t>
      </w:r>
      <w:r>
        <w:rPr>
          <w:rFonts w:ascii="Book Antiqua" w:hAnsi="Book Antiqua" w:cs="Times New Roman"/>
          <w:noProof w:val="0"/>
          <w:sz w:val="27"/>
          <w:szCs w:val="27"/>
        </w:rPr>
        <w:t xml:space="preserve"> à</w:t>
      </w:r>
      <w:r w:rsidRPr="00053CA4">
        <w:rPr>
          <w:rFonts w:ascii="Book Antiqua" w:hAnsi="Book Antiqua" w:cs="Times New Roman"/>
          <w:noProof w:val="0"/>
          <w:sz w:val="27"/>
          <w:szCs w:val="27"/>
        </w:rPr>
        <w:t xml:space="preserve"> </w:t>
      </w:r>
      <w:r w:rsidR="00450821">
        <w:rPr>
          <w:rFonts w:ascii="Book Antiqua" w:hAnsi="Book Antiqua" w:cs="Times New Roman"/>
          <w:noProof w:val="0"/>
          <w:sz w:val="27"/>
          <w:szCs w:val="27"/>
        </w:rPr>
        <w:t>4,1</w:t>
      </w:r>
      <w:r w:rsidRPr="00053CA4">
        <w:rPr>
          <w:rFonts w:ascii="Book Antiqua" w:hAnsi="Book Antiqua" w:cs="Times New Roman"/>
          <w:noProof w:val="0"/>
          <w:sz w:val="27"/>
          <w:szCs w:val="27"/>
        </w:rPr>
        <w:t xml:space="preserve">%. </w:t>
      </w:r>
    </w:p>
    <w:p w:rsidR="00876A1F" w:rsidRDefault="00876A1F" w:rsidP="0025061C">
      <w:pPr>
        <w:autoSpaceDE w:val="0"/>
        <w:autoSpaceDN w:val="0"/>
        <w:bidi w:val="0"/>
        <w:adjustRightInd w:val="0"/>
        <w:spacing w:before="240" w:line="276" w:lineRule="auto"/>
        <w:jc w:val="both"/>
        <w:rPr>
          <w:rFonts w:ascii="Book Antiqua" w:hAnsi="Book Antiqua" w:cs="Times New Roman"/>
          <w:noProof w:val="0"/>
          <w:sz w:val="27"/>
          <w:szCs w:val="27"/>
        </w:rPr>
      </w:pPr>
      <w:r>
        <w:rPr>
          <w:rFonts w:ascii="Book Antiqua" w:hAnsi="Book Antiqua" w:cs="Times New Roman"/>
          <w:noProof w:val="0"/>
          <w:sz w:val="27"/>
          <w:szCs w:val="27"/>
        </w:rPr>
        <w:t>L</w:t>
      </w:r>
      <w:r w:rsidRPr="00053CA4">
        <w:rPr>
          <w:rFonts w:ascii="Book Antiqua" w:hAnsi="Book Antiqua" w:cs="Times New Roman"/>
          <w:noProof w:val="0"/>
          <w:sz w:val="27"/>
          <w:szCs w:val="27"/>
        </w:rPr>
        <w:t xml:space="preserve">a population active occupée en situation de sous-emploi lié </w:t>
      </w:r>
      <w:r>
        <w:rPr>
          <w:rFonts w:ascii="Book Antiqua" w:hAnsi="Book Antiqua" w:cs="Times New Roman"/>
          <w:noProof w:val="0"/>
          <w:sz w:val="27"/>
          <w:szCs w:val="27"/>
        </w:rPr>
        <w:t xml:space="preserve">à </w:t>
      </w:r>
      <w:r w:rsidRPr="00053CA4">
        <w:rPr>
          <w:rFonts w:ascii="Book Antiqua" w:hAnsi="Book Antiqua" w:cs="Times New Roman"/>
          <w:noProof w:val="0"/>
          <w:sz w:val="27"/>
          <w:szCs w:val="27"/>
        </w:rPr>
        <w:t xml:space="preserve">l’insuffisance du revenu </w:t>
      </w:r>
      <w:r>
        <w:rPr>
          <w:rFonts w:ascii="Book Antiqua" w:hAnsi="Book Antiqua" w:cs="Times New Roman"/>
          <w:noProof w:val="0"/>
          <w:sz w:val="27"/>
          <w:szCs w:val="27"/>
        </w:rPr>
        <w:t>ou à</w:t>
      </w:r>
      <w:r w:rsidRPr="00053CA4">
        <w:rPr>
          <w:rFonts w:ascii="Book Antiqua" w:hAnsi="Book Antiqua" w:cs="Times New Roman"/>
          <w:noProof w:val="0"/>
          <w:sz w:val="27"/>
          <w:szCs w:val="27"/>
        </w:rPr>
        <w:t xml:space="preserve"> l’inadéquation entre la formation et l’emploi</w:t>
      </w:r>
      <w:r>
        <w:rPr>
          <w:rFonts w:ascii="Book Antiqua" w:hAnsi="Book Antiqua" w:cs="Times New Roman"/>
          <w:noProof w:val="0"/>
          <w:sz w:val="27"/>
          <w:szCs w:val="27"/>
        </w:rPr>
        <w:t xml:space="preserve"> exercé</w:t>
      </w:r>
      <w:r w:rsidRPr="00053CA4">
        <w:rPr>
          <w:rFonts w:ascii="Book Antiqua" w:hAnsi="Book Antiqua" w:cs="Times New Roman"/>
          <w:noProof w:val="0"/>
          <w:sz w:val="27"/>
          <w:szCs w:val="27"/>
        </w:rPr>
        <w:t xml:space="preserve">, est passée, durant la même période, de </w:t>
      </w:r>
      <w:r w:rsidRPr="0025061C">
        <w:rPr>
          <w:rFonts w:ascii="Book Antiqua" w:hAnsi="Book Antiqua" w:cs="Times New Roman"/>
          <w:noProof w:val="0"/>
          <w:sz w:val="27"/>
          <w:szCs w:val="27"/>
        </w:rPr>
        <w:t>6</w:t>
      </w:r>
      <w:r w:rsidR="00450821" w:rsidRPr="0025061C">
        <w:rPr>
          <w:rFonts w:ascii="Book Antiqua" w:hAnsi="Book Antiqua" w:cs="Times New Roman"/>
          <w:noProof w:val="0"/>
          <w:sz w:val="27"/>
          <w:szCs w:val="27"/>
        </w:rPr>
        <w:t>4</w:t>
      </w:r>
      <w:r w:rsidRPr="0025061C">
        <w:rPr>
          <w:rFonts w:ascii="Book Antiqua" w:hAnsi="Book Antiqua" w:cs="Times New Roman"/>
          <w:noProof w:val="0"/>
          <w:sz w:val="27"/>
          <w:szCs w:val="27"/>
        </w:rPr>
        <w:t>9.000</w:t>
      </w:r>
      <w:r w:rsidRPr="00053CA4">
        <w:rPr>
          <w:rFonts w:ascii="Book Antiqua" w:hAnsi="Book Antiqua" w:cs="Times New Roman"/>
          <w:noProof w:val="0"/>
          <w:sz w:val="27"/>
          <w:szCs w:val="27"/>
        </w:rPr>
        <w:t xml:space="preserve"> à 5</w:t>
      </w:r>
      <w:r w:rsidR="00450821">
        <w:rPr>
          <w:rFonts w:ascii="Book Antiqua" w:hAnsi="Book Antiqua" w:cs="Times New Roman"/>
          <w:noProof w:val="0"/>
          <w:sz w:val="27"/>
          <w:szCs w:val="27"/>
        </w:rPr>
        <w:t>11</w:t>
      </w:r>
      <w:r w:rsidRPr="00053CA4">
        <w:rPr>
          <w:rFonts w:ascii="Book Antiqua" w:hAnsi="Book Antiqua" w:cs="Times New Roman"/>
          <w:noProof w:val="0"/>
          <w:sz w:val="27"/>
          <w:szCs w:val="27"/>
        </w:rPr>
        <w:t>.000 personnes au niveau national</w:t>
      </w:r>
      <w:r>
        <w:rPr>
          <w:rFonts w:ascii="Book Antiqua" w:hAnsi="Book Antiqua" w:cs="Times New Roman"/>
          <w:noProof w:val="0"/>
          <w:sz w:val="27"/>
          <w:szCs w:val="27"/>
        </w:rPr>
        <w:t>, avec un taux passant</w:t>
      </w:r>
      <w:r w:rsidRPr="00053CA4">
        <w:rPr>
          <w:rFonts w:ascii="Book Antiqua" w:hAnsi="Book Antiqua" w:cs="Times New Roman"/>
          <w:noProof w:val="0"/>
          <w:sz w:val="27"/>
          <w:szCs w:val="27"/>
        </w:rPr>
        <w:t xml:space="preserve"> de 6,</w:t>
      </w:r>
      <w:r w:rsidR="0025061C">
        <w:rPr>
          <w:rFonts w:ascii="Book Antiqua" w:hAnsi="Book Antiqua" w:cs="Times New Roman"/>
          <w:noProof w:val="0"/>
          <w:sz w:val="27"/>
          <w:szCs w:val="27"/>
        </w:rPr>
        <w:t>0</w:t>
      </w:r>
      <w:r w:rsidRPr="00053CA4">
        <w:rPr>
          <w:rFonts w:ascii="Book Antiqua" w:hAnsi="Book Antiqua" w:cs="Times New Roman"/>
          <w:noProof w:val="0"/>
          <w:sz w:val="27"/>
          <w:szCs w:val="27"/>
        </w:rPr>
        <w:t xml:space="preserve">% à </w:t>
      </w:r>
      <w:r w:rsidR="00450821">
        <w:rPr>
          <w:rFonts w:ascii="Book Antiqua" w:hAnsi="Book Antiqua" w:cs="Times New Roman"/>
          <w:noProof w:val="0"/>
          <w:sz w:val="27"/>
          <w:szCs w:val="27"/>
        </w:rPr>
        <w:t>4</w:t>
      </w:r>
      <w:r w:rsidRPr="00053CA4">
        <w:rPr>
          <w:rFonts w:ascii="Book Antiqua" w:hAnsi="Book Antiqua" w:cs="Times New Roman"/>
          <w:noProof w:val="0"/>
          <w:sz w:val="27"/>
          <w:szCs w:val="27"/>
        </w:rPr>
        <w:t>,</w:t>
      </w:r>
      <w:r w:rsidR="00450821">
        <w:rPr>
          <w:rFonts w:ascii="Book Antiqua" w:hAnsi="Book Antiqua" w:cs="Times New Roman"/>
          <w:noProof w:val="0"/>
          <w:sz w:val="27"/>
          <w:szCs w:val="27"/>
        </w:rPr>
        <w:t>7</w:t>
      </w:r>
      <w:r w:rsidRPr="00053CA4">
        <w:rPr>
          <w:rFonts w:ascii="Book Antiqua" w:hAnsi="Book Antiqua" w:cs="Times New Roman"/>
          <w:noProof w:val="0"/>
          <w:sz w:val="27"/>
          <w:szCs w:val="27"/>
        </w:rPr>
        <w:t>%.</w:t>
      </w:r>
    </w:p>
    <w:p w:rsidR="00B7109C" w:rsidRPr="00FF2443" w:rsidRDefault="00B7109C" w:rsidP="00B7109C">
      <w:pPr>
        <w:bidi w:val="0"/>
        <w:spacing w:before="240"/>
        <w:jc w:val="both"/>
        <w:rPr>
          <w:rFonts w:ascii="Book Antiqua" w:hAnsi="Book Antiqua" w:cs="Times New Roman"/>
          <w:noProof w:val="0"/>
          <w:sz w:val="27"/>
          <w:szCs w:val="27"/>
        </w:rPr>
      </w:pPr>
      <w:r w:rsidRPr="00053CA4">
        <w:rPr>
          <w:rFonts w:ascii="Book Antiqua" w:hAnsi="Book Antiqua" w:cs="Times New Roman"/>
          <w:noProof w:val="0"/>
          <w:sz w:val="27"/>
          <w:szCs w:val="27"/>
        </w:rPr>
        <w:t>En somme, le</w:t>
      </w:r>
      <w:r>
        <w:rPr>
          <w:rFonts w:ascii="Book Antiqua" w:hAnsi="Book Antiqua" w:cs="Times New Roman"/>
          <w:noProof w:val="0"/>
          <w:sz w:val="27"/>
          <w:szCs w:val="27"/>
        </w:rPr>
        <w:t xml:space="preserve"> volume du</w:t>
      </w:r>
      <w:r w:rsidRPr="00053CA4">
        <w:rPr>
          <w:rFonts w:ascii="Book Antiqua" w:hAnsi="Book Antiqua" w:cs="Times New Roman"/>
          <w:noProof w:val="0"/>
          <w:sz w:val="27"/>
          <w:szCs w:val="27"/>
        </w:rPr>
        <w:t xml:space="preserve"> sous-emploi dans ses deux </w:t>
      </w:r>
      <w:r>
        <w:rPr>
          <w:rFonts w:ascii="Book Antiqua" w:hAnsi="Book Antiqua" w:cs="Times New Roman"/>
          <w:noProof w:val="0"/>
          <w:sz w:val="27"/>
          <w:szCs w:val="27"/>
        </w:rPr>
        <w:t>composantes</w:t>
      </w:r>
      <w:r w:rsidRPr="00053CA4">
        <w:rPr>
          <w:rFonts w:ascii="Book Antiqua" w:hAnsi="Book Antiqua" w:cs="Times New Roman"/>
          <w:noProof w:val="0"/>
          <w:sz w:val="27"/>
          <w:szCs w:val="27"/>
        </w:rPr>
        <w:t xml:space="preserve">, </w:t>
      </w:r>
      <w:r>
        <w:rPr>
          <w:rFonts w:ascii="Book Antiqua" w:hAnsi="Book Antiqua" w:cs="Times New Roman"/>
          <w:noProof w:val="0"/>
          <w:sz w:val="27"/>
          <w:szCs w:val="27"/>
        </w:rPr>
        <w:t>est passé,  de</w:t>
      </w:r>
      <w:r w:rsidRPr="00FF2443">
        <w:rPr>
          <w:rFonts w:ascii="Book Antiqua" w:hAnsi="Book Antiqua" w:cs="Times New Roman"/>
          <w:noProof w:val="0"/>
          <w:sz w:val="27"/>
          <w:szCs w:val="27"/>
        </w:rPr>
        <w:t xml:space="preserve"> </w:t>
      </w:r>
      <w:r>
        <w:rPr>
          <w:rFonts w:ascii="Book Antiqua" w:hAnsi="Book Antiqua" w:cs="Times New Roman"/>
          <w:noProof w:val="0"/>
          <w:sz w:val="27"/>
          <w:szCs w:val="27"/>
        </w:rPr>
        <w:t>1.043</w:t>
      </w:r>
      <w:r w:rsidRPr="008C74AD">
        <w:rPr>
          <w:rFonts w:ascii="Book Antiqua" w:hAnsi="Book Antiqua" w:cs="Times New Roman"/>
          <w:noProof w:val="0"/>
          <w:sz w:val="27"/>
          <w:szCs w:val="27"/>
        </w:rPr>
        <w:t xml:space="preserve">.000 à </w:t>
      </w:r>
      <w:r>
        <w:rPr>
          <w:rFonts w:ascii="Book Antiqua" w:hAnsi="Book Antiqua" w:cs="Times New Roman"/>
          <w:noProof w:val="0"/>
          <w:sz w:val="27"/>
          <w:szCs w:val="27"/>
        </w:rPr>
        <w:t>954</w:t>
      </w:r>
      <w:r w:rsidRPr="008C74AD">
        <w:rPr>
          <w:rFonts w:ascii="Book Antiqua" w:hAnsi="Book Antiqua" w:cs="Times New Roman"/>
          <w:noProof w:val="0"/>
          <w:sz w:val="27"/>
          <w:szCs w:val="27"/>
        </w:rPr>
        <w:t>.000 personnes au niveau national, de</w:t>
      </w:r>
      <w:r>
        <w:rPr>
          <w:rFonts w:ascii="Book Antiqua" w:hAnsi="Book Antiqua" w:cs="Times New Roman"/>
          <w:noProof w:val="0"/>
          <w:sz w:val="27"/>
          <w:szCs w:val="27"/>
        </w:rPr>
        <w:t xml:space="preserve"> </w:t>
      </w:r>
      <w:r w:rsidRPr="00FF2443">
        <w:rPr>
          <w:rFonts w:ascii="Book Antiqua" w:hAnsi="Book Antiqua" w:cs="Times New Roman"/>
          <w:noProof w:val="0"/>
          <w:sz w:val="27"/>
          <w:szCs w:val="27"/>
        </w:rPr>
        <w:t>53</w:t>
      </w:r>
      <w:r w:rsidRPr="00FF2443">
        <w:rPr>
          <w:rFonts w:ascii="Book Antiqua" w:hAnsi="Book Antiqua" w:cs="Times New Roman" w:hint="cs"/>
          <w:noProof w:val="0"/>
          <w:sz w:val="27"/>
          <w:szCs w:val="27"/>
          <w:rtl/>
        </w:rPr>
        <w:t>3</w:t>
      </w:r>
      <w:r w:rsidRPr="00FF2443">
        <w:rPr>
          <w:rFonts w:ascii="Book Antiqua" w:hAnsi="Book Antiqua" w:cs="Times New Roman"/>
          <w:noProof w:val="0"/>
          <w:sz w:val="27"/>
          <w:szCs w:val="27"/>
        </w:rPr>
        <w:t>.000</w:t>
      </w:r>
      <w:r w:rsidRPr="008C74AD">
        <w:rPr>
          <w:rFonts w:ascii="Book Antiqua" w:hAnsi="Book Antiqua" w:cs="Times New Roman"/>
          <w:noProof w:val="0"/>
          <w:sz w:val="27"/>
          <w:szCs w:val="27"/>
        </w:rPr>
        <w:t xml:space="preserve"> à </w:t>
      </w:r>
      <w:r>
        <w:rPr>
          <w:rFonts w:ascii="Book Antiqua" w:hAnsi="Book Antiqua" w:cs="Times New Roman"/>
          <w:noProof w:val="0"/>
          <w:sz w:val="27"/>
          <w:szCs w:val="27"/>
        </w:rPr>
        <w:t>531</w:t>
      </w:r>
      <w:r w:rsidRPr="008C74AD">
        <w:rPr>
          <w:rFonts w:ascii="Book Antiqua" w:hAnsi="Book Antiqua" w:cs="Times New Roman"/>
          <w:noProof w:val="0"/>
          <w:sz w:val="27"/>
          <w:szCs w:val="27"/>
        </w:rPr>
        <w:t>.000 personnes dans les villes et de</w:t>
      </w:r>
      <w:r>
        <w:rPr>
          <w:rFonts w:ascii="Book Antiqua" w:hAnsi="Book Antiqua" w:cs="Times New Roman"/>
          <w:noProof w:val="0"/>
          <w:sz w:val="27"/>
          <w:szCs w:val="27"/>
        </w:rPr>
        <w:t xml:space="preserve"> </w:t>
      </w:r>
      <w:r w:rsidRPr="00FF2443">
        <w:rPr>
          <w:rFonts w:ascii="Book Antiqua" w:hAnsi="Book Antiqua" w:cs="Times New Roman"/>
          <w:noProof w:val="0"/>
          <w:sz w:val="27"/>
          <w:szCs w:val="27"/>
        </w:rPr>
        <w:t>51</w:t>
      </w:r>
      <w:r w:rsidRPr="00FF2443">
        <w:rPr>
          <w:rFonts w:ascii="Book Antiqua" w:hAnsi="Book Antiqua" w:cs="Times New Roman" w:hint="cs"/>
          <w:noProof w:val="0"/>
          <w:sz w:val="27"/>
          <w:szCs w:val="27"/>
          <w:rtl/>
        </w:rPr>
        <w:t>0</w:t>
      </w:r>
      <w:r w:rsidRPr="00FF2443">
        <w:rPr>
          <w:rFonts w:ascii="Book Antiqua" w:hAnsi="Book Antiqua" w:cs="Times New Roman"/>
          <w:noProof w:val="0"/>
          <w:sz w:val="27"/>
          <w:szCs w:val="27"/>
        </w:rPr>
        <w:t>.000</w:t>
      </w:r>
      <w:r w:rsidRPr="008C74AD">
        <w:rPr>
          <w:rFonts w:ascii="Book Antiqua" w:hAnsi="Book Antiqua" w:cs="Times New Roman"/>
          <w:noProof w:val="0"/>
          <w:sz w:val="27"/>
          <w:szCs w:val="27"/>
        </w:rPr>
        <w:t xml:space="preserve"> à </w:t>
      </w:r>
      <w:r>
        <w:rPr>
          <w:rFonts w:ascii="Book Antiqua" w:hAnsi="Book Antiqua" w:cs="Times New Roman"/>
          <w:noProof w:val="0"/>
          <w:sz w:val="27"/>
          <w:szCs w:val="27"/>
        </w:rPr>
        <w:t>423</w:t>
      </w:r>
      <w:r w:rsidRPr="008C74AD">
        <w:rPr>
          <w:rFonts w:ascii="Book Antiqua" w:hAnsi="Book Antiqua" w:cs="Times New Roman"/>
          <w:noProof w:val="0"/>
          <w:sz w:val="27"/>
          <w:szCs w:val="27"/>
        </w:rPr>
        <w:t xml:space="preserve">.000 dans la campagne. Le taux de sous-emploi est ainsi passé de </w:t>
      </w:r>
      <w:r w:rsidRPr="00645FE7">
        <w:rPr>
          <w:rFonts w:ascii="Book Antiqua" w:hAnsi="Book Antiqua" w:cs="Times New Roman"/>
          <w:noProof w:val="0"/>
          <w:sz w:val="27"/>
          <w:szCs w:val="27"/>
        </w:rPr>
        <w:t>9,7</w:t>
      </w:r>
      <w:r w:rsidRPr="008C74AD">
        <w:rPr>
          <w:rFonts w:ascii="Book Antiqua" w:hAnsi="Book Antiqua" w:cs="Times New Roman"/>
          <w:noProof w:val="0"/>
          <w:sz w:val="27"/>
          <w:szCs w:val="27"/>
        </w:rPr>
        <w:t xml:space="preserve">% à </w:t>
      </w:r>
      <w:r w:rsidRPr="00645FE7">
        <w:rPr>
          <w:rFonts w:ascii="Book Antiqua" w:hAnsi="Book Antiqua" w:cs="Times New Roman"/>
          <w:noProof w:val="0"/>
          <w:sz w:val="27"/>
          <w:szCs w:val="27"/>
        </w:rPr>
        <w:t>8,8</w:t>
      </w:r>
      <w:r w:rsidRPr="008C74AD">
        <w:rPr>
          <w:rFonts w:ascii="Book Antiqua" w:hAnsi="Book Antiqua" w:cs="Times New Roman"/>
          <w:noProof w:val="0"/>
          <w:sz w:val="27"/>
          <w:szCs w:val="27"/>
        </w:rPr>
        <w:t xml:space="preserve">% au niveau national, de </w:t>
      </w:r>
      <w:r w:rsidRPr="00645FE7">
        <w:rPr>
          <w:rFonts w:ascii="Book Antiqua" w:hAnsi="Book Antiqua" w:cs="Times New Roman"/>
          <w:noProof w:val="0"/>
          <w:sz w:val="27"/>
          <w:szCs w:val="27"/>
        </w:rPr>
        <w:t>8,8</w:t>
      </w:r>
      <w:r w:rsidRPr="008C74AD">
        <w:rPr>
          <w:rFonts w:ascii="Book Antiqua" w:hAnsi="Book Antiqua" w:cs="Times New Roman"/>
          <w:noProof w:val="0"/>
          <w:sz w:val="27"/>
          <w:szCs w:val="27"/>
        </w:rPr>
        <w:t xml:space="preserve">% à </w:t>
      </w:r>
      <w:r w:rsidRPr="00645FE7">
        <w:rPr>
          <w:rFonts w:ascii="Book Antiqua" w:hAnsi="Book Antiqua" w:cs="Times New Roman"/>
          <w:noProof w:val="0"/>
          <w:sz w:val="27"/>
          <w:szCs w:val="27"/>
        </w:rPr>
        <w:t>8,7</w:t>
      </w:r>
      <w:r w:rsidRPr="008C74AD">
        <w:rPr>
          <w:rFonts w:ascii="Book Antiqua" w:hAnsi="Book Antiqua" w:cs="Times New Roman"/>
          <w:noProof w:val="0"/>
          <w:sz w:val="27"/>
          <w:szCs w:val="27"/>
        </w:rPr>
        <w:t xml:space="preserve">% </w:t>
      </w:r>
      <w:r>
        <w:rPr>
          <w:rFonts w:ascii="Book Antiqua" w:hAnsi="Book Antiqua" w:cs="Times New Roman"/>
          <w:noProof w:val="0"/>
          <w:sz w:val="27"/>
          <w:szCs w:val="27"/>
        </w:rPr>
        <w:t>en milieu urbain</w:t>
      </w:r>
      <w:r w:rsidRPr="008C74AD">
        <w:rPr>
          <w:rFonts w:ascii="Book Antiqua" w:hAnsi="Book Antiqua" w:cs="Times New Roman"/>
          <w:noProof w:val="0"/>
          <w:sz w:val="27"/>
          <w:szCs w:val="27"/>
        </w:rPr>
        <w:t xml:space="preserve"> et de </w:t>
      </w:r>
      <w:r w:rsidRPr="00645FE7">
        <w:rPr>
          <w:rFonts w:ascii="Book Antiqua" w:hAnsi="Book Antiqua" w:cs="Times New Roman"/>
          <w:noProof w:val="0"/>
          <w:sz w:val="27"/>
          <w:szCs w:val="27"/>
        </w:rPr>
        <w:t>10,7</w:t>
      </w:r>
      <w:r w:rsidRPr="008C74AD">
        <w:rPr>
          <w:rFonts w:ascii="Book Antiqua" w:hAnsi="Book Antiqua" w:cs="Times New Roman"/>
          <w:noProof w:val="0"/>
          <w:sz w:val="27"/>
          <w:szCs w:val="27"/>
        </w:rPr>
        <w:t>% à</w:t>
      </w:r>
      <w:r>
        <w:rPr>
          <w:rFonts w:ascii="Book Antiqua" w:hAnsi="Book Antiqua" w:cs="Times New Roman"/>
          <w:noProof w:val="0"/>
          <w:sz w:val="27"/>
          <w:szCs w:val="27"/>
        </w:rPr>
        <w:t xml:space="preserve"> </w:t>
      </w:r>
      <w:r w:rsidRPr="00645FE7">
        <w:rPr>
          <w:rFonts w:ascii="Book Antiqua" w:hAnsi="Book Antiqua" w:cs="Times New Roman"/>
          <w:noProof w:val="0"/>
          <w:sz w:val="27"/>
          <w:szCs w:val="27"/>
        </w:rPr>
        <w:t>8,9</w:t>
      </w:r>
      <w:r w:rsidRPr="008C74AD">
        <w:rPr>
          <w:rFonts w:ascii="Book Antiqua" w:hAnsi="Book Antiqua" w:cs="Times New Roman"/>
          <w:noProof w:val="0"/>
          <w:sz w:val="27"/>
          <w:szCs w:val="27"/>
        </w:rPr>
        <w:t xml:space="preserve">% </w:t>
      </w:r>
      <w:r>
        <w:rPr>
          <w:rFonts w:ascii="Book Antiqua" w:hAnsi="Book Antiqua" w:cs="Times New Roman"/>
          <w:noProof w:val="0"/>
          <w:sz w:val="27"/>
          <w:szCs w:val="27"/>
        </w:rPr>
        <w:t>en milieu rural</w:t>
      </w:r>
      <w:r w:rsidRPr="008C74AD">
        <w:rPr>
          <w:rFonts w:ascii="Book Antiqua" w:hAnsi="Book Antiqua" w:cs="Times New Roman"/>
          <w:noProof w:val="0"/>
          <w:sz w:val="27"/>
          <w:szCs w:val="27"/>
        </w:rPr>
        <w:t>.</w:t>
      </w:r>
    </w:p>
    <w:p w:rsidR="009D2DC9" w:rsidRPr="00425B39" w:rsidRDefault="009D2DC9" w:rsidP="009D2DC9">
      <w:pPr>
        <w:autoSpaceDE w:val="0"/>
        <w:autoSpaceDN w:val="0"/>
        <w:bidi w:val="0"/>
        <w:adjustRightInd w:val="0"/>
        <w:spacing w:line="276" w:lineRule="auto"/>
        <w:jc w:val="center"/>
        <w:rPr>
          <w:rFonts w:ascii="Book Antiqua" w:hAnsi="Book Antiqua" w:cs="Times New Roman"/>
          <w:b/>
          <w:bCs/>
          <w:noProof w:val="0"/>
          <w:sz w:val="12"/>
          <w:szCs w:val="12"/>
        </w:rPr>
      </w:pPr>
    </w:p>
    <w:p w:rsidR="009D2DC9" w:rsidRDefault="009D2DC9" w:rsidP="005B63D5">
      <w:pPr>
        <w:autoSpaceDE w:val="0"/>
        <w:autoSpaceDN w:val="0"/>
        <w:bidi w:val="0"/>
        <w:adjustRightInd w:val="0"/>
        <w:spacing w:line="276" w:lineRule="auto"/>
        <w:jc w:val="center"/>
        <w:rPr>
          <w:rFonts w:ascii="Book Antiqua" w:hAnsi="Book Antiqua" w:cstheme="majorBidi"/>
          <w:noProof w:val="0"/>
          <w:sz w:val="26"/>
          <w:szCs w:val="26"/>
        </w:rPr>
      </w:pPr>
      <w:r w:rsidRPr="000C2EE5">
        <w:rPr>
          <w:rFonts w:ascii="Book Antiqua" w:hAnsi="Book Antiqua" w:cs="Times New Roman"/>
          <w:b/>
          <w:bCs/>
          <w:noProof w:val="0"/>
          <w:sz w:val="24"/>
          <w:szCs w:val="24"/>
        </w:rPr>
        <w:t xml:space="preserve">Figure </w:t>
      </w:r>
      <w:r>
        <w:rPr>
          <w:rFonts w:ascii="Book Antiqua" w:hAnsi="Book Antiqua" w:cs="Times New Roman"/>
          <w:b/>
          <w:bCs/>
          <w:noProof w:val="0"/>
          <w:sz w:val="24"/>
          <w:szCs w:val="24"/>
        </w:rPr>
        <w:t>4</w:t>
      </w:r>
      <w:r w:rsidRPr="000C2EE5">
        <w:rPr>
          <w:rFonts w:ascii="Book Antiqua" w:hAnsi="Book Antiqua" w:cs="Times New Roman"/>
          <w:b/>
          <w:bCs/>
          <w:noProof w:val="0"/>
          <w:sz w:val="24"/>
          <w:szCs w:val="24"/>
        </w:rPr>
        <w:t xml:space="preserve"> : </w:t>
      </w:r>
      <w:r w:rsidRPr="001F0CDE">
        <w:rPr>
          <w:rFonts w:ascii="Book Antiqua" w:hAnsi="Book Antiqua" w:cs="Times New Roman"/>
          <w:b/>
          <w:bCs/>
          <w:noProof w:val="0"/>
          <w:sz w:val="24"/>
          <w:szCs w:val="24"/>
        </w:rPr>
        <w:t xml:space="preserve">Evolution du taux de </w:t>
      </w:r>
      <w:r>
        <w:rPr>
          <w:rFonts w:ascii="Book Antiqua" w:hAnsi="Book Antiqua" w:cs="Times New Roman"/>
          <w:b/>
          <w:bCs/>
          <w:noProof w:val="0"/>
          <w:sz w:val="24"/>
          <w:szCs w:val="24"/>
        </w:rPr>
        <w:t xml:space="preserve">sous-emploi </w:t>
      </w:r>
      <w:r w:rsidRPr="00754D0C">
        <w:rPr>
          <w:rFonts w:ascii="Book Antiqua" w:hAnsi="Book Antiqua" w:cs="Times New Roman"/>
          <w:b/>
          <w:bCs/>
          <w:noProof w:val="0"/>
          <w:sz w:val="24"/>
          <w:szCs w:val="24"/>
        </w:rPr>
        <w:t xml:space="preserve">entre les </w:t>
      </w:r>
      <w:r>
        <w:rPr>
          <w:rFonts w:ascii="Book Antiqua" w:hAnsi="Book Antiqua" w:cs="Times New Roman"/>
          <w:b/>
          <w:bCs/>
          <w:noProof w:val="0"/>
          <w:sz w:val="24"/>
          <w:szCs w:val="24"/>
        </w:rPr>
        <w:t>premiers</w:t>
      </w:r>
      <w:r w:rsidRPr="00754D0C">
        <w:rPr>
          <w:rFonts w:ascii="Book Antiqua" w:hAnsi="Book Antiqua" w:cs="Times New Roman"/>
          <w:b/>
          <w:bCs/>
          <w:noProof w:val="0"/>
          <w:sz w:val="24"/>
          <w:szCs w:val="24"/>
        </w:rPr>
        <w:t xml:space="preserve"> trimestres de </w:t>
      </w:r>
      <w:r>
        <w:rPr>
          <w:rFonts w:ascii="Book Antiqua" w:hAnsi="Book Antiqua" w:cs="Times New Roman"/>
          <w:b/>
          <w:bCs/>
          <w:noProof w:val="0"/>
          <w:sz w:val="24"/>
          <w:szCs w:val="24"/>
        </w:rPr>
        <w:t>2019</w:t>
      </w:r>
      <w:r w:rsidRPr="00652E80">
        <w:rPr>
          <w:rFonts w:ascii="Book Antiqua" w:hAnsi="Book Antiqua" w:cs="Times New Roman"/>
          <w:b/>
          <w:bCs/>
          <w:noProof w:val="0"/>
          <w:sz w:val="24"/>
          <w:szCs w:val="24"/>
        </w:rPr>
        <w:t xml:space="preserve"> et </w:t>
      </w:r>
      <w:r w:rsidR="005B63D5">
        <w:rPr>
          <w:rFonts w:ascii="Book Antiqua" w:hAnsi="Book Antiqua" w:cs="Times New Roman"/>
          <w:b/>
          <w:bCs/>
          <w:noProof w:val="0"/>
          <w:sz w:val="24"/>
          <w:szCs w:val="24"/>
        </w:rPr>
        <w:t xml:space="preserve">de </w:t>
      </w:r>
      <w:r>
        <w:rPr>
          <w:rFonts w:ascii="Book Antiqua" w:hAnsi="Book Antiqua" w:cs="Times New Roman"/>
          <w:b/>
          <w:bCs/>
          <w:noProof w:val="0"/>
          <w:sz w:val="24"/>
          <w:szCs w:val="24"/>
        </w:rPr>
        <w:t>2020</w:t>
      </w:r>
      <w:r w:rsidRPr="001F0CDE">
        <w:rPr>
          <w:rFonts w:ascii="Book Antiqua" w:hAnsi="Book Antiqua" w:cs="Times New Roman"/>
          <w:b/>
          <w:bCs/>
          <w:noProof w:val="0"/>
          <w:sz w:val="24"/>
          <w:szCs w:val="24"/>
        </w:rPr>
        <w:t xml:space="preserve"> </w:t>
      </w:r>
      <w:r w:rsidR="005B63D5">
        <w:rPr>
          <w:rFonts w:ascii="Book Antiqua" w:hAnsi="Book Antiqua" w:cs="Times New Roman"/>
          <w:b/>
          <w:bCs/>
          <w:noProof w:val="0"/>
          <w:sz w:val="24"/>
          <w:szCs w:val="24"/>
        </w:rPr>
        <w:t xml:space="preserve">pour </w:t>
      </w:r>
      <w:r>
        <w:rPr>
          <w:rFonts w:ascii="Book Antiqua" w:hAnsi="Book Antiqua" w:cs="Times New Roman"/>
          <w:b/>
          <w:bCs/>
          <w:noProof w:val="0"/>
          <w:sz w:val="24"/>
          <w:szCs w:val="24"/>
        </w:rPr>
        <w:t xml:space="preserve">certaines catégories de la population </w:t>
      </w:r>
      <w:r w:rsidRPr="001F0CDE">
        <w:rPr>
          <w:rFonts w:ascii="Book Antiqua" w:hAnsi="Book Antiqua" w:cs="Times New Roman"/>
          <w:b/>
          <w:bCs/>
          <w:noProof w:val="0"/>
          <w:sz w:val="24"/>
          <w:szCs w:val="24"/>
        </w:rPr>
        <w:t>(en %).</w:t>
      </w:r>
      <w:r w:rsidRPr="00865773">
        <w:rPr>
          <w:rFonts w:ascii="Book Antiqua" w:hAnsi="Book Antiqua" w:cstheme="majorBidi"/>
          <w:sz w:val="26"/>
          <w:szCs w:val="26"/>
        </w:rPr>
        <w:drawing>
          <wp:inline distT="0" distB="0" distL="0" distR="0">
            <wp:extent cx="5905500" cy="2552700"/>
            <wp:effectExtent l="0" t="0" r="0" b="0"/>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7BD9" w:rsidRDefault="001A7BD9" w:rsidP="009D2DC9">
      <w:pPr>
        <w:bidi w:val="0"/>
        <w:jc w:val="both"/>
        <w:rPr>
          <w:rFonts w:ascii="Book Antiqua" w:hAnsi="Book Antiqua" w:cstheme="majorBidi"/>
          <w:noProof w:val="0"/>
          <w:sz w:val="26"/>
          <w:szCs w:val="26"/>
        </w:rPr>
      </w:pPr>
    </w:p>
    <w:p w:rsidR="00AA7937" w:rsidRDefault="00AA7937" w:rsidP="001A7BD9">
      <w:pPr>
        <w:bidi w:val="0"/>
        <w:jc w:val="both"/>
        <w:rPr>
          <w:rFonts w:ascii="Book Antiqua" w:hAnsi="Book Antiqua" w:cstheme="majorBidi"/>
          <w:noProof w:val="0"/>
          <w:sz w:val="26"/>
          <w:szCs w:val="26"/>
        </w:rPr>
      </w:pPr>
    </w:p>
    <w:p w:rsidR="009D2DC9" w:rsidRPr="00645FE7" w:rsidRDefault="009D2DC9" w:rsidP="005B63D5">
      <w:pPr>
        <w:bidi w:val="0"/>
        <w:jc w:val="both"/>
        <w:rPr>
          <w:rFonts w:ascii="Book Antiqua" w:hAnsi="Book Antiqua" w:cstheme="majorBidi"/>
          <w:noProof w:val="0"/>
          <w:sz w:val="26"/>
          <w:szCs w:val="26"/>
        </w:rPr>
      </w:pPr>
      <w:r>
        <w:rPr>
          <w:rFonts w:ascii="Book Antiqua" w:hAnsi="Book Antiqua" w:cstheme="majorBidi"/>
          <w:noProof w:val="0"/>
          <w:sz w:val="26"/>
          <w:szCs w:val="26"/>
        </w:rPr>
        <w:t>L</w:t>
      </w:r>
      <w:r w:rsidRPr="00E5087B">
        <w:rPr>
          <w:rFonts w:ascii="Book Antiqua" w:hAnsi="Book Antiqua" w:cstheme="majorBidi"/>
          <w:noProof w:val="0"/>
          <w:sz w:val="26"/>
          <w:szCs w:val="26"/>
        </w:rPr>
        <w:t xml:space="preserve">a population active occupée sous employée est </w:t>
      </w:r>
      <w:r>
        <w:rPr>
          <w:rFonts w:ascii="Book Antiqua" w:hAnsi="Book Antiqua" w:cstheme="majorBidi"/>
          <w:noProof w:val="0"/>
          <w:sz w:val="26"/>
          <w:szCs w:val="26"/>
        </w:rPr>
        <w:t xml:space="preserve">à </w:t>
      </w:r>
      <w:r w:rsidR="005B63D5">
        <w:rPr>
          <w:rFonts w:ascii="Book Antiqua" w:hAnsi="Book Antiqua" w:cstheme="majorBidi"/>
          <w:noProof w:val="0"/>
          <w:sz w:val="26"/>
          <w:szCs w:val="26"/>
        </w:rPr>
        <w:t xml:space="preserve">hauteur de </w:t>
      </w:r>
      <w:r w:rsidRPr="00645FE7">
        <w:rPr>
          <w:rFonts w:ascii="Book Antiqua" w:hAnsi="Book Antiqua" w:cstheme="majorBidi"/>
          <w:noProof w:val="0"/>
          <w:sz w:val="26"/>
          <w:szCs w:val="26"/>
        </w:rPr>
        <w:t>86,1</w:t>
      </w:r>
      <w:r w:rsidRPr="00E5087B">
        <w:rPr>
          <w:rFonts w:ascii="Book Antiqua" w:hAnsi="Book Antiqua" w:cstheme="majorBidi"/>
          <w:noProof w:val="0"/>
          <w:sz w:val="26"/>
          <w:szCs w:val="26"/>
        </w:rPr>
        <w:t>%</w:t>
      </w:r>
      <w:r>
        <w:rPr>
          <w:rFonts w:ascii="Book Antiqua" w:hAnsi="Book Antiqua" w:cstheme="majorBidi"/>
          <w:noProof w:val="0"/>
          <w:sz w:val="26"/>
          <w:szCs w:val="26"/>
        </w:rPr>
        <w:t xml:space="preserve"> </w:t>
      </w:r>
      <w:r w:rsidRPr="00E5087B">
        <w:rPr>
          <w:rFonts w:ascii="Book Antiqua" w:hAnsi="Book Antiqua" w:cstheme="majorBidi"/>
          <w:noProof w:val="0"/>
          <w:sz w:val="26"/>
          <w:szCs w:val="26"/>
        </w:rPr>
        <w:t xml:space="preserve">masculine, </w:t>
      </w:r>
      <w:r w:rsidRPr="00645FE7">
        <w:rPr>
          <w:rFonts w:ascii="Book Antiqua" w:hAnsi="Book Antiqua" w:cstheme="majorBidi"/>
          <w:noProof w:val="0"/>
          <w:sz w:val="26"/>
          <w:szCs w:val="26"/>
        </w:rPr>
        <w:t xml:space="preserve">44,3% </w:t>
      </w:r>
      <w:r w:rsidRPr="00E5087B">
        <w:rPr>
          <w:rFonts w:ascii="Book Antiqua" w:hAnsi="Book Antiqua" w:cstheme="majorBidi"/>
          <w:noProof w:val="0"/>
          <w:sz w:val="26"/>
          <w:szCs w:val="26"/>
        </w:rPr>
        <w:t>rurale</w:t>
      </w:r>
      <w:r w:rsidRPr="00645FE7">
        <w:rPr>
          <w:rFonts w:ascii="Book Antiqua" w:hAnsi="Book Antiqua" w:cstheme="majorBidi"/>
          <w:noProof w:val="0"/>
          <w:sz w:val="26"/>
          <w:szCs w:val="26"/>
        </w:rPr>
        <w:t xml:space="preserve">, 34,3% jeune de moins de 30 ans et 47,3% </w:t>
      </w:r>
      <w:r w:rsidRPr="00E5087B">
        <w:rPr>
          <w:rFonts w:ascii="Book Antiqua" w:hAnsi="Book Antiqua" w:cstheme="majorBidi"/>
          <w:noProof w:val="0"/>
          <w:sz w:val="26"/>
          <w:szCs w:val="26"/>
        </w:rPr>
        <w:t xml:space="preserve">diplômée </w:t>
      </w:r>
      <w:r w:rsidRPr="00645FE7">
        <w:rPr>
          <w:rFonts w:ascii="Book Antiqua" w:hAnsi="Book Antiqua" w:cstheme="majorBidi"/>
          <w:noProof w:val="0"/>
          <w:sz w:val="26"/>
          <w:szCs w:val="26"/>
        </w:rPr>
        <w:t xml:space="preserve">avec 14,8% </w:t>
      </w:r>
      <w:r w:rsidR="005B63D5">
        <w:rPr>
          <w:rFonts w:ascii="Book Antiqua" w:hAnsi="Book Antiqua" w:cstheme="majorBidi"/>
          <w:noProof w:val="0"/>
          <w:sz w:val="26"/>
          <w:szCs w:val="26"/>
        </w:rPr>
        <w:t>disposant d’</w:t>
      </w:r>
      <w:r w:rsidRPr="00645FE7">
        <w:rPr>
          <w:rFonts w:ascii="Book Antiqua" w:hAnsi="Book Antiqua" w:cstheme="majorBidi"/>
          <w:noProof w:val="0"/>
          <w:sz w:val="26"/>
          <w:szCs w:val="26"/>
        </w:rPr>
        <w:t>un diplôme de niveau supérieur.</w:t>
      </w:r>
    </w:p>
    <w:p w:rsidR="009D2DC9" w:rsidRPr="00645FE7" w:rsidRDefault="009D2DC9" w:rsidP="009D2DC9">
      <w:pPr>
        <w:rPr>
          <w:rFonts w:ascii="Book Antiqua" w:hAnsi="Book Antiqua" w:cstheme="majorBidi"/>
          <w:noProof w:val="0"/>
          <w:sz w:val="26"/>
          <w:szCs w:val="26"/>
        </w:rPr>
      </w:pPr>
    </w:p>
    <w:p w:rsidR="007A1B29" w:rsidRPr="00B7476C" w:rsidRDefault="007A1B29" w:rsidP="007A1B29">
      <w:pPr>
        <w:autoSpaceDE w:val="0"/>
        <w:autoSpaceDN w:val="0"/>
        <w:bidi w:val="0"/>
        <w:adjustRightInd w:val="0"/>
        <w:rPr>
          <w:rFonts w:ascii="Book Antiqua" w:hAnsi="Book Antiqua" w:cs="Times New Roman"/>
          <w:b/>
          <w:bCs/>
          <w:noProof w:val="0"/>
          <w:color w:val="008000"/>
          <w:sz w:val="22"/>
          <w:szCs w:val="22"/>
        </w:rPr>
      </w:pPr>
      <w:r w:rsidRPr="00984E6C">
        <w:rPr>
          <w:rFonts w:ascii="Book Antiqua" w:hAnsi="Book Antiqua" w:cs="Times New Roman"/>
          <w:b/>
          <w:bCs/>
          <w:noProof w:val="0"/>
          <w:color w:val="0070C0"/>
          <w:sz w:val="28"/>
          <w:szCs w:val="28"/>
        </w:rPr>
        <w:t xml:space="preserve">Situation régionale du marché du </w:t>
      </w:r>
      <w:r w:rsidR="00215B05" w:rsidRPr="00984E6C">
        <w:rPr>
          <w:rFonts w:ascii="Book Antiqua" w:hAnsi="Book Antiqua" w:cs="Times New Roman"/>
          <w:b/>
          <w:bCs/>
          <w:noProof w:val="0"/>
          <w:color w:val="0070C0"/>
          <w:sz w:val="28"/>
          <w:szCs w:val="28"/>
        </w:rPr>
        <w:t>travail</w:t>
      </w:r>
    </w:p>
    <w:p w:rsidR="007A1B29" w:rsidRDefault="007A1B29" w:rsidP="007A1B29">
      <w:pPr>
        <w:bidi w:val="0"/>
        <w:rPr>
          <w:rFonts w:ascii="Book Antiqua" w:hAnsi="Book Antiqua" w:cs="Times New Roman"/>
          <w:noProof w:val="0"/>
          <w:color w:val="0070C0"/>
          <w:sz w:val="8"/>
          <w:szCs w:val="8"/>
        </w:rPr>
      </w:pPr>
    </w:p>
    <w:p w:rsidR="007A1B29" w:rsidRPr="0066304E" w:rsidRDefault="007A1B29" w:rsidP="007A1B29">
      <w:pPr>
        <w:bidi w:val="0"/>
        <w:rPr>
          <w:rFonts w:ascii="Book Antiqua" w:hAnsi="Book Antiqua" w:cs="Times New Roman"/>
          <w:noProof w:val="0"/>
          <w:color w:val="0070C0"/>
          <w:sz w:val="8"/>
          <w:szCs w:val="8"/>
        </w:rPr>
      </w:pPr>
    </w:p>
    <w:p w:rsidR="007A1B29" w:rsidRDefault="007A1B29" w:rsidP="007A1B29">
      <w:pPr>
        <w:autoSpaceDE w:val="0"/>
        <w:autoSpaceDN w:val="0"/>
        <w:bidi w:val="0"/>
        <w:adjustRightInd w:val="0"/>
        <w:spacing w:after="240" w:line="276" w:lineRule="auto"/>
        <w:jc w:val="both"/>
        <w:rPr>
          <w:rFonts w:ascii="Book Antiqua" w:hAnsi="Book Antiqua" w:cs="Times New Roman"/>
          <w:noProof w:val="0"/>
          <w:sz w:val="26"/>
          <w:szCs w:val="26"/>
        </w:rPr>
      </w:pPr>
      <w:r w:rsidRPr="00B7764E">
        <w:rPr>
          <w:rFonts w:ascii="Book Antiqua" w:hAnsi="Book Antiqua" w:cs="Times New Roman"/>
          <w:noProof w:val="0"/>
          <w:sz w:val="26"/>
          <w:szCs w:val="26"/>
        </w:rPr>
        <w:t xml:space="preserve">Cinq régions abritent 72% de l’ensemble des actifs âgés de 15 ans et plus. La région de Casablanca-Settat vient en première position avec 22,7% d’actifs, suivie de Marrakech-Safi (13,4%), </w:t>
      </w:r>
      <w:r w:rsidR="005B63D5">
        <w:rPr>
          <w:rFonts w:ascii="Book Antiqua" w:hAnsi="Book Antiqua" w:cs="Times New Roman"/>
          <w:noProof w:val="0"/>
          <w:sz w:val="26"/>
          <w:szCs w:val="26"/>
        </w:rPr>
        <w:t xml:space="preserve">de </w:t>
      </w:r>
      <w:r w:rsidRPr="00B7764E">
        <w:rPr>
          <w:rFonts w:ascii="Book Antiqua" w:hAnsi="Book Antiqua" w:cs="Times New Roman"/>
          <w:noProof w:val="0"/>
          <w:sz w:val="26"/>
          <w:szCs w:val="26"/>
        </w:rPr>
        <w:t xml:space="preserve">Rabat-Salé-Kénitra (13,4%), </w:t>
      </w:r>
      <w:r w:rsidR="005B63D5">
        <w:rPr>
          <w:rFonts w:ascii="Book Antiqua" w:hAnsi="Book Antiqua" w:cs="Times New Roman"/>
          <w:noProof w:val="0"/>
          <w:sz w:val="26"/>
          <w:szCs w:val="26"/>
        </w:rPr>
        <w:t xml:space="preserve">de </w:t>
      </w:r>
      <w:r w:rsidRPr="00B7764E">
        <w:rPr>
          <w:rFonts w:ascii="Book Antiqua" w:hAnsi="Book Antiqua" w:cs="Times New Roman"/>
          <w:noProof w:val="0"/>
          <w:sz w:val="26"/>
          <w:szCs w:val="26"/>
        </w:rPr>
        <w:t xml:space="preserve">Fès-Meknès (11,4%) et </w:t>
      </w:r>
      <w:r w:rsidR="005B63D5">
        <w:rPr>
          <w:rFonts w:ascii="Book Antiqua" w:hAnsi="Book Antiqua" w:cs="Times New Roman"/>
          <w:noProof w:val="0"/>
          <w:sz w:val="26"/>
          <w:szCs w:val="26"/>
        </w:rPr>
        <w:t xml:space="preserve">de </w:t>
      </w:r>
      <w:r w:rsidRPr="00B7764E">
        <w:rPr>
          <w:rFonts w:ascii="Book Antiqua" w:hAnsi="Book Antiqua" w:cs="Times New Roman"/>
          <w:noProof w:val="0"/>
          <w:sz w:val="26"/>
          <w:szCs w:val="26"/>
        </w:rPr>
        <w:t>Tanger-Tétouan-Al Hoceima (11,2%).</w:t>
      </w:r>
    </w:p>
    <w:p w:rsidR="007A1B29" w:rsidRDefault="007A1B29" w:rsidP="005B63D5">
      <w:pPr>
        <w:autoSpaceDE w:val="0"/>
        <w:autoSpaceDN w:val="0"/>
        <w:bidi w:val="0"/>
        <w:adjustRightInd w:val="0"/>
        <w:spacing w:after="240" w:line="276" w:lineRule="auto"/>
        <w:jc w:val="both"/>
        <w:rPr>
          <w:rFonts w:ascii="Book Antiqua" w:hAnsi="Book Antiqua" w:cs="Times New Roman"/>
          <w:noProof w:val="0"/>
          <w:sz w:val="26"/>
          <w:szCs w:val="26"/>
        </w:rPr>
      </w:pPr>
      <w:r>
        <w:rPr>
          <w:rFonts w:ascii="Book Antiqua" w:hAnsi="Book Antiqua" w:cs="Times New Roman"/>
          <w:noProof w:val="0"/>
          <w:sz w:val="26"/>
          <w:szCs w:val="26"/>
        </w:rPr>
        <w:t>Trois régions affichent des taux d’activité plus élevés que</w:t>
      </w:r>
      <w:r w:rsidRPr="008E381E">
        <w:rPr>
          <w:rFonts w:ascii="Book Antiqua" w:hAnsi="Book Antiqua" w:cs="Times New Roman"/>
          <w:noProof w:val="0"/>
          <w:sz w:val="26"/>
          <w:szCs w:val="26"/>
        </w:rPr>
        <w:t xml:space="preserve"> la moyenne nationale</w:t>
      </w:r>
      <w:r>
        <w:rPr>
          <w:rFonts w:ascii="Book Antiqua" w:hAnsi="Book Antiqua" w:cs="Times New Roman"/>
          <w:noProof w:val="0"/>
          <w:sz w:val="26"/>
          <w:szCs w:val="26"/>
        </w:rPr>
        <w:t xml:space="preserve"> </w:t>
      </w:r>
      <w:r w:rsidRPr="008E381E">
        <w:rPr>
          <w:rFonts w:ascii="Book Antiqua" w:hAnsi="Book Antiqua" w:cs="Times New Roman"/>
          <w:noProof w:val="0"/>
          <w:sz w:val="26"/>
          <w:szCs w:val="26"/>
        </w:rPr>
        <w:t>(</w:t>
      </w:r>
      <w:r>
        <w:rPr>
          <w:rFonts w:ascii="Book Antiqua" w:hAnsi="Book Antiqua" w:cs="Times New Roman"/>
          <w:noProof w:val="0"/>
          <w:sz w:val="26"/>
          <w:szCs w:val="26"/>
        </w:rPr>
        <w:t>46</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 </w:t>
      </w:r>
      <w:r w:rsidRPr="0050163D">
        <w:rPr>
          <w:rFonts w:ascii="Book Antiqua" w:hAnsi="Book Antiqua" w:cs="Times New Roman"/>
          <w:noProof w:val="0"/>
          <w:sz w:val="26"/>
          <w:szCs w:val="26"/>
        </w:rPr>
        <w:t>Casablanca-Settat</w:t>
      </w:r>
      <w:r w:rsidR="005B63D5">
        <w:rPr>
          <w:rFonts w:ascii="Book Antiqua" w:hAnsi="Book Antiqua" w:cs="Times New Roman"/>
          <w:noProof w:val="0"/>
          <w:sz w:val="26"/>
          <w:szCs w:val="26"/>
        </w:rPr>
        <w:t xml:space="preserve"> avec</w:t>
      </w:r>
      <w:r w:rsidR="00AD0E67">
        <w:rPr>
          <w:rFonts w:ascii="Book Antiqua" w:hAnsi="Book Antiqua" w:cs="Times New Roman"/>
          <w:noProof w:val="0"/>
          <w:sz w:val="26"/>
          <w:szCs w:val="26"/>
        </w:rPr>
        <w:t xml:space="preserve"> </w:t>
      </w:r>
      <w:r w:rsidRPr="0050163D">
        <w:rPr>
          <w:rFonts w:ascii="Book Antiqua" w:hAnsi="Book Antiqua" w:cs="Times New Roman"/>
          <w:noProof w:val="0"/>
          <w:sz w:val="26"/>
          <w:szCs w:val="26"/>
        </w:rPr>
        <w:t>49,</w:t>
      </w:r>
      <w:r>
        <w:rPr>
          <w:rFonts w:ascii="Book Antiqua" w:hAnsi="Book Antiqua" w:cs="Times New Roman"/>
          <w:noProof w:val="0"/>
          <w:sz w:val="26"/>
          <w:szCs w:val="26"/>
        </w:rPr>
        <w:t>7</w:t>
      </w:r>
      <w:r w:rsidRPr="0050163D">
        <w:rPr>
          <w:rFonts w:ascii="Book Antiqua" w:hAnsi="Book Antiqua" w:cs="Times New Roman"/>
          <w:noProof w:val="0"/>
          <w:sz w:val="26"/>
          <w:szCs w:val="26"/>
        </w:rPr>
        <w:t>%</w:t>
      </w:r>
      <w:r>
        <w:rPr>
          <w:rFonts w:ascii="Book Antiqua" w:hAnsi="Book Antiqua" w:cs="Times New Roman"/>
          <w:noProof w:val="0"/>
          <w:sz w:val="26"/>
          <w:szCs w:val="26"/>
        </w:rPr>
        <w:t xml:space="preserve">, </w:t>
      </w:r>
      <w:r w:rsidRPr="0050163D">
        <w:rPr>
          <w:rFonts w:ascii="Book Antiqua" w:hAnsi="Book Antiqua" w:cs="Times New Roman"/>
          <w:noProof w:val="0"/>
          <w:sz w:val="26"/>
          <w:szCs w:val="26"/>
        </w:rPr>
        <w:t>Tanger-Tétouan-Al</w:t>
      </w:r>
      <w:r>
        <w:rPr>
          <w:rFonts w:ascii="Book Antiqua" w:hAnsi="Book Antiqua" w:cs="Times New Roman"/>
          <w:noProof w:val="0"/>
          <w:sz w:val="26"/>
          <w:szCs w:val="26"/>
        </w:rPr>
        <w:t xml:space="preserve"> </w:t>
      </w:r>
      <w:r w:rsidRPr="0050163D">
        <w:rPr>
          <w:rFonts w:ascii="Book Antiqua" w:hAnsi="Book Antiqua" w:cs="Times New Roman"/>
          <w:noProof w:val="0"/>
          <w:sz w:val="26"/>
          <w:szCs w:val="26"/>
        </w:rPr>
        <w:t>Hoceima (</w:t>
      </w:r>
      <w:r>
        <w:rPr>
          <w:rFonts w:ascii="Book Antiqua" w:hAnsi="Book Antiqua" w:cs="Times New Roman"/>
          <w:noProof w:val="0"/>
          <w:sz w:val="26"/>
          <w:szCs w:val="26"/>
        </w:rPr>
        <w:t>48,6</w:t>
      </w:r>
      <w:r w:rsidRPr="0050163D">
        <w:rPr>
          <w:rFonts w:ascii="Book Antiqua" w:hAnsi="Book Antiqua" w:cs="Times New Roman"/>
          <w:noProof w:val="0"/>
          <w:sz w:val="26"/>
          <w:szCs w:val="26"/>
        </w:rPr>
        <w:t>%)</w:t>
      </w:r>
      <w:r>
        <w:rPr>
          <w:rFonts w:ascii="Book Antiqua" w:hAnsi="Book Antiqua" w:cs="Times New Roman"/>
          <w:noProof w:val="0"/>
          <w:sz w:val="26"/>
          <w:szCs w:val="26"/>
        </w:rPr>
        <w:t xml:space="preserve"> et </w:t>
      </w:r>
      <w:r w:rsidRPr="0050163D">
        <w:rPr>
          <w:rFonts w:ascii="Book Antiqua" w:hAnsi="Book Antiqua" w:cs="Times New Roman"/>
          <w:noProof w:val="0"/>
          <w:sz w:val="26"/>
          <w:szCs w:val="26"/>
        </w:rPr>
        <w:t>Marrakech-Safi (47,</w:t>
      </w:r>
      <w:r>
        <w:rPr>
          <w:rFonts w:ascii="Book Antiqua" w:hAnsi="Book Antiqua" w:cs="Times New Roman"/>
          <w:noProof w:val="0"/>
          <w:sz w:val="26"/>
          <w:szCs w:val="26"/>
        </w:rPr>
        <w:t>8</w:t>
      </w:r>
      <w:r w:rsidRPr="0050163D">
        <w:rPr>
          <w:rFonts w:ascii="Book Antiqua" w:hAnsi="Book Antiqua" w:cs="Times New Roman"/>
          <w:noProof w:val="0"/>
          <w:sz w:val="26"/>
          <w:szCs w:val="26"/>
        </w:rPr>
        <w:t>%)</w:t>
      </w:r>
      <w:r>
        <w:rPr>
          <w:rFonts w:ascii="Book Antiqua" w:hAnsi="Book Antiqua" w:cs="Times New Roman"/>
          <w:noProof w:val="0"/>
          <w:sz w:val="26"/>
          <w:szCs w:val="26"/>
        </w:rPr>
        <w:t>.</w:t>
      </w:r>
      <w:r w:rsidRPr="0050163D">
        <w:rPr>
          <w:rFonts w:ascii="Book Antiqua" w:hAnsi="Book Antiqua" w:cs="Times New Roman"/>
          <w:noProof w:val="0"/>
          <w:sz w:val="26"/>
          <w:szCs w:val="26"/>
        </w:rPr>
        <w:t xml:space="preserve"> En revanche, les taux les plus bas sont enregistrés dans les régions de </w:t>
      </w:r>
      <w:r w:rsidRPr="00EF78C8">
        <w:rPr>
          <w:rFonts w:ascii="Book Antiqua" w:hAnsi="Book Antiqua" w:cs="Times New Roman"/>
          <w:noProof w:val="0"/>
          <w:sz w:val="26"/>
          <w:szCs w:val="26"/>
        </w:rPr>
        <w:t xml:space="preserve">Fès-Meknès </w:t>
      </w:r>
      <w:r w:rsidR="005B63D5">
        <w:rPr>
          <w:rFonts w:ascii="Book Antiqua" w:hAnsi="Book Antiqua" w:cs="Times New Roman"/>
          <w:noProof w:val="0"/>
          <w:sz w:val="26"/>
          <w:szCs w:val="26"/>
        </w:rPr>
        <w:t xml:space="preserve">avec </w:t>
      </w:r>
      <w:r>
        <w:rPr>
          <w:rFonts w:ascii="Book Antiqua" w:hAnsi="Book Antiqua" w:cs="Times New Roman"/>
          <w:noProof w:val="0"/>
          <w:sz w:val="26"/>
          <w:szCs w:val="26"/>
        </w:rPr>
        <w:t>42</w:t>
      </w:r>
      <w:r w:rsidRPr="00EF78C8">
        <w:rPr>
          <w:rFonts w:ascii="Book Antiqua" w:hAnsi="Book Antiqua" w:cs="Times New Roman"/>
          <w:noProof w:val="0"/>
          <w:sz w:val="26"/>
          <w:szCs w:val="26"/>
        </w:rPr>
        <w:t>,7%</w:t>
      </w:r>
      <w:r>
        <w:rPr>
          <w:rFonts w:ascii="Book Antiqua" w:hAnsi="Book Antiqua" w:cs="Times New Roman"/>
          <w:noProof w:val="0"/>
          <w:sz w:val="26"/>
          <w:szCs w:val="26"/>
        </w:rPr>
        <w:t xml:space="preserve">, de </w:t>
      </w:r>
      <w:r w:rsidRPr="008E381E">
        <w:rPr>
          <w:rFonts w:ascii="Book Antiqua" w:hAnsi="Book Antiqua" w:cs="Times New Roman"/>
          <w:noProof w:val="0"/>
          <w:sz w:val="26"/>
          <w:szCs w:val="26"/>
        </w:rPr>
        <w:t>l’Oriental (</w:t>
      </w:r>
      <w:r>
        <w:rPr>
          <w:rFonts w:ascii="Book Antiqua" w:hAnsi="Book Antiqua" w:cs="Times New Roman"/>
          <w:noProof w:val="0"/>
          <w:sz w:val="26"/>
          <w:szCs w:val="26"/>
        </w:rPr>
        <w:t>42,8</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et de Souss-Massa (43%).</w:t>
      </w:r>
    </w:p>
    <w:p w:rsidR="007A1B29" w:rsidRDefault="007A1B29" w:rsidP="007A1B29">
      <w:pPr>
        <w:autoSpaceDE w:val="0"/>
        <w:autoSpaceDN w:val="0"/>
        <w:bidi w:val="0"/>
        <w:adjustRightInd w:val="0"/>
        <w:jc w:val="center"/>
        <w:rPr>
          <w:rFonts w:ascii="Book Antiqua" w:hAnsi="Book Antiqua" w:cs="Times New Roman"/>
          <w:b/>
          <w:bCs/>
          <w:noProof w:val="0"/>
          <w:sz w:val="24"/>
          <w:szCs w:val="24"/>
        </w:rPr>
      </w:pPr>
      <w:r w:rsidRPr="00E94782">
        <w:rPr>
          <w:rFonts w:ascii="Book Antiqua" w:hAnsi="Book Antiqua" w:cs="Times New Roman"/>
          <w:b/>
          <w:bCs/>
          <w:noProof w:val="0"/>
          <w:sz w:val="24"/>
          <w:szCs w:val="24"/>
        </w:rPr>
        <w:t xml:space="preserve">Figure </w:t>
      </w:r>
      <w:r>
        <w:rPr>
          <w:rFonts w:ascii="Book Antiqua" w:hAnsi="Book Antiqua" w:cs="Times New Roman"/>
          <w:b/>
          <w:bCs/>
          <w:noProof w:val="0"/>
          <w:sz w:val="24"/>
          <w:szCs w:val="24"/>
        </w:rPr>
        <w:t>5</w:t>
      </w:r>
      <w:r w:rsidRPr="00E94782">
        <w:rPr>
          <w:rFonts w:ascii="Book Antiqua" w:hAnsi="Book Antiqua" w:cs="Times New Roman"/>
          <w:b/>
          <w:bCs/>
          <w:noProof w:val="0"/>
          <w:sz w:val="24"/>
          <w:szCs w:val="24"/>
        </w:rPr>
        <w:t xml:space="preserve"> : Taux d’activité selon les régions </w:t>
      </w:r>
      <w:r>
        <w:rPr>
          <w:rFonts w:ascii="Book Antiqua" w:hAnsi="Book Antiqua" w:cs="Times New Roman"/>
          <w:b/>
          <w:bCs/>
          <w:noProof w:val="0"/>
          <w:sz w:val="24"/>
          <w:szCs w:val="24"/>
        </w:rPr>
        <w:t>au premier trimestre de 2020</w:t>
      </w:r>
      <w:r w:rsidRPr="00E94782">
        <w:rPr>
          <w:rFonts w:ascii="Book Antiqua" w:hAnsi="Book Antiqua" w:cs="Times New Roman"/>
          <w:b/>
          <w:bCs/>
          <w:noProof w:val="0"/>
          <w:sz w:val="24"/>
          <w:szCs w:val="24"/>
        </w:rPr>
        <w:t xml:space="preserve"> (en%)</w:t>
      </w:r>
    </w:p>
    <w:p w:rsidR="007A1B29" w:rsidRPr="006916D1" w:rsidRDefault="001A7BD9" w:rsidP="007A1B29">
      <w:pPr>
        <w:autoSpaceDE w:val="0"/>
        <w:autoSpaceDN w:val="0"/>
        <w:bidi w:val="0"/>
        <w:adjustRightInd w:val="0"/>
        <w:jc w:val="center"/>
        <w:rPr>
          <w:rFonts w:ascii="Book Antiqua" w:hAnsi="Book Antiqua" w:cs="Times New Roman"/>
          <w:b/>
          <w:bCs/>
          <w:noProof w:val="0"/>
          <w:sz w:val="8"/>
          <w:szCs w:val="8"/>
        </w:rPr>
      </w:pPr>
      <w:r>
        <w:rPr>
          <w:rFonts w:ascii="Book Antiqua" w:hAnsi="Book Antiqua" w:cs="Times New Roman"/>
          <w:b/>
          <w:bCs/>
          <w:sz w:val="8"/>
          <w:szCs w:val="8"/>
        </w:rPr>
        <w:drawing>
          <wp:anchor distT="0" distB="0" distL="114300" distR="114300" simplePos="0" relativeHeight="251662336" behindDoc="1" locked="0" layoutInCell="1" allowOverlap="1">
            <wp:simplePos x="0" y="0"/>
            <wp:positionH relativeFrom="column">
              <wp:posOffset>132080</wp:posOffset>
            </wp:positionH>
            <wp:positionV relativeFrom="paragraph">
              <wp:posOffset>69850</wp:posOffset>
            </wp:positionV>
            <wp:extent cx="5895975" cy="2800350"/>
            <wp:effectExtent l="0" t="0" r="0" b="0"/>
            <wp:wrapTight wrapText="bothSides">
              <wp:wrapPolygon edited="0">
                <wp:start x="11725" y="1176"/>
                <wp:lineTo x="3559" y="1763"/>
                <wp:lineTo x="3559" y="2645"/>
                <wp:lineTo x="10748" y="3527"/>
                <wp:lineTo x="8375" y="4555"/>
                <wp:lineTo x="8375" y="5143"/>
                <wp:lineTo x="10120" y="5878"/>
                <wp:lineTo x="5164" y="5878"/>
                <wp:lineTo x="5164" y="6759"/>
                <wp:lineTo x="10748" y="8229"/>
                <wp:lineTo x="10748" y="10580"/>
                <wp:lineTo x="4187" y="11902"/>
                <wp:lineTo x="3280" y="12196"/>
                <wp:lineTo x="3280" y="12931"/>
                <wp:lineTo x="0" y="19984"/>
                <wp:lineTo x="209" y="20278"/>
                <wp:lineTo x="279" y="20278"/>
                <wp:lineTo x="558" y="20278"/>
                <wp:lineTo x="2443" y="19984"/>
                <wp:lineTo x="8305" y="18220"/>
                <wp:lineTo x="8305" y="17633"/>
                <wp:lineTo x="13330" y="17633"/>
                <wp:lineTo x="17517" y="16604"/>
                <wp:lineTo x="17447" y="15282"/>
                <wp:lineTo x="17936" y="15282"/>
                <wp:lineTo x="20239" y="13371"/>
                <wp:lineTo x="20448" y="12049"/>
                <wp:lineTo x="19053" y="11755"/>
                <wp:lineTo x="10678" y="10580"/>
                <wp:lineTo x="10748" y="8229"/>
                <wp:lineTo x="12772" y="8229"/>
                <wp:lineTo x="17587" y="6612"/>
                <wp:lineTo x="17517" y="5878"/>
                <wp:lineTo x="20937" y="4849"/>
                <wp:lineTo x="20728" y="3673"/>
                <wp:lineTo x="14237" y="3380"/>
                <wp:lineTo x="14377" y="2498"/>
                <wp:lineTo x="12772" y="1176"/>
                <wp:lineTo x="11725" y="1176"/>
              </wp:wrapPolygon>
            </wp:wrapTight>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A1B29" w:rsidRPr="00EA2710" w:rsidRDefault="007A1B29" w:rsidP="007A1B29">
      <w:pPr>
        <w:autoSpaceDE w:val="0"/>
        <w:autoSpaceDN w:val="0"/>
        <w:bidi w:val="0"/>
        <w:adjustRightInd w:val="0"/>
        <w:jc w:val="center"/>
        <w:rPr>
          <w:sz w:val="8"/>
          <w:szCs w:val="8"/>
        </w:rPr>
      </w:pPr>
    </w:p>
    <w:p w:rsidR="007A1B29" w:rsidRPr="006A44B7" w:rsidRDefault="007A1B29" w:rsidP="007A1B29">
      <w:pPr>
        <w:jc w:val="right"/>
        <w:rPr>
          <w:sz w:val="16"/>
          <w:szCs w:val="16"/>
        </w:rPr>
      </w:pPr>
      <w:r>
        <w:rPr>
          <w:sz w:val="16"/>
          <w:szCs w:val="16"/>
        </w:rPr>
        <w:t xml:space="preserve"> </w:t>
      </w: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7A1B29" w:rsidRDefault="007A1B29" w:rsidP="007A1B29">
      <w:pPr>
        <w:bidi w:val="0"/>
        <w:ind w:left="116" w:right="76"/>
        <w:jc w:val="both"/>
        <w:rPr>
          <w:rFonts w:ascii="Book Antiqua" w:hAnsi="Book Antiqua" w:cs="Times New Roman"/>
          <w:noProof w:val="0"/>
          <w:sz w:val="26"/>
          <w:szCs w:val="26"/>
        </w:rPr>
      </w:pPr>
    </w:p>
    <w:p w:rsidR="00AA7937" w:rsidRDefault="00AA7937" w:rsidP="001A7BD9">
      <w:pPr>
        <w:bidi w:val="0"/>
        <w:ind w:left="116" w:right="76"/>
        <w:jc w:val="both"/>
        <w:rPr>
          <w:rFonts w:ascii="Book Antiqua" w:hAnsi="Book Antiqua" w:cs="Times New Roman"/>
          <w:noProof w:val="0"/>
          <w:sz w:val="26"/>
          <w:szCs w:val="26"/>
        </w:rPr>
      </w:pPr>
    </w:p>
    <w:p w:rsidR="00AA7937" w:rsidRDefault="00AA7937" w:rsidP="00AA7937">
      <w:pPr>
        <w:bidi w:val="0"/>
        <w:ind w:left="116" w:right="76"/>
        <w:jc w:val="both"/>
        <w:rPr>
          <w:rFonts w:ascii="Book Antiqua" w:hAnsi="Book Antiqua" w:cs="Times New Roman"/>
          <w:noProof w:val="0"/>
          <w:sz w:val="26"/>
          <w:szCs w:val="26"/>
        </w:rPr>
      </w:pPr>
    </w:p>
    <w:p w:rsidR="00AA7937" w:rsidRDefault="00AA7937" w:rsidP="00AA7937">
      <w:pPr>
        <w:bidi w:val="0"/>
        <w:ind w:left="116" w:right="76"/>
        <w:jc w:val="both"/>
        <w:rPr>
          <w:rFonts w:ascii="Book Antiqua" w:hAnsi="Book Antiqua" w:cs="Times New Roman"/>
          <w:noProof w:val="0"/>
          <w:sz w:val="26"/>
          <w:szCs w:val="26"/>
        </w:rPr>
      </w:pPr>
    </w:p>
    <w:p w:rsidR="00AA7937" w:rsidRDefault="00AA7937" w:rsidP="00AA7937">
      <w:pPr>
        <w:bidi w:val="0"/>
        <w:ind w:left="116" w:right="76"/>
        <w:jc w:val="both"/>
        <w:rPr>
          <w:rFonts w:ascii="Book Antiqua" w:hAnsi="Book Antiqua" w:cs="Times New Roman"/>
          <w:noProof w:val="0"/>
          <w:sz w:val="26"/>
          <w:szCs w:val="26"/>
        </w:rPr>
      </w:pPr>
    </w:p>
    <w:p w:rsidR="00AA7937" w:rsidRDefault="00AA7937" w:rsidP="00AA7937">
      <w:pPr>
        <w:bidi w:val="0"/>
        <w:ind w:left="116" w:right="76"/>
        <w:jc w:val="both"/>
        <w:rPr>
          <w:rFonts w:ascii="Book Antiqua" w:hAnsi="Book Antiqua" w:cs="Times New Roman"/>
          <w:noProof w:val="0"/>
          <w:sz w:val="26"/>
          <w:szCs w:val="26"/>
        </w:rPr>
      </w:pPr>
    </w:p>
    <w:p w:rsidR="007A1B29" w:rsidRPr="008E381E" w:rsidRDefault="005B63D5" w:rsidP="00215B05">
      <w:pPr>
        <w:bidi w:val="0"/>
        <w:ind w:left="116" w:right="76"/>
        <w:jc w:val="both"/>
        <w:rPr>
          <w:rFonts w:ascii="Book Antiqua" w:hAnsi="Book Antiqua" w:cs="Times New Roman"/>
          <w:noProof w:val="0"/>
          <w:sz w:val="26"/>
          <w:szCs w:val="26"/>
        </w:rPr>
      </w:pPr>
      <w:r>
        <w:rPr>
          <w:rFonts w:ascii="Book Antiqua" w:hAnsi="Book Antiqua" w:cs="Times New Roman"/>
          <w:noProof w:val="0"/>
          <w:sz w:val="26"/>
          <w:szCs w:val="26"/>
        </w:rPr>
        <w:t xml:space="preserve">Près </w:t>
      </w:r>
      <w:r w:rsidR="007A1B29" w:rsidRPr="00AC20FA">
        <w:rPr>
          <w:rFonts w:ascii="Book Antiqua" w:hAnsi="Book Antiqua" w:cs="Times New Roman"/>
          <w:noProof w:val="0"/>
          <w:sz w:val="26"/>
          <w:szCs w:val="26"/>
        </w:rPr>
        <w:t>de</w:t>
      </w:r>
      <w:r>
        <w:rPr>
          <w:rFonts w:ascii="Book Antiqua" w:hAnsi="Book Antiqua" w:cs="Times New Roman"/>
          <w:noProof w:val="0"/>
          <w:sz w:val="26"/>
          <w:szCs w:val="26"/>
        </w:rPr>
        <w:t>s</w:t>
      </w:r>
      <w:r w:rsidR="007A1B29" w:rsidRPr="00AC20FA">
        <w:rPr>
          <w:rFonts w:ascii="Book Antiqua" w:hAnsi="Book Antiqua" w:cs="Times New Roman"/>
          <w:noProof w:val="0"/>
          <w:sz w:val="26"/>
          <w:szCs w:val="26"/>
        </w:rPr>
        <w:t xml:space="preserve"> trois quarts des chômeurs (75,3%) sont concentrés dans cinq régions; Casablanca-Settat vient en  première  position  avec 26,6% de chômeurs, suivie de Rabat-Salé-Kénitra (14,9%), </w:t>
      </w:r>
      <w:r>
        <w:rPr>
          <w:rFonts w:ascii="Book Antiqua" w:hAnsi="Book Antiqua" w:cs="Times New Roman"/>
          <w:noProof w:val="0"/>
          <w:sz w:val="26"/>
          <w:szCs w:val="26"/>
        </w:rPr>
        <w:t xml:space="preserve">de </w:t>
      </w:r>
      <w:r w:rsidR="007A1B29" w:rsidRPr="00AC20FA">
        <w:rPr>
          <w:rFonts w:ascii="Book Antiqua" w:hAnsi="Book Antiqua" w:cs="Times New Roman"/>
          <w:noProof w:val="0"/>
          <w:sz w:val="26"/>
          <w:szCs w:val="26"/>
        </w:rPr>
        <w:t xml:space="preserve">Fès-Meknès (12,8%), </w:t>
      </w:r>
      <w:r>
        <w:rPr>
          <w:rFonts w:ascii="Book Antiqua" w:hAnsi="Book Antiqua" w:cs="Times New Roman"/>
          <w:noProof w:val="0"/>
          <w:sz w:val="26"/>
          <w:szCs w:val="26"/>
        </w:rPr>
        <w:t xml:space="preserve">de </w:t>
      </w:r>
      <w:r w:rsidR="007A1B29" w:rsidRPr="00AC20FA">
        <w:rPr>
          <w:rFonts w:ascii="Book Antiqua" w:hAnsi="Book Antiqua" w:cs="Times New Roman"/>
          <w:noProof w:val="0"/>
          <w:sz w:val="26"/>
          <w:szCs w:val="26"/>
        </w:rPr>
        <w:t xml:space="preserve">l’Oriental (11,6%) et </w:t>
      </w:r>
      <w:r>
        <w:rPr>
          <w:rFonts w:ascii="Book Antiqua" w:hAnsi="Book Antiqua" w:cs="Times New Roman"/>
          <w:noProof w:val="0"/>
          <w:sz w:val="26"/>
          <w:szCs w:val="26"/>
        </w:rPr>
        <w:t xml:space="preserve">de </w:t>
      </w:r>
      <w:r w:rsidR="007A1B29" w:rsidRPr="00B7764E">
        <w:rPr>
          <w:rFonts w:ascii="Book Antiqua" w:hAnsi="Book Antiqua" w:cs="Times New Roman"/>
          <w:noProof w:val="0"/>
          <w:sz w:val="26"/>
          <w:szCs w:val="26"/>
        </w:rPr>
        <w:t>Tanger-Tétouan-Al Hoceima</w:t>
      </w:r>
      <w:r w:rsidR="007A1B29">
        <w:rPr>
          <w:rFonts w:ascii="Book Antiqua" w:hAnsi="Book Antiqua" w:cs="Times New Roman"/>
          <w:noProof w:val="0"/>
          <w:sz w:val="26"/>
          <w:szCs w:val="26"/>
        </w:rPr>
        <w:t xml:space="preserve"> </w:t>
      </w:r>
      <w:r w:rsidR="007A1B29" w:rsidRPr="00AC20FA">
        <w:rPr>
          <w:rFonts w:ascii="Book Antiqua" w:hAnsi="Book Antiqua" w:cs="Times New Roman"/>
          <w:noProof w:val="0"/>
          <w:sz w:val="26"/>
          <w:szCs w:val="26"/>
        </w:rPr>
        <w:t>(9,5%).</w:t>
      </w:r>
    </w:p>
    <w:p w:rsidR="007A1B29" w:rsidRPr="00E6510E" w:rsidRDefault="007A1B29" w:rsidP="007A1B29">
      <w:pPr>
        <w:bidi w:val="0"/>
        <w:ind w:left="116" w:right="76"/>
        <w:jc w:val="both"/>
        <w:rPr>
          <w:rFonts w:ascii="Book Antiqua" w:hAnsi="Book Antiqua" w:cs="Times New Roman"/>
          <w:noProof w:val="0"/>
          <w:sz w:val="8"/>
          <w:szCs w:val="8"/>
        </w:rPr>
      </w:pPr>
    </w:p>
    <w:p w:rsidR="00AA7937" w:rsidRDefault="00AA7937">
      <w:pPr>
        <w:bidi w:val="0"/>
        <w:rPr>
          <w:rFonts w:ascii="Book Antiqua" w:hAnsi="Book Antiqua" w:cs="Times New Roman"/>
          <w:noProof w:val="0"/>
          <w:sz w:val="26"/>
          <w:szCs w:val="26"/>
        </w:rPr>
      </w:pPr>
      <w:r>
        <w:rPr>
          <w:rFonts w:ascii="Book Antiqua" w:hAnsi="Book Antiqua" w:cs="Times New Roman"/>
          <w:noProof w:val="0"/>
          <w:sz w:val="26"/>
          <w:szCs w:val="26"/>
        </w:rPr>
        <w:br w:type="page"/>
      </w:r>
    </w:p>
    <w:p w:rsidR="007A1B29" w:rsidRPr="008E381E" w:rsidRDefault="007A1B29" w:rsidP="005B63D5">
      <w:pPr>
        <w:bidi w:val="0"/>
        <w:ind w:left="116" w:right="76"/>
        <w:jc w:val="both"/>
        <w:rPr>
          <w:rFonts w:ascii="Book Antiqua" w:hAnsi="Book Antiqua" w:cs="Times New Roman"/>
          <w:noProof w:val="0"/>
          <w:sz w:val="26"/>
          <w:szCs w:val="26"/>
        </w:rPr>
      </w:pPr>
      <w:r w:rsidRPr="008E381E">
        <w:rPr>
          <w:rFonts w:ascii="Book Antiqua" w:hAnsi="Book Antiqua" w:cs="Times New Roman"/>
          <w:noProof w:val="0"/>
          <w:sz w:val="26"/>
          <w:szCs w:val="26"/>
        </w:rPr>
        <w:lastRenderedPageBreak/>
        <w:t xml:space="preserve">Les </w:t>
      </w:r>
      <w:r>
        <w:rPr>
          <w:rFonts w:ascii="Book Antiqua" w:hAnsi="Book Antiqua" w:cs="Times New Roman"/>
          <w:noProof w:val="0"/>
          <w:sz w:val="26"/>
          <w:szCs w:val="26"/>
        </w:rPr>
        <w:t>taux</w:t>
      </w:r>
      <w:r w:rsidRPr="008E381E">
        <w:rPr>
          <w:rFonts w:ascii="Book Antiqua" w:hAnsi="Book Antiqua" w:cs="Times New Roman"/>
          <w:noProof w:val="0"/>
          <w:sz w:val="26"/>
          <w:szCs w:val="26"/>
        </w:rPr>
        <w:t xml:space="preserve"> de chômage les plus élevés sont observés dans l</w:t>
      </w:r>
      <w:r w:rsidR="005B63D5">
        <w:rPr>
          <w:rFonts w:ascii="Book Antiqua" w:hAnsi="Book Antiqua" w:cs="Times New Roman"/>
          <w:noProof w:val="0"/>
          <w:sz w:val="26"/>
          <w:szCs w:val="26"/>
        </w:rPr>
        <w:t xml:space="preserve">a </w:t>
      </w:r>
      <w:r w:rsidRPr="008E381E">
        <w:rPr>
          <w:rFonts w:ascii="Book Antiqua" w:hAnsi="Book Antiqua" w:cs="Times New Roman"/>
          <w:noProof w:val="0"/>
          <w:sz w:val="26"/>
          <w:szCs w:val="26"/>
        </w:rPr>
        <w:t>région de l’Oriental (</w:t>
      </w:r>
      <w:r>
        <w:rPr>
          <w:rFonts w:ascii="Book Antiqua" w:hAnsi="Book Antiqua" w:cs="Times New Roman"/>
          <w:noProof w:val="0"/>
          <w:sz w:val="26"/>
          <w:szCs w:val="26"/>
        </w:rPr>
        <w:t>18,8</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et </w:t>
      </w:r>
      <w:r w:rsidR="005B63D5">
        <w:rPr>
          <w:rFonts w:ascii="Book Antiqua" w:hAnsi="Book Antiqua" w:cs="Times New Roman"/>
          <w:noProof w:val="0"/>
          <w:sz w:val="26"/>
          <w:szCs w:val="26"/>
        </w:rPr>
        <w:t xml:space="preserve">des régions </w:t>
      </w:r>
      <w:r>
        <w:rPr>
          <w:rFonts w:ascii="Book Antiqua" w:hAnsi="Book Antiqua" w:cs="Times New Roman"/>
          <w:noProof w:val="0"/>
          <w:sz w:val="26"/>
          <w:szCs w:val="26"/>
        </w:rPr>
        <w:t xml:space="preserve">du Sud (16,7%). Avec moins d’acuité, trois autres </w:t>
      </w:r>
      <w:r w:rsidRPr="008E381E">
        <w:rPr>
          <w:rFonts w:ascii="Book Antiqua" w:hAnsi="Book Antiqua" w:cs="Times New Roman"/>
          <w:noProof w:val="0"/>
          <w:sz w:val="26"/>
          <w:szCs w:val="26"/>
        </w:rPr>
        <w:t xml:space="preserve">régions </w:t>
      </w:r>
      <w:r>
        <w:rPr>
          <w:rFonts w:ascii="Book Antiqua" w:hAnsi="Book Antiqua" w:cs="Times New Roman"/>
          <w:noProof w:val="0"/>
          <w:sz w:val="26"/>
          <w:szCs w:val="26"/>
        </w:rPr>
        <w:t xml:space="preserve">dépassent la moyenne nationale (10,5%) </w:t>
      </w:r>
      <w:r w:rsidRPr="008E381E">
        <w:rPr>
          <w:rFonts w:ascii="Book Antiqua" w:hAnsi="Book Antiqua" w:cs="Times New Roman"/>
          <w:noProof w:val="0"/>
          <w:sz w:val="26"/>
          <w:szCs w:val="26"/>
        </w:rPr>
        <w:t>à savoir</w:t>
      </w:r>
      <w:r>
        <w:rPr>
          <w:rFonts w:ascii="Book Antiqua" w:hAnsi="Book Antiqua" w:cs="Times New Roman"/>
          <w:noProof w:val="0"/>
          <w:sz w:val="26"/>
          <w:szCs w:val="26"/>
        </w:rPr>
        <w:t xml:space="preserve"> </w:t>
      </w:r>
      <w:r w:rsidRPr="008E381E">
        <w:rPr>
          <w:rFonts w:ascii="Book Antiqua" w:hAnsi="Book Antiqua" w:cs="Times New Roman"/>
          <w:noProof w:val="0"/>
          <w:sz w:val="26"/>
          <w:szCs w:val="26"/>
        </w:rPr>
        <w:t>Casablanca-Settat (</w:t>
      </w:r>
      <w:r>
        <w:rPr>
          <w:rFonts w:ascii="Book Antiqua" w:hAnsi="Book Antiqua" w:cs="Times New Roman"/>
          <w:noProof w:val="0"/>
          <w:sz w:val="26"/>
          <w:szCs w:val="26"/>
        </w:rPr>
        <w:t>12,4</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w:t>
      </w:r>
      <w:r w:rsidRPr="006062B9">
        <w:rPr>
          <w:rFonts w:ascii="Book Antiqua" w:hAnsi="Book Antiqua" w:cs="Times New Roman"/>
          <w:noProof w:val="0"/>
          <w:sz w:val="26"/>
          <w:szCs w:val="26"/>
        </w:rPr>
        <w:t>Fès-Meknès (11,</w:t>
      </w:r>
      <w:r>
        <w:rPr>
          <w:rFonts w:ascii="Book Antiqua" w:hAnsi="Book Antiqua" w:cs="Times New Roman"/>
          <w:noProof w:val="0"/>
          <w:sz w:val="26"/>
          <w:szCs w:val="26"/>
        </w:rPr>
        <w:t>8</w:t>
      </w:r>
      <w:r w:rsidRPr="006062B9">
        <w:rPr>
          <w:rFonts w:ascii="Book Antiqua" w:hAnsi="Book Antiqua" w:cs="Times New Roman"/>
          <w:noProof w:val="0"/>
          <w:sz w:val="26"/>
          <w:szCs w:val="26"/>
        </w:rPr>
        <w:t>%)</w:t>
      </w:r>
      <w:r>
        <w:rPr>
          <w:rFonts w:ascii="Book Antiqua" w:hAnsi="Book Antiqua" w:cs="Times New Roman"/>
          <w:noProof w:val="0"/>
          <w:sz w:val="26"/>
          <w:szCs w:val="26"/>
        </w:rPr>
        <w:t xml:space="preserve"> et </w:t>
      </w:r>
      <w:r w:rsidRPr="00AC07DF">
        <w:rPr>
          <w:rFonts w:ascii="Book Antiqua" w:hAnsi="Book Antiqua" w:cs="Times New Roman"/>
          <w:noProof w:val="0"/>
          <w:sz w:val="26"/>
          <w:szCs w:val="26"/>
        </w:rPr>
        <w:t>Rabat-Salé-Kénitra</w:t>
      </w:r>
      <w:r w:rsidRPr="008E381E">
        <w:rPr>
          <w:rFonts w:ascii="Book Antiqua" w:hAnsi="Book Antiqua" w:cs="Times New Roman"/>
          <w:noProof w:val="0"/>
          <w:sz w:val="26"/>
          <w:szCs w:val="26"/>
        </w:rPr>
        <w:t xml:space="preserve"> (</w:t>
      </w:r>
      <w:r>
        <w:rPr>
          <w:rFonts w:ascii="Book Antiqua" w:hAnsi="Book Antiqua" w:cs="Times New Roman"/>
          <w:noProof w:val="0"/>
          <w:sz w:val="26"/>
          <w:szCs w:val="26"/>
        </w:rPr>
        <w:t>11,8</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w:t>
      </w:r>
      <w:r w:rsidRPr="008E381E">
        <w:rPr>
          <w:rFonts w:ascii="Book Antiqua" w:hAnsi="Book Antiqua" w:cs="Times New Roman"/>
          <w:noProof w:val="0"/>
          <w:sz w:val="26"/>
          <w:szCs w:val="26"/>
        </w:rPr>
        <w:t xml:space="preserve">En revanche, </w:t>
      </w:r>
      <w:r>
        <w:rPr>
          <w:rFonts w:ascii="Book Antiqua" w:hAnsi="Book Antiqua" w:cs="Times New Roman"/>
          <w:noProof w:val="0"/>
          <w:sz w:val="26"/>
          <w:szCs w:val="26"/>
        </w:rPr>
        <w:t xml:space="preserve">les </w:t>
      </w:r>
      <w:r w:rsidRPr="008E381E">
        <w:rPr>
          <w:rFonts w:ascii="Book Antiqua" w:hAnsi="Book Antiqua" w:cs="Times New Roman"/>
          <w:noProof w:val="0"/>
          <w:sz w:val="26"/>
          <w:szCs w:val="26"/>
        </w:rPr>
        <w:t>région</w:t>
      </w:r>
      <w:r>
        <w:rPr>
          <w:rFonts w:ascii="Book Antiqua" w:hAnsi="Book Antiqua" w:cs="Times New Roman"/>
          <w:noProof w:val="0"/>
          <w:sz w:val="26"/>
          <w:szCs w:val="26"/>
        </w:rPr>
        <w:t>s</w:t>
      </w:r>
      <w:r w:rsidRPr="008E381E">
        <w:rPr>
          <w:rFonts w:ascii="Book Antiqua" w:hAnsi="Book Antiqua" w:cs="Times New Roman"/>
          <w:noProof w:val="0"/>
          <w:sz w:val="26"/>
          <w:szCs w:val="26"/>
        </w:rPr>
        <w:t xml:space="preserve"> de </w:t>
      </w:r>
      <w:r w:rsidRPr="006062B9">
        <w:rPr>
          <w:rFonts w:ascii="Book Antiqua" w:hAnsi="Book Antiqua" w:cs="Times New Roman"/>
          <w:noProof w:val="0"/>
          <w:sz w:val="26"/>
          <w:szCs w:val="26"/>
        </w:rPr>
        <w:t>Marrakech-Safi</w:t>
      </w:r>
      <w:r>
        <w:rPr>
          <w:rFonts w:ascii="Book Antiqua" w:hAnsi="Book Antiqua" w:cs="Times New Roman"/>
          <w:noProof w:val="0"/>
          <w:sz w:val="26"/>
          <w:szCs w:val="26"/>
        </w:rPr>
        <w:t xml:space="preserve">, </w:t>
      </w:r>
      <w:r w:rsidRPr="008E381E">
        <w:rPr>
          <w:rFonts w:ascii="Book Antiqua" w:hAnsi="Book Antiqua" w:cs="Times New Roman"/>
          <w:noProof w:val="0"/>
          <w:sz w:val="26"/>
          <w:szCs w:val="26"/>
        </w:rPr>
        <w:t>de Béni Mellal- Khénifra</w:t>
      </w:r>
      <w:r>
        <w:rPr>
          <w:rFonts w:ascii="Book Antiqua" w:hAnsi="Book Antiqua" w:cs="Times New Roman"/>
          <w:noProof w:val="0"/>
          <w:sz w:val="26"/>
          <w:szCs w:val="26"/>
        </w:rPr>
        <w:t xml:space="preserve"> et de </w:t>
      </w:r>
      <w:r w:rsidRPr="008E381E">
        <w:rPr>
          <w:rFonts w:ascii="Book Antiqua" w:hAnsi="Book Antiqua" w:cs="Times New Roman"/>
          <w:noProof w:val="0"/>
          <w:sz w:val="26"/>
          <w:szCs w:val="26"/>
        </w:rPr>
        <w:t>Drâa-Tafilalet</w:t>
      </w:r>
      <w:r>
        <w:rPr>
          <w:rFonts w:ascii="Book Antiqua" w:hAnsi="Book Antiqua" w:cs="Times New Roman"/>
          <w:noProof w:val="0"/>
          <w:sz w:val="26"/>
          <w:szCs w:val="26"/>
        </w:rPr>
        <w:t xml:space="preserve"> enregistrent les taux les plus bas avec respectivement 5,4%, 6% et 6,5%</w:t>
      </w:r>
      <w:r w:rsidRPr="008E381E">
        <w:rPr>
          <w:rFonts w:ascii="Book Antiqua" w:hAnsi="Book Antiqua" w:cs="Times New Roman"/>
          <w:noProof w:val="0"/>
          <w:sz w:val="26"/>
          <w:szCs w:val="26"/>
        </w:rPr>
        <w:t xml:space="preserve">. </w:t>
      </w:r>
    </w:p>
    <w:p w:rsidR="007A1B29" w:rsidRDefault="007A1B29" w:rsidP="007A1B29">
      <w:pPr>
        <w:bidi w:val="0"/>
        <w:ind w:left="116" w:right="76"/>
        <w:jc w:val="both"/>
        <w:rPr>
          <w:rFonts w:ascii="Book Antiqua" w:hAnsi="Book Antiqua" w:cs="Times New Roman"/>
          <w:noProof w:val="0"/>
          <w:sz w:val="26"/>
          <w:szCs w:val="26"/>
        </w:rPr>
      </w:pPr>
    </w:p>
    <w:p w:rsidR="007A1B29" w:rsidRPr="00406922" w:rsidRDefault="007A1B29" w:rsidP="007A1B29">
      <w:pPr>
        <w:autoSpaceDE w:val="0"/>
        <w:autoSpaceDN w:val="0"/>
        <w:bidi w:val="0"/>
        <w:adjustRightInd w:val="0"/>
        <w:jc w:val="center"/>
        <w:rPr>
          <w:rFonts w:ascii="Book Antiqua" w:hAnsi="Book Antiqua" w:cs="Times New Roman"/>
          <w:b/>
          <w:bCs/>
          <w:noProof w:val="0"/>
          <w:sz w:val="12"/>
          <w:szCs w:val="12"/>
        </w:rPr>
      </w:pPr>
    </w:p>
    <w:p w:rsidR="007A1B29" w:rsidRDefault="007A1B29" w:rsidP="007A1B29">
      <w:pPr>
        <w:autoSpaceDE w:val="0"/>
        <w:autoSpaceDN w:val="0"/>
        <w:bidi w:val="0"/>
        <w:adjustRightInd w:val="0"/>
        <w:jc w:val="center"/>
        <w:rPr>
          <w:rFonts w:ascii="Book Antiqua" w:hAnsi="Book Antiqua" w:cs="Times New Roman"/>
          <w:b/>
          <w:bCs/>
          <w:noProof w:val="0"/>
          <w:sz w:val="24"/>
          <w:szCs w:val="24"/>
        </w:rPr>
      </w:pPr>
      <w:r w:rsidRPr="00E94782">
        <w:rPr>
          <w:rFonts w:ascii="Book Antiqua" w:hAnsi="Book Antiqua" w:cs="Times New Roman"/>
          <w:b/>
          <w:bCs/>
          <w:noProof w:val="0"/>
          <w:sz w:val="24"/>
          <w:szCs w:val="24"/>
        </w:rPr>
        <w:t xml:space="preserve">Figure </w:t>
      </w:r>
      <w:r>
        <w:rPr>
          <w:rFonts w:ascii="Book Antiqua" w:hAnsi="Book Antiqua" w:cs="Times New Roman"/>
          <w:b/>
          <w:bCs/>
          <w:noProof w:val="0"/>
          <w:sz w:val="24"/>
          <w:szCs w:val="24"/>
        </w:rPr>
        <w:t>6</w:t>
      </w:r>
      <w:r w:rsidRPr="00E94782">
        <w:rPr>
          <w:rFonts w:ascii="Book Antiqua" w:hAnsi="Book Antiqua" w:cs="Times New Roman"/>
          <w:b/>
          <w:bCs/>
          <w:noProof w:val="0"/>
          <w:sz w:val="24"/>
          <w:szCs w:val="24"/>
        </w:rPr>
        <w:t xml:space="preserve"> : Taux de chômage selon les régions </w:t>
      </w:r>
      <w:r>
        <w:rPr>
          <w:rFonts w:ascii="Book Antiqua" w:hAnsi="Book Antiqua" w:cs="Times New Roman"/>
          <w:b/>
          <w:bCs/>
          <w:noProof w:val="0"/>
          <w:sz w:val="24"/>
          <w:szCs w:val="24"/>
        </w:rPr>
        <w:t>au premier trimestre de 2020</w:t>
      </w:r>
      <w:r w:rsidRPr="00E94782">
        <w:rPr>
          <w:rFonts w:ascii="Book Antiqua" w:hAnsi="Book Antiqua" w:cs="Times New Roman"/>
          <w:b/>
          <w:bCs/>
          <w:noProof w:val="0"/>
          <w:sz w:val="24"/>
          <w:szCs w:val="24"/>
        </w:rPr>
        <w:t xml:space="preserve"> (en%)</w:t>
      </w:r>
    </w:p>
    <w:p w:rsidR="00AA7937" w:rsidRDefault="00AA7937" w:rsidP="00AA7937">
      <w:pPr>
        <w:autoSpaceDE w:val="0"/>
        <w:autoSpaceDN w:val="0"/>
        <w:bidi w:val="0"/>
        <w:adjustRightInd w:val="0"/>
        <w:jc w:val="center"/>
        <w:rPr>
          <w:rFonts w:ascii="Book Antiqua" w:hAnsi="Book Antiqua" w:cs="Times New Roman"/>
          <w:b/>
          <w:bCs/>
          <w:noProof w:val="0"/>
          <w:sz w:val="24"/>
          <w:szCs w:val="24"/>
        </w:rPr>
      </w:pPr>
    </w:p>
    <w:p w:rsidR="007A1B29" w:rsidRPr="006448E0" w:rsidRDefault="007A1B29" w:rsidP="007A1B29">
      <w:pPr>
        <w:bidi w:val="0"/>
        <w:ind w:left="116" w:right="76"/>
        <w:jc w:val="both"/>
        <w:rPr>
          <w:rFonts w:ascii="Book Antiqua" w:hAnsi="Book Antiqua" w:cs="Times New Roman"/>
          <w:sz w:val="12"/>
          <w:szCs w:val="12"/>
        </w:rPr>
      </w:pPr>
    </w:p>
    <w:p w:rsidR="007A1B29" w:rsidRDefault="007A1B29" w:rsidP="007A1B29">
      <w:pPr>
        <w:bidi w:val="0"/>
        <w:ind w:right="76"/>
        <w:jc w:val="center"/>
        <w:rPr>
          <w:rFonts w:ascii="Book Antiqua" w:hAnsi="Book Antiqua" w:cs="Times New Roman"/>
          <w:sz w:val="24"/>
          <w:szCs w:val="24"/>
        </w:rPr>
      </w:pPr>
      <w:r w:rsidRPr="00DA3B9D">
        <w:rPr>
          <w:rFonts w:ascii="Book Antiqua" w:hAnsi="Book Antiqua" w:cs="Times New Roman"/>
          <w:sz w:val="24"/>
          <w:szCs w:val="24"/>
        </w:rPr>
        <w:drawing>
          <wp:anchor distT="0" distB="0" distL="114300" distR="114300" simplePos="0" relativeHeight="251661312" behindDoc="1" locked="0" layoutInCell="1" allowOverlap="1">
            <wp:simplePos x="0" y="0"/>
            <wp:positionH relativeFrom="column">
              <wp:posOffset>170815</wp:posOffset>
            </wp:positionH>
            <wp:positionV relativeFrom="paragraph">
              <wp:posOffset>4445</wp:posOffset>
            </wp:positionV>
            <wp:extent cx="5619750" cy="2743200"/>
            <wp:effectExtent l="0" t="0" r="0" b="0"/>
            <wp:wrapTight wrapText="bothSides">
              <wp:wrapPolygon edited="0">
                <wp:start x="5272" y="300"/>
                <wp:lineTo x="5272" y="1050"/>
                <wp:lineTo x="9153" y="2700"/>
                <wp:lineTo x="10763" y="2700"/>
                <wp:lineTo x="7249" y="3300"/>
                <wp:lineTo x="3734" y="4500"/>
                <wp:lineTo x="3734" y="5550"/>
                <wp:lineTo x="9592" y="7500"/>
                <wp:lineTo x="10763" y="7500"/>
                <wp:lineTo x="10763" y="9900"/>
                <wp:lineTo x="3807" y="11850"/>
                <wp:lineTo x="73" y="20100"/>
                <wp:lineTo x="293" y="20250"/>
                <wp:lineTo x="586" y="20250"/>
                <wp:lineTo x="659" y="20250"/>
                <wp:lineTo x="952" y="19650"/>
                <wp:lineTo x="3002" y="19500"/>
                <wp:lineTo x="10104" y="17700"/>
                <wp:lineTo x="10104" y="17100"/>
                <wp:lineTo x="15449" y="17100"/>
                <wp:lineTo x="17719" y="16350"/>
                <wp:lineTo x="17646" y="14700"/>
                <wp:lineTo x="18452" y="14700"/>
                <wp:lineTo x="20502" y="12900"/>
                <wp:lineTo x="20575" y="11850"/>
                <wp:lineTo x="10690" y="9900"/>
                <wp:lineTo x="10763" y="7500"/>
                <wp:lineTo x="13619" y="7500"/>
                <wp:lineTo x="17500" y="6150"/>
                <wp:lineTo x="17426" y="5100"/>
                <wp:lineTo x="20868" y="4950"/>
                <wp:lineTo x="20648" y="3900"/>
                <wp:lineTo x="10763" y="2700"/>
                <wp:lineTo x="19184" y="2100"/>
                <wp:lineTo x="19111" y="1050"/>
                <wp:lineTo x="6370" y="300"/>
                <wp:lineTo x="5272" y="300"/>
              </wp:wrapPolygon>
            </wp:wrapTight>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A1B29" w:rsidRPr="00031DFB" w:rsidRDefault="007A1B29" w:rsidP="007A1B29">
      <w:pPr>
        <w:bidi w:val="0"/>
        <w:ind w:left="116" w:right="76"/>
        <w:jc w:val="both"/>
        <w:rPr>
          <w:rFonts w:ascii="Book Antiqua" w:hAnsi="Book Antiqua" w:cs="Times New Roman"/>
          <w:sz w:val="8"/>
          <w:szCs w:val="8"/>
        </w:rPr>
      </w:pPr>
    </w:p>
    <w:p w:rsidR="007A1B29" w:rsidRDefault="007A1B29" w:rsidP="007A1B29">
      <w:pPr>
        <w:jc w:val="right"/>
        <w:rPr>
          <w:sz w:val="16"/>
          <w:szCs w:val="16"/>
        </w:rPr>
      </w:pPr>
    </w:p>
    <w:p w:rsidR="007A1B29" w:rsidRPr="0018257C" w:rsidRDefault="007A1B29" w:rsidP="007A1B29">
      <w:pPr>
        <w:jc w:val="right"/>
        <w:rPr>
          <w:sz w:val="8"/>
          <w:szCs w:val="8"/>
        </w:rPr>
      </w:pPr>
    </w:p>
    <w:p w:rsidR="007A1B29" w:rsidRPr="00F44C34" w:rsidRDefault="007A1B29" w:rsidP="007A1B29">
      <w:pPr>
        <w:bidi w:val="0"/>
        <w:ind w:left="116" w:right="76"/>
        <w:jc w:val="both"/>
        <w:rPr>
          <w:rFonts w:ascii="Book Antiqua" w:hAnsi="Book Antiqua" w:cs="Times New Roman"/>
          <w:noProof w:val="0"/>
          <w:sz w:val="8"/>
          <w:szCs w:val="8"/>
        </w:rPr>
      </w:pPr>
    </w:p>
    <w:p w:rsidR="007A1B29" w:rsidRDefault="007A1B29" w:rsidP="007A1B29">
      <w:pPr>
        <w:bidi w:val="0"/>
        <w:ind w:right="76"/>
        <w:jc w:val="both"/>
      </w:pPr>
    </w:p>
    <w:p w:rsidR="007A1B29" w:rsidRDefault="007A1B29" w:rsidP="007A1B29">
      <w:pPr>
        <w:bidi w:val="0"/>
        <w:rPr>
          <w:rFonts w:ascii="Book Antiqua" w:hAnsi="Book Antiqua" w:cs="Times New Roman"/>
          <w:b/>
          <w:bCs/>
          <w:color w:val="0070C0"/>
        </w:rPr>
      </w:pPr>
      <w:r>
        <w:rPr>
          <w:rFonts w:ascii="Book Antiqua" w:hAnsi="Book Antiqua" w:cs="Times New Roman"/>
          <w:b/>
          <w:bCs/>
          <w:color w:val="0070C0"/>
        </w:rPr>
        <w:br w:type="page"/>
      </w:r>
    </w:p>
    <w:p w:rsidR="00C13B68" w:rsidRPr="00CE3BA8" w:rsidRDefault="00C13B68" w:rsidP="00C13B68">
      <w:pPr>
        <w:pStyle w:val="Titre1"/>
        <w:bidi w:val="0"/>
        <w:spacing w:after="0"/>
        <w:jc w:val="center"/>
        <w:rPr>
          <w:rFonts w:ascii="Book Antiqua" w:hAnsi="Book Antiqua"/>
          <w:sz w:val="24"/>
          <w:szCs w:val="24"/>
        </w:rPr>
      </w:pPr>
      <w:r w:rsidRPr="00CE3BA8">
        <w:rPr>
          <w:rFonts w:ascii="Book Antiqua" w:hAnsi="Book Antiqua" w:cs="Browallia New"/>
          <w:noProof w:val="0"/>
          <w:kern w:val="0"/>
          <w:sz w:val="24"/>
          <w:szCs w:val="24"/>
        </w:rPr>
        <w:lastRenderedPageBreak/>
        <w:t>Tableau</w:t>
      </w:r>
      <w:r w:rsidR="001A7BD9">
        <w:rPr>
          <w:rFonts w:ascii="Book Antiqua" w:hAnsi="Book Antiqua" w:cs="Browallia New"/>
          <w:noProof w:val="0"/>
          <w:kern w:val="0"/>
          <w:sz w:val="24"/>
          <w:szCs w:val="24"/>
        </w:rPr>
        <w:t xml:space="preserve"> </w:t>
      </w:r>
      <w:r w:rsidRPr="00CE3BA8">
        <w:rPr>
          <w:rFonts w:ascii="Book Antiqua" w:hAnsi="Book Antiqua" w:cs="Browallia New"/>
          <w:noProof w:val="0"/>
          <w:kern w:val="0"/>
          <w:sz w:val="24"/>
          <w:szCs w:val="24"/>
        </w:rPr>
        <w:t>1 : Indicateurs annuels d'activité, d’emploi et de chômage par milieu de résidence</w:t>
      </w:r>
      <w:r w:rsidRPr="00CE3BA8">
        <w:rPr>
          <w:rFonts w:ascii="Book Antiqua" w:hAnsi="Book Antiqua" w:cs="Browallia New"/>
          <w:noProof w:val="0"/>
          <w:kern w:val="0"/>
          <w:sz w:val="24"/>
          <w:szCs w:val="24"/>
          <w:vertAlign w:val="superscript"/>
        </w:rPr>
        <w:t>(1)</w:t>
      </w:r>
    </w:p>
    <w:p w:rsidR="00C13B68" w:rsidRPr="001A7BD9" w:rsidRDefault="00C13B68" w:rsidP="00804E51">
      <w:pPr>
        <w:pStyle w:val="Corpsdetexte2"/>
        <w:bidi w:val="0"/>
        <w:jc w:val="right"/>
        <w:rPr>
          <w:rFonts w:ascii="Book Antiqua" w:hAnsi="Book Antiqua" w:cs="Browallia New"/>
          <w:sz w:val="28"/>
          <w:szCs w:val="26"/>
        </w:rPr>
      </w:pPr>
      <w:r w:rsidRPr="001A7BD9">
        <w:rPr>
          <w:rFonts w:ascii="Book Antiqua" w:hAnsi="Book Antiqua" w:cs="Browallia New"/>
          <w:sz w:val="28"/>
          <w:szCs w:val="26"/>
        </w:rPr>
        <w:t xml:space="preserve">      (</w:t>
      </w:r>
      <w:r w:rsidRPr="001A7BD9">
        <w:rPr>
          <w:rFonts w:ascii="Book Antiqua" w:hAnsi="Book Antiqua" w:cs="Browallia New"/>
          <w:sz w:val="18"/>
          <w:szCs w:val="18"/>
        </w:rPr>
        <w:t>Effectifs en milliers</w:t>
      </w:r>
      <w:r w:rsidR="00804E51">
        <w:rPr>
          <w:rFonts w:ascii="Book Antiqua" w:hAnsi="Book Antiqua" w:cs="Browallia New"/>
          <w:sz w:val="18"/>
          <w:szCs w:val="18"/>
        </w:rPr>
        <w:t xml:space="preserve">, </w:t>
      </w:r>
      <w:r w:rsidRPr="001A7BD9">
        <w:rPr>
          <w:rFonts w:ascii="Book Antiqua" w:hAnsi="Book Antiqua" w:cs="Browallia New"/>
          <w:sz w:val="18"/>
          <w:szCs w:val="18"/>
        </w:rPr>
        <w:t>taux</w:t>
      </w:r>
      <w:r w:rsidR="00804E51">
        <w:rPr>
          <w:rFonts w:ascii="Book Antiqua" w:hAnsi="Book Antiqua" w:cs="Browallia New"/>
          <w:sz w:val="18"/>
          <w:szCs w:val="18"/>
        </w:rPr>
        <w:t xml:space="preserve"> et structures</w:t>
      </w:r>
      <w:r w:rsidRPr="001A7BD9">
        <w:rPr>
          <w:rFonts w:ascii="Book Antiqua" w:hAnsi="Book Antiqua" w:cs="Browallia New"/>
          <w:sz w:val="18"/>
          <w:szCs w:val="18"/>
        </w:rPr>
        <w:t xml:space="preserve"> en %)</w:t>
      </w:r>
    </w:p>
    <w:tbl>
      <w:tblPr>
        <w:tblW w:w="10580" w:type="dxa"/>
        <w:tblInd w:w="-639" w:type="dxa"/>
        <w:tblCellMar>
          <w:left w:w="70" w:type="dxa"/>
          <w:right w:w="70" w:type="dxa"/>
        </w:tblCellMar>
        <w:tblLook w:val="04A0"/>
      </w:tblPr>
      <w:tblGrid>
        <w:gridCol w:w="3140"/>
        <w:gridCol w:w="1240"/>
        <w:gridCol w:w="1240"/>
        <w:gridCol w:w="1240"/>
        <w:gridCol w:w="1240"/>
        <w:gridCol w:w="1240"/>
        <w:gridCol w:w="1240"/>
      </w:tblGrid>
      <w:tr w:rsidR="00C13B68" w:rsidRPr="003F42E2" w:rsidTr="00C13B68">
        <w:trPr>
          <w:trHeight w:val="312"/>
          <w:tblHeader/>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 </w:t>
            </w:r>
          </w:p>
        </w:tc>
        <w:tc>
          <w:tcPr>
            <w:tcW w:w="3720" w:type="dxa"/>
            <w:gridSpan w:val="3"/>
            <w:tcBorders>
              <w:top w:val="single" w:sz="4" w:space="0" w:color="auto"/>
              <w:left w:val="nil"/>
              <w:bottom w:val="single" w:sz="4" w:space="0" w:color="auto"/>
              <w:right w:val="single" w:sz="4" w:space="0" w:color="auto"/>
            </w:tcBorders>
            <w:shd w:val="clear" w:color="auto" w:fill="auto"/>
            <w:noWrap/>
            <w:hideMark/>
          </w:tcPr>
          <w:p w:rsidR="00C13B68" w:rsidRPr="00BB7EDF" w:rsidRDefault="00C13B68" w:rsidP="00C13B68">
            <w:pPr>
              <w:tabs>
                <w:tab w:val="left" w:pos="-720"/>
              </w:tabs>
              <w:suppressAutoHyphens/>
              <w:jc w:val="center"/>
              <w:rPr>
                <w:rFonts w:ascii="Book Antiqua" w:hAnsi="Book Antiqua" w:cs="Browallia New"/>
                <w:b/>
                <w:bCs/>
                <w:noProof w:val="0"/>
                <w:color w:val="000000"/>
                <w:sz w:val="24"/>
                <w:szCs w:val="24"/>
              </w:rPr>
            </w:pPr>
            <w:r w:rsidRPr="00BB7EDF">
              <w:rPr>
                <w:rFonts w:ascii="Book Antiqua" w:hAnsi="Book Antiqua" w:cs="Browallia New"/>
                <w:b/>
                <w:bCs/>
                <w:noProof w:val="0"/>
                <w:color w:val="000000"/>
                <w:sz w:val="24"/>
                <w:szCs w:val="24"/>
              </w:rPr>
              <w:t>1</w:t>
            </w:r>
            <w:r w:rsidRPr="002E1989">
              <w:rPr>
                <w:rFonts w:ascii="Book Antiqua" w:hAnsi="Book Antiqua" w:cs="Browallia New"/>
                <w:b/>
                <w:bCs/>
                <w:noProof w:val="0"/>
                <w:color w:val="000000"/>
                <w:sz w:val="24"/>
                <w:szCs w:val="24"/>
                <w:vertAlign w:val="superscript"/>
              </w:rPr>
              <w:t xml:space="preserve">er </w:t>
            </w:r>
            <w:r w:rsidRPr="00BB7EDF">
              <w:rPr>
                <w:rFonts w:ascii="Book Antiqua" w:hAnsi="Book Antiqua" w:cs="Browallia New"/>
                <w:b/>
                <w:bCs/>
                <w:noProof w:val="0"/>
                <w:color w:val="000000"/>
                <w:sz w:val="24"/>
                <w:szCs w:val="24"/>
              </w:rPr>
              <w:t xml:space="preserve"> trimestre 2019</w:t>
            </w:r>
          </w:p>
        </w:tc>
        <w:tc>
          <w:tcPr>
            <w:tcW w:w="3720" w:type="dxa"/>
            <w:gridSpan w:val="3"/>
            <w:tcBorders>
              <w:top w:val="single" w:sz="4" w:space="0" w:color="auto"/>
              <w:left w:val="nil"/>
              <w:bottom w:val="single" w:sz="4" w:space="0" w:color="auto"/>
              <w:right w:val="single" w:sz="4" w:space="0" w:color="auto"/>
            </w:tcBorders>
            <w:shd w:val="clear" w:color="auto" w:fill="auto"/>
            <w:noWrap/>
            <w:hideMark/>
          </w:tcPr>
          <w:p w:rsidR="00C13B68" w:rsidRPr="00BB7EDF" w:rsidRDefault="00C13B68" w:rsidP="00C13B68">
            <w:pPr>
              <w:tabs>
                <w:tab w:val="left" w:pos="-720"/>
              </w:tabs>
              <w:suppressAutoHyphens/>
              <w:jc w:val="center"/>
              <w:rPr>
                <w:rFonts w:ascii="Book Antiqua" w:hAnsi="Book Antiqua" w:cs="Browallia New"/>
                <w:b/>
                <w:bCs/>
                <w:noProof w:val="0"/>
                <w:color w:val="000000"/>
                <w:sz w:val="24"/>
                <w:szCs w:val="24"/>
              </w:rPr>
            </w:pPr>
            <w:r w:rsidRPr="00BB7EDF">
              <w:rPr>
                <w:rFonts w:ascii="Book Antiqua" w:hAnsi="Book Antiqua" w:cs="Browallia New"/>
                <w:b/>
                <w:bCs/>
                <w:noProof w:val="0"/>
                <w:color w:val="000000"/>
                <w:sz w:val="24"/>
                <w:szCs w:val="24"/>
              </w:rPr>
              <w:t>1</w:t>
            </w:r>
            <w:r w:rsidRPr="00A90CBF">
              <w:rPr>
                <w:rFonts w:ascii="Book Antiqua" w:hAnsi="Book Antiqua" w:cs="Browallia New"/>
                <w:b/>
                <w:bCs/>
                <w:noProof w:val="0"/>
                <w:color w:val="000000"/>
                <w:sz w:val="24"/>
                <w:szCs w:val="24"/>
                <w:vertAlign w:val="superscript"/>
              </w:rPr>
              <w:t>er</w:t>
            </w:r>
            <w:r>
              <w:rPr>
                <w:rFonts w:ascii="Book Antiqua" w:hAnsi="Book Antiqua" w:cs="Browallia New"/>
                <w:b/>
                <w:bCs/>
                <w:noProof w:val="0"/>
                <w:color w:val="000000"/>
                <w:sz w:val="24"/>
                <w:szCs w:val="24"/>
              </w:rPr>
              <w:t xml:space="preserve"> </w:t>
            </w:r>
            <w:r w:rsidRPr="00BB7EDF">
              <w:rPr>
                <w:rFonts w:ascii="Book Antiqua" w:hAnsi="Book Antiqua" w:cs="Browallia New"/>
                <w:b/>
                <w:bCs/>
                <w:noProof w:val="0"/>
                <w:color w:val="000000"/>
                <w:sz w:val="24"/>
                <w:szCs w:val="24"/>
              </w:rPr>
              <w:t xml:space="preserve"> trimestre 2020</w:t>
            </w:r>
          </w:p>
        </w:tc>
      </w:tr>
      <w:tr w:rsidR="00C13B68" w:rsidRPr="003F42E2" w:rsidTr="00C13B68">
        <w:trPr>
          <w:trHeight w:val="312"/>
          <w:tblHeader/>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C13B68" w:rsidRPr="003F42E2" w:rsidRDefault="00C13B68" w:rsidP="00C13B68">
            <w:pPr>
              <w:bidi w:val="0"/>
              <w:spacing w:line="14" w:lineRule="atLeast"/>
              <w:rPr>
                <w:rFonts w:ascii="Book Antiqua" w:hAnsi="Book Antiqua" w:cs="Browallia New"/>
                <w:b/>
                <w:bCs/>
                <w:noProof w:val="0"/>
                <w:color w:val="000000"/>
                <w:sz w:val="24"/>
                <w:szCs w:val="24"/>
              </w:rPr>
            </w:pP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Ensemble</w:t>
            </w: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nil"/>
              <w:left w:val="nil"/>
              <w:bottom w:val="single" w:sz="4" w:space="0" w:color="auto"/>
              <w:right w:val="single" w:sz="4" w:space="0" w:color="auto"/>
            </w:tcBorders>
            <w:shd w:val="clear" w:color="auto" w:fill="auto"/>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Ensemble</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rPr>
                <w:rFonts w:ascii="Book Antiqua" w:hAnsi="Book Antiqua" w:cs="Browallia New"/>
                <w:b/>
                <w:bCs/>
                <w:noProof w:val="0"/>
                <w:color w:val="1F497D"/>
                <w:sz w:val="24"/>
                <w:szCs w:val="24"/>
              </w:rPr>
            </w:pPr>
            <w:r w:rsidRPr="003F42E2">
              <w:rPr>
                <w:rFonts w:ascii="Book Antiqua" w:hAnsi="Book Antiqua" w:cs="Browallia New"/>
                <w:b/>
                <w:bCs/>
                <w:noProof w:val="0"/>
                <w:color w:val="1F497D"/>
                <w:sz w:val="24"/>
                <w:szCs w:val="24"/>
              </w:rPr>
              <w:t>Activité (des 15 ans et plus)</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7 017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4 947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11 965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7 262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4 987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12 249</w:t>
            </w:r>
          </w:p>
        </w:tc>
      </w:tr>
      <w:tr w:rsidR="00C13B68" w:rsidRPr="003F42E2" w:rsidTr="00C13B68">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féminisation de la population active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22,5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26,7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24,2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23,1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27,5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00000"/>
                <w:sz w:val="24"/>
                <w:szCs w:val="24"/>
              </w:rPr>
            </w:pPr>
            <w:r w:rsidRPr="00A90CBF">
              <w:rPr>
                <w:rFonts w:ascii="Garamond" w:hAnsi="Garamond"/>
                <w:color w:val="000000"/>
                <w:sz w:val="24"/>
                <w:szCs w:val="24"/>
              </w:rPr>
              <w:t>24,9</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d'activité</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53,0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45,7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42,1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53,3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46,0</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le sexe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66,4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77,3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70,4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66,7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76,7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70,3</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28,4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21,7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29,5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22,6</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l'âge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15-24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20,8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34,2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26,2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21,6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32,1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25,8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25-34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59,4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62,8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60,5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62,6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60,2</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35-44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56,9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66,3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60,1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68,6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61,8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45 ans et plus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34,9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54,2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35,1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55,5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42,1</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le diplôme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Non diplômés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35,5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55,2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44,9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35,5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56,4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45,4</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Diplômés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47,4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46,8</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rPr>
                <w:rFonts w:ascii="Book Antiqua" w:hAnsi="Book Antiqua" w:cs="Browallia New"/>
                <w:b/>
                <w:bCs/>
                <w:noProof w:val="0"/>
                <w:color w:val="1F497D"/>
                <w:sz w:val="24"/>
                <w:szCs w:val="24"/>
              </w:rPr>
            </w:pPr>
            <w:r w:rsidRPr="00A90CBF">
              <w:rPr>
                <w:rFonts w:ascii="Book Antiqua" w:hAnsi="Book Antiqua" w:cs="Browallia New"/>
                <w:b/>
                <w:bCs/>
                <w:noProof w:val="0"/>
                <w:color w:val="1F497D"/>
                <w:sz w:val="24"/>
                <w:szCs w:val="24"/>
              </w:rPr>
              <w:t>Emploi (des 15 ans et plus)</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occupée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6 086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4 794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1A7BD9">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10 88</w:t>
            </w:r>
            <w:r w:rsidR="001A7BD9">
              <w:rPr>
                <w:rFonts w:ascii="Garamond" w:hAnsi="Garamond"/>
                <w:b/>
                <w:bCs/>
                <w:color w:val="010205"/>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6 167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4 791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10 957</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d'emploi</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36,1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51,4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35,7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51,2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41,2</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1A7BD9">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le sexe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59,3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74,8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65,0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73,4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63,8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14,1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27,6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14,4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28,7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19,3</w:t>
            </w:r>
          </w:p>
        </w:tc>
      </w:tr>
      <w:tr w:rsidR="00C13B68" w:rsidRPr="004A0171"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ind w:left="105"/>
              <w:rPr>
                <w:rFonts w:ascii="Book Antiqua" w:hAnsi="Book Antiqua" w:cs="Browallia New"/>
                <w:b/>
                <w:bCs/>
                <w:noProof w:val="0"/>
                <w:color w:val="000000"/>
                <w:sz w:val="24"/>
                <w:szCs w:val="24"/>
              </w:rPr>
            </w:pPr>
            <w:r w:rsidRPr="00A90CBF">
              <w:rPr>
                <w:rFonts w:ascii="Book Antiqua" w:hAnsi="Book Antiqua" w:cs="Browallia New"/>
                <w:b/>
                <w:bCs/>
                <w:noProof w:val="0"/>
                <w:color w:val="000000"/>
                <w:sz w:val="24"/>
                <w:szCs w:val="24"/>
              </w:rPr>
              <w:t>Structure de l'emploi selon les secteurs d'activité économique</w:t>
            </w:r>
          </w:p>
        </w:tc>
      </w:tr>
      <w:tr w:rsidR="00C13B68" w:rsidRPr="003F42E2" w:rsidTr="00C13B68">
        <w:trPr>
          <w:trHeight w:val="63"/>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Agriculture, forêt et pêche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71,2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34,2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69,1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32,8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Industrie (y compris artisanat)</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12,1</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BTP</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12,4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11,8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10,5</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Services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64,3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16,1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43,1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836E12">
            <w:pPr>
              <w:bidi w:val="0"/>
              <w:ind w:firstLineChars="100" w:firstLine="240"/>
              <w:jc w:val="center"/>
              <w:rPr>
                <w:rFonts w:ascii="Garamond" w:hAnsi="Garamond"/>
                <w:color w:val="010205"/>
                <w:sz w:val="24"/>
                <w:szCs w:val="24"/>
              </w:rPr>
            </w:pPr>
            <w:r w:rsidRPr="00A90CBF">
              <w:rPr>
                <w:rFonts w:ascii="Garamond" w:hAnsi="Garamond"/>
                <w:color w:val="010205"/>
                <w:sz w:val="24"/>
                <w:szCs w:val="24"/>
              </w:rPr>
              <w:t>65,</w:t>
            </w:r>
            <w:r w:rsidR="006165AE">
              <w:rPr>
                <w:rFonts w:ascii="Garamond" w:hAnsi="Garamond"/>
                <w:color w:val="010205"/>
                <w:sz w:val="24"/>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17,6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836E12">
            <w:pPr>
              <w:bidi w:val="0"/>
              <w:ind w:firstLineChars="100" w:firstLine="240"/>
              <w:jc w:val="center"/>
              <w:rPr>
                <w:rFonts w:ascii="Garamond" w:hAnsi="Garamond"/>
                <w:color w:val="010205"/>
                <w:sz w:val="24"/>
                <w:szCs w:val="24"/>
              </w:rPr>
            </w:pPr>
            <w:r w:rsidRPr="00A90CBF">
              <w:rPr>
                <w:rFonts w:ascii="Garamond" w:hAnsi="Garamond"/>
                <w:color w:val="010205"/>
                <w:sz w:val="24"/>
                <w:szCs w:val="24"/>
              </w:rPr>
              <w:t>44,</w:t>
            </w:r>
            <w:r w:rsidR="00836E12">
              <w:rPr>
                <w:rFonts w:ascii="Garamond" w:hAnsi="Garamond"/>
                <w:color w:val="010205"/>
                <w:sz w:val="24"/>
                <w:szCs w:val="24"/>
              </w:rPr>
              <w:t>5</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Activités mal ou non désignées</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0,2</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0,0</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0,1</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w:t>
            </w:r>
            <w:r w:rsidR="00590747">
              <w:rPr>
                <w:rFonts w:ascii="Garamond" w:hAnsi="Garamond"/>
                <w:color w:val="010205"/>
                <w:sz w:val="24"/>
                <w:szCs w:val="24"/>
              </w:rPr>
              <w:t>1</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0,0</w:t>
            </w:r>
          </w:p>
        </w:tc>
        <w:tc>
          <w:tcPr>
            <w:tcW w:w="1240" w:type="dxa"/>
            <w:tcBorders>
              <w:top w:val="nil"/>
              <w:left w:val="nil"/>
              <w:bottom w:val="single" w:sz="4" w:space="0" w:color="auto"/>
              <w:right w:val="single" w:sz="4" w:space="0" w:color="auto"/>
            </w:tcBorders>
            <w:shd w:val="clear" w:color="auto" w:fill="auto"/>
            <w:noWrap/>
            <w:vAlign w:val="center"/>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w:t>
            </w:r>
            <w:r w:rsidR="00590747">
              <w:rPr>
                <w:rFonts w:ascii="Garamond" w:hAnsi="Garamond"/>
                <w:color w:val="010205"/>
                <w:sz w:val="24"/>
                <w:szCs w:val="24"/>
              </w:rPr>
              <w:t>1</w:t>
            </w:r>
          </w:p>
        </w:tc>
      </w:tr>
      <w:tr w:rsidR="00C13B68" w:rsidRPr="003F42E2" w:rsidTr="00C13B68">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Part de l'emploi rémunéré dans l'emploi total, dont :</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96,7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67,4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83,8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97,0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67,8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84,2</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Salariés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68,6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42,0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59,2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67,2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58,1</w:t>
            </w:r>
          </w:p>
        </w:tc>
      </w:tr>
      <w:tr w:rsidR="00C13B68" w:rsidRPr="003F42E2" w:rsidTr="00C13B68">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Auto-employés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31,4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40,8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32,8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58,5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41,9</w:t>
            </w:r>
          </w:p>
        </w:tc>
      </w:tr>
      <w:tr w:rsidR="00C13B68" w:rsidRPr="003F42E2" w:rsidTr="00C13B68">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C13B68" w:rsidRPr="003F42E2" w:rsidRDefault="00C13B68" w:rsidP="00C13B68">
            <w:pPr>
              <w:keepNext/>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occupée en sous-emploi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53</w:t>
            </w:r>
            <w:r w:rsidR="00FF2443">
              <w:rPr>
                <w:rFonts w:ascii="Garamond" w:hAnsi="Garamond"/>
                <w:b/>
                <w:bCs/>
                <w:color w:val="010205"/>
                <w:sz w:val="24"/>
                <w:szCs w:val="24"/>
              </w:rPr>
              <w:t>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51</w:t>
            </w:r>
            <w:r w:rsidR="00FF2443">
              <w:rPr>
                <w:rFonts w:ascii="Garamond" w:hAnsi="Garamond"/>
                <w:b/>
                <w:bCs/>
                <w:color w:val="010205"/>
                <w:sz w:val="24"/>
                <w:szCs w:val="24"/>
              </w:rPr>
              <w:t>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1 043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53</w:t>
            </w:r>
            <w:r w:rsidR="004F4D8B">
              <w:rPr>
                <w:rFonts w:ascii="Garamond" w:hAnsi="Garamond"/>
                <w:b/>
                <w:bCs/>
                <w:color w:val="010205"/>
                <w:sz w:val="24"/>
                <w:szCs w:val="24"/>
              </w:rPr>
              <w:t>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423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954</w:t>
            </w:r>
          </w:p>
        </w:tc>
      </w:tr>
      <w:tr w:rsidR="00C13B68" w:rsidRPr="003F42E2" w:rsidTr="00C13B68">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C13B68" w:rsidRPr="003F42E2" w:rsidRDefault="00C13B68" w:rsidP="00C13B68">
            <w:pPr>
              <w:keepNext/>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sous-emploi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8,8</w:t>
            </w:r>
          </w:p>
        </w:tc>
      </w:tr>
    </w:tbl>
    <w:p w:rsidR="00C13B68" w:rsidRDefault="00C13B68" w:rsidP="00C13B68">
      <w:pPr>
        <w:bidi w:val="0"/>
      </w:pPr>
      <w:r>
        <w:br w:type="page"/>
      </w:r>
    </w:p>
    <w:tbl>
      <w:tblPr>
        <w:tblpPr w:leftFromText="141" w:rightFromText="141" w:vertAnchor="text" w:horzAnchor="margin" w:tblpXSpec="center" w:tblpY="-396"/>
        <w:tblW w:w="10580" w:type="dxa"/>
        <w:tblCellMar>
          <w:left w:w="70" w:type="dxa"/>
          <w:right w:w="70" w:type="dxa"/>
        </w:tblCellMar>
        <w:tblLook w:val="04A0"/>
      </w:tblPr>
      <w:tblGrid>
        <w:gridCol w:w="3140"/>
        <w:gridCol w:w="1240"/>
        <w:gridCol w:w="1240"/>
        <w:gridCol w:w="1240"/>
        <w:gridCol w:w="1240"/>
        <w:gridCol w:w="1240"/>
        <w:gridCol w:w="1240"/>
      </w:tblGrid>
      <w:tr w:rsidR="00C13B68" w:rsidRPr="003F42E2" w:rsidTr="00C13B68">
        <w:trPr>
          <w:trHeight w:val="418"/>
        </w:trPr>
        <w:tc>
          <w:tcPr>
            <w:tcW w:w="3140" w:type="dxa"/>
            <w:vMerge w:val="restart"/>
            <w:tcBorders>
              <w:top w:val="single" w:sz="4" w:space="0" w:color="auto"/>
              <w:left w:val="single" w:sz="4" w:space="0" w:color="auto"/>
              <w:right w:val="single" w:sz="4" w:space="0" w:color="auto"/>
            </w:tcBorders>
            <w:shd w:val="clear" w:color="auto" w:fill="auto"/>
            <w:hideMark/>
          </w:tcPr>
          <w:p w:rsidR="00C13B68" w:rsidRPr="003F42E2" w:rsidRDefault="00C13B68" w:rsidP="00C13B68">
            <w:pPr>
              <w:keepNext/>
              <w:bidi w:val="0"/>
              <w:spacing w:line="14" w:lineRule="atLeast"/>
              <w:ind w:left="105"/>
              <w:rPr>
                <w:rFonts w:ascii="Book Antiqua" w:hAnsi="Book Antiqua" w:cs="Browallia New"/>
                <w:b/>
                <w:bCs/>
                <w:noProof w:val="0"/>
                <w:color w:val="000000"/>
                <w:sz w:val="24"/>
                <w:szCs w:val="24"/>
              </w:rPr>
            </w:pPr>
          </w:p>
        </w:tc>
        <w:tc>
          <w:tcPr>
            <w:tcW w:w="37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13B68" w:rsidRPr="00A90CBF" w:rsidRDefault="00C13B68" w:rsidP="00C13B68">
            <w:pPr>
              <w:bidi w:val="0"/>
              <w:spacing w:line="14" w:lineRule="atLeast"/>
              <w:jc w:val="center"/>
              <w:rPr>
                <w:rFonts w:ascii="Book Antiqua" w:hAnsi="Book Antiqua" w:cs="Browallia New"/>
                <w:b/>
                <w:bCs/>
                <w:noProof w:val="0"/>
                <w:color w:val="000000"/>
                <w:sz w:val="24"/>
                <w:szCs w:val="24"/>
              </w:rPr>
            </w:pPr>
            <w:r w:rsidRPr="00A90CBF">
              <w:rPr>
                <w:rFonts w:ascii="Book Antiqua" w:hAnsi="Book Antiqua" w:cs="Browallia New"/>
                <w:b/>
                <w:bCs/>
                <w:noProof w:val="0"/>
                <w:color w:val="000000"/>
                <w:sz w:val="24"/>
                <w:szCs w:val="24"/>
              </w:rPr>
              <w:t>1er  trimestre 2019</w:t>
            </w:r>
          </w:p>
        </w:tc>
        <w:tc>
          <w:tcPr>
            <w:tcW w:w="37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13B68" w:rsidRPr="00A90CBF" w:rsidRDefault="00C13B68" w:rsidP="00C13B68">
            <w:pPr>
              <w:bidi w:val="0"/>
              <w:spacing w:line="14" w:lineRule="atLeast"/>
              <w:jc w:val="center"/>
              <w:rPr>
                <w:rFonts w:ascii="Book Antiqua" w:hAnsi="Book Antiqua" w:cs="Browallia New"/>
                <w:b/>
                <w:bCs/>
                <w:noProof w:val="0"/>
                <w:color w:val="000000"/>
                <w:sz w:val="24"/>
                <w:szCs w:val="24"/>
              </w:rPr>
            </w:pPr>
            <w:r w:rsidRPr="00A90CBF">
              <w:rPr>
                <w:rFonts w:ascii="Book Antiqua" w:hAnsi="Book Antiqua" w:cs="Browallia New"/>
                <w:b/>
                <w:bCs/>
                <w:noProof w:val="0"/>
                <w:color w:val="000000"/>
                <w:sz w:val="24"/>
                <w:szCs w:val="24"/>
              </w:rPr>
              <w:t>1er  trimestre  2020</w:t>
            </w:r>
          </w:p>
        </w:tc>
      </w:tr>
      <w:tr w:rsidR="00C13B68" w:rsidRPr="003F42E2" w:rsidTr="00C13B68">
        <w:trPr>
          <w:trHeight w:val="312"/>
        </w:trPr>
        <w:tc>
          <w:tcPr>
            <w:tcW w:w="3140" w:type="dxa"/>
            <w:vMerge/>
            <w:tcBorders>
              <w:left w:val="single" w:sz="4" w:space="0" w:color="auto"/>
              <w:bottom w:val="single" w:sz="4" w:space="0" w:color="auto"/>
              <w:right w:val="single" w:sz="4" w:space="0" w:color="auto"/>
            </w:tcBorders>
            <w:shd w:val="clear" w:color="auto" w:fill="auto"/>
            <w:hideMark/>
          </w:tcPr>
          <w:p w:rsidR="00C13B68" w:rsidRPr="003F42E2" w:rsidRDefault="00C13B68" w:rsidP="00C13B68">
            <w:pPr>
              <w:keepNext/>
              <w:bidi w:val="0"/>
              <w:spacing w:line="14" w:lineRule="atLeast"/>
              <w:ind w:left="105"/>
              <w:rPr>
                <w:rFonts w:ascii="Book Antiqua" w:hAnsi="Book Antiqua" w:cs="Browallia New"/>
                <w:noProof w:val="0"/>
                <w:color w:val="000000"/>
                <w:sz w:val="24"/>
                <w:szCs w:val="24"/>
              </w:rPr>
            </w:pP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Pr>
                <w:rFonts w:ascii="Book Antiqua" w:hAnsi="Book Antiqua" w:cs="Browallia New"/>
                <w:b/>
                <w:bCs/>
                <w:noProof w:val="0"/>
                <w:color w:val="000000"/>
                <w:sz w:val="24"/>
                <w:szCs w:val="24"/>
              </w:rPr>
              <w:t>Ensemble</w:t>
            </w: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single" w:sz="4" w:space="0" w:color="auto"/>
              <w:left w:val="nil"/>
              <w:bottom w:val="single" w:sz="4" w:space="0" w:color="auto"/>
              <w:right w:val="single" w:sz="4" w:space="0" w:color="auto"/>
            </w:tcBorders>
            <w:shd w:val="clear" w:color="auto" w:fill="auto"/>
            <w:noWrap/>
            <w:hideMark/>
          </w:tcPr>
          <w:p w:rsidR="00C13B68" w:rsidRPr="003F42E2" w:rsidRDefault="00C13B68" w:rsidP="00C13B68">
            <w:pPr>
              <w:bidi w:val="0"/>
              <w:spacing w:line="14" w:lineRule="atLeast"/>
              <w:jc w:val="center"/>
              <w:rPr>
                <w:rFonts w:ascii="Book Antiqua" w:hAnsi="Book Antiqua" w:cs="Browallia New"/>
                <w:b/>
                <w:bCs/>
                <w:noProof w:val="0"/>
                <w:color w:val="000000"/>
                <w:sz w:val="24"/>
                <w:szCs w:val="24"/>
              </w:rPr>
            </w:pPr>
            <w:r>
              <w:rPr>
                <w:rFonts w:ascii="Book Antiqua" w:hAnsi="Book Antiqua" w:cs="Browallia New"/>
                <w:b/>
                <w:bCs/>
                <w:noProof w:val="0"/>
                <w:color w:val="000000"/>
                <w:sz w:val="24"/>
                <w:szCs w:val="24"/>
              </w:rPr>
              <w:t>Ensemble</w:t>
            </w:r>
          </w:p>
        </w:tc>
      </w:tr>
      <w:tr w:rsidR="00C13B68" w:rsidRPr="003F42E2" w:rsidTr="00C13B68">
        <w:trPr>
          <w:trHeight w:val="445"/>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hideMark/>
          </w:tcPr>
          <w:p w:rsidR="00C13B68" w:rsidRPr="00636764" w:rsidRDefault="00C13B68" w:rsidP="00C13B68">
            <w:pPr>
              <w:bidi w:val="0"/>
              <w:spacing w:line="14" w:lineRule="atLeast"/>
              <w:ind w:firstLineChars="100" w:firstLine="241"/>
              <w:rPr>
                <w:rFonts w:ascii="Book Antiqua" w:hAnsi="Book Antiqua" w:cs="Browallia New"/>
                <w:b/>
                <w:bCs/>
                <w:noProof w:val="0"/>
                <w:color w:val="1F497D"/>
                <w:sz w:val="24"/>
                <w:szCs w:val="24"/>
              </w:rPr>
            </w:pPr>
            <w:r w:rsidRPr="00636764">
              <w:rPr>
                <w:rFonts w:ascii="Book Antiqua" w:hAnsi="Book Antiqua" w:cs="Browallia New"/>
                <w:b/>
                <w:bCs/>
                <w:noProof w:val="0"/>
                <w:color w:val="1F497D"/>
                <w:sz w:val="24"/>
                <w:szCs w:val="24"/>
              </w:rPr>
              <w:t>Chômage</w:t>
            </w:r>
          </w:p>
        </w:tc>
      </w:tr>
      <w:tr w:rsidR="00C13B68" w:rsidRPr="003F42E2" w:rsidTr="00C13B68">
        <w:trPr>
          <w:trHeight w:val="109"/>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en chômage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931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1 084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1 096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196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1"/>
              <w:jc w:val="center"/>
              <w:rPr>
                <w:rFonts w:ascii="Garamond" w:hAnsi="Garamond"/>
                <w:b/>
                <w:bCs/>
                <w:color w:val="010205"/>
                <w:sz w:val="24"/>
                <w:szCs w:val="24"/>
              </w:rPr>
            </w:pPr>
            <w:r w:rsidRPr="00A90CBF">
              <w:rPr>
                <w:rFonts w:ascii="Garamond" w:hAnsi="Garamond"/>
                <w:b/>
                <w:bCs/>
                <w:color w:val="010205"/>
                <w:sz w:val="24"/>
                <w:szCs w:val="24"/>
              </w:rPr>
              <w:t>1 292</w:t>
            </w:r>
          </w:p>
        </w:tc>
      </w:tr>
      <w:tr w:rsidR="00C13B68" w:rsidRPr="003F42E2" w:rsidTr="00C13B68">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féminisation de la population active en chômage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37,6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24,9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35,8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36,2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19,9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33,8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chômage</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13,3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15,1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10,5</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le sexe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12,5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9,3</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22,2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13,4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23,6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14,3</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l'âge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15-24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38,0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9,3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22,9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12,2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26,8</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25-34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21,6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15,4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24,1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17,7</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35-44 ans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6,0</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4,3</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5,3</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45 ans et plus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0,7</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4,1</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0,8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2,6</w:t>
            </w:r>
          </w:p>
        </w:tc>
      </w:tr>
      <w:tr w:rsidR="00C13B68" w:rsidRPr="003F42E2" w:rsidTr="00C13B68">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3B68" w:rsidRPr="00A90CBF" w:rsidRDefault="00C13B68" w:rsidP="00C13B68">
            <w:pPr>
              <w:bidi w:val="0"/>
              <w:spacing w:line="14" w:lineRule="atLeast"/>
              <w:ind w:left="195" w:firstLineChars="5" w:firstLine="12"/>
              <w:rPr>
                <w:rFonts w:ascii="Book Antiqua" w:hAnsi="Book Antiqua" w:cs="Browallia New"/>
                <w:noProof w:val="0"/>
                <w:color w:val="000000"/>
                <w:sz w:val="24"/>
                <w:szCs w:val="24"/>
              </w:rPr>
            </w:pPr>
            <w:r w:rsidRPr="00A90CBF">
              <w:rPr>
                <w:rFonts w:ascii="Book Antiqua" w:hAnsi="Book Antiqua" w:cs="Browallia New"/>
                <w:noProof w:val="0"/>
                <w:color w:val="000000"/>
                <w:sz w:val="24"/>
                <w:szCs w:val="24"/>
              </w:rPr>
              <w:t>• Selon le diplôme</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Non diplômés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4,8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2,9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6,5</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3,6</w:t>
            </w:r>
          </w:p>
        </w:tc>
      </w:tr>
      <w:tr w:rsidR="00C13B68" w:rsidRPr="003F42E2" w:rsidTr="00C13B68">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C13B68" w:rsidRPr="003F42E2" w:rsidRDefault="00C13B68" w:rsidP="00C13B68">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Diplômés</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18,2</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7,8</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15,9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19,9</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10,4</w:t>
            </w:r>
          </w:p>
        </w:tc>
        <w:tc>
          <w:tcPr>
            <w:tcW w:w="1240" w:type="dxa"/>
            <w:tcBorders>
              <w:top w:val="nil"/>
              <w:left w:val="nil"/>
              <w:bottom w:val="single" w:sz="4" w:space="0" w:color="auto"/>
              <w:right w:val="single" w:sz="4" w:space="0" w:color="auto"/>
            </w:tcBorders>
            <w:shd w:val="clear" w:color="auto" w:fill="auto"/>
            <w:noWrap/>
            <w:vAlign w:val="center"/>
            <w:hideMark/>
          </w:tcPr>
          <w:p w:rsidR="00C13B68" w:rsidRPr="00A90CBF" w:rsidRDefault="00C13B68" w:rsidP="00C13B68">
            <w:pPr>
              <w:bidi w:val="0"/>
              <w:ind w:firstLineChars="100" w:firstLine="240"/>
              <w:jc w:val="center"/>
              <w:rPr>
                <w:rFonts w:ascii="Garamond" w:hAnsi="Garamond"/>
                <w:color w:val="010205"/>
                <w:sz w:val="24"/>
                <w:szCs w:val="24"/>
              </w:rPr>
            </w:pPr>
            <w:r w:rsidRPr="00A90CBF">
              <w:rPr>
                <w:rFonts w:ascii="Garamond" w:hAnsi="Garamond"/>
                <w:color w:val="010205"/>
                <w:sz w:val="24"/>
                <w:szCs w:val="24"/>
              </w:rPr>
              <w:t>17,8</w:t>
            </w:r>
          </w:p>
        </w:tc>
      </w:tr>
    </w:tbl>
    <w:p w:rsidR="00C13B68" w:rsidRDefault="00C13B68" w:rsidP="00C13B68">
      <w:pPr>
        <w:bidi w:val="0"/>
      </w:pPr>
    </w:p>
    <w:p w:rsidR="00C13B68" w:rsidRPr="00C13B68" w:rsidRDefault="00C13B68" w:rsidP="001A7BD9">
      <w:pPr>
        <w:pStyle w:val="Paragraphedeliste"/>
        <w:numPr>
          <w:ilvl w:val="0"/>
          <w:numId w:val="21"/>
        </w:numPr>
        <w:tabs>
          <w:tab w:val="left" w:pos="-720"/>
        </w:tabs>
        <w:suppressAutoHyphens/>
        <w:spacing w:after="0" w:line="240" w:lineRule="auto"/>
        <w:jc w:val="both"/>
        <w:rPr>
          <w:color w:val="222222"/>
          <w:shd w:val="clear" w:color="auto" w:fill="FFFFFF"/>
          <w:lang w:val="fr-FR"/>
        </w:rPr>
      </w:pPr>
      <w:r w:rsidRPr="00C13B68">
        <w:rPr>
          <w:color w:val="222222"/>
          <w:shd w:val="clear" w:color="auto" w:fill="FFFFFF"/>
          <w:lang w:val="fr-FR"/>
        </w:rPr>
        <w:t xml:space="preserve">Source : Enquête nationale sur l'emploi, Haut Commissariat au Plan </w:t>
      </w:r>
    </w:p>
    <w:p w:rsidR="00C13B68" w:rsidRPr="00C13B68" w:rsidRDefault="00C13B68" w:rsidP="00C13B68">
      <w:pPr>
        <w:pStyle w:val="Paragraphedeliste"/>
        <w:numPr>
          <w:ilvl w:val="0"/>
          <w:numId w:val="21"/>
        </w:numPr>
        <w:tabs>
          <w:tab w:val="left" w:pos="-720"/>
        </w:tabs>
        <w:suppressAutoHyphens/>
        <w:spacing w:after="0" w:line="240" w:lineRule="auto"/>
        <w:jc w:val="both"/>
        <w:rPr>
          <w:color w:val="222222"/>
          <w:shd w:val="clear" w:color="auto" w:fill="FFFFFF"/>
          <w:lang w:val="fr-FR"/>
        </w:rPr>
      </w:pPr>
      <w:r w:rsidRPr="00C13B68">
        <w:rPr>
          <w:color w:val="222222"/>
          <w:shd w:val="clear" w:color="auto" w:fill="FFFFFF"/>
          <w:lang w:val="fr-FR"/>
        </w:rPr>
        <w:t>Pour les définitions des concepts et indicateurs utilisés, se référer au glossaire disponible sur le site web du HCP </w:t>
      </w:r>
      <w:r w:rsidRPr="00C13B68">
        <w:rPr>
          <w:b/>
          <w:bCs/>
          <w:color w:val="222222"/>
          <w:shd w:val="clear" w:color="auto" w:fill="FFFFFF"/>
          <w:lang w:val="fr-FR"/>
        </w:rPr>
        <w:t xml:space="preserve">: </w:t>
      </w:r>
      <w:hyperlink r:id="rId14" w:history="1">
        <w:r w:rsidRPr="00C13B68">
          <w:rPr>
            <w:b/>
            <w:bCs/>
            <w:color w:val="222222"/>
            <w:shd w:val="clear" w:color="auto" w:fill="FFFFFF"/>
            <w:lang w:val="fr-FR"/>
          </w:rPr>
          <w:t>http://www.hcp.ma</w:t>
        </w:r>
      </w:hyperlink>
      <w:r w:rsidRPr="00C13B68">
        <w:rPr>
          <w:color w:val="222222"/>
          <w:shd w:val="clear" w:color="auto" w:fill="FFFFFF"/>
          <w:lang w:val="fr-FR"/>
        </w:rPr>
        <w:t>.</w:t>
      </w:r>
    </w:p>
    <w:p w:rsidR="00C13B68" w:rsidRPr="00C13B68" w:rsidRDefault="00C13B68" w:rsidP="00C13B68">
      <w:pPr>
        <w:pStyle w:val="Paragraphedeliste"/>
        <w:numPr>
          <w:ilvl w:val="0"/>
          <w:numId w:val="21"/>
        </w:numPr>
        <w:tabs>
          <w:tab w:val="left" w:pos="-720"/>
        </w:tabs>
        <w:suppressAutoHyphens/>
        <w:spacing w:after="0" w:line="240" w:lineRule="auto"/>
        <w:jc w:val="both"/>
        <w:rPr>
          <w:color w:val="222222"/>
          <w:shd w:val="clear" w:color="auto" w:fill="FFFFFF"/>
          <w:lang w:val="fr-FR"/>
        </w:rPr>
      </w:pPr>
      <w:r w:rsidRPr="00C13B68">
        <w:rPr>
          <w:color w:val="222222"/>
          <w:shd w:val="clear" w:color="auto" w:fill="FFFFFF"/>
          <w:lang w:val="fr-FR"/>
        </w:rPr>
        <w:t>Les données chiffrées sont arrondies. Le résultat arrondi d’une combinaison de données chiffrées (qui fait intervenir leurs valeurs réelles) peut se trouver légèrement différent de celui que donnerait la combinaison de leurs valeurs arrondies.</w:t>
      </w:r>
    </w:p>
    <w:p w:rsidR="00C13B68" w:rsidRPr="0044402C" w:rsidRDefault="00C13B68" w:rsidP="00C13B68">
      <w:pPr>
        <w:bidi w:val="0"/>
        <w:spacing w:after="160" w:line="259" w:lineRule="auto"/>
        <w:rPr>
          <w:color w:val="222222"/>
          <w:shd w:val="clear" w:color="auto" w:fill="FFFFFF"/>
        </w:rPr>
      </w:pPr>
      <w:r w:rsidRPr="0044402C">
        <w:rPr>
          <w:color w:val="222222"/>
          <w:shd w:val="clear" w:color="auto" w:fill="FFFFFF"/>
        </w:rPr>
        <w:br w:type="page"/>
      </w:r>
    </w:p>
    <w:p w:rsidR="00C13B68" w:rsidRPr="00BB7EDF" w:rsidRDefault="00C13B68" w:rsidP="00C13B68"/>
    <w:p w:rsidR="00C13B68" w:rsidRDefault="00C13B68">
      <w:pPr>
        <w:bidi w:val="0"/>
        <w:rPr>
          <w:rFonts w:ascii="Book Antiqua" w:hAnsi="Book Antiqua" w:cs="Times New Roman"/>
          <w:b/>
          <w:bCs/>
          <w:color w:val="0070C0"/>
        </w:rPr>
      </w:pPr>
    </w:p>
    <w:p w:rsidR="007A1B29" w:rsidRPr="001A7BD9" w:rsidRDefault="007A1B29" w:rsidP="007A1B29">
      <w:pPr>
        <w:bidi w:val="0"/>
        <w:jc w:val="center"/>
        <w:rPr>
          <w:rFonts w:ascii="Book Antiqua" w:hAnsi="Book Antiqua" w:cs="Browallia New"/>
          <w:b/>
          <w:bCs/>
          <w:noProof w:val="0"/>
          <w:sz w:val="24"/>
          <w:szCs w:val="24"/>
        </w:rPr>
      </w:pPr>
      <w:r w:rsidRPr="001A7BD9">
        <w:rPr>
          <w:rFonts w:ascii="Book Antiqua" w:hAnsi="Book Antiqua" w:cs="Browallia New"/>
          <w:b/>
          <w:bCs/>
          <w:noProof w:val="0"/>
          <w:sz w:val="24"/>
          <w:szCs w:val="24"/>
        </w:rPr>
        <w:t>Tableau 2: Taux d'activité, d’emploi et de chômage par région (en%)</w:t>
      </w:r>
    </w:p>
    <w:p w:rsidR="007A1B29" w:rsidRPr="00012F0E" w:rsidRDefault="007A1B29" w:rsidP="007A1B29">
      <w:pPr>
        <w:bidi w:val="0"/>
        <w:ind w:left="-284"/>
        <w:rPr>
          <w:rFonts w:ascii="Book Antiqua" w:hAnsi="Book Antiqua" w:cs="Times New Roman"/>
          <w:b/>
          <w:bCs/>
          <w:color w:val="0070C0"/>
          <w:sz w:val="22"/>
          <w:szCs w:val="22"/>
        </w:rPr>
      </w:pPr>
      <w:r w:rsidRPr="00012F0E">
        <w:rPr>
          <w:rFonts w:ascii="Book Antiqua" w:hAnsi="Book Antiqua" w:cs="Times New Roman"/>
          <w:b/>
          <w:bCs/>
          <w:sz w:val="18"/>
          <w:szCs w:val="18"/>
        </w:rPr>
        <w:t xml:space="preserve">                                                                                          </w:t>
      </w:r>
    </w:p>
    <w:tbl>
      <w:tblPr>
        <w:tblpPr w:leftFromText="141" w:rightFromText="141" w:vertAnchor="text" w:tblpXSpec="center" w:tblpY="1"/>
        <w:tblOverlap w:val="never"/>
        <w:tblW w:w="50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5241"/>
        <w:gridCol w:w="2158"/>
        <w:gridCol w:w="2268"/>
      </w:tblGrid>
      <w:tr w:rsidR="007A1B29" w:rsidRPr="001A7BD9" w:rsidTr="002E1989">
        <w:trPr>
          <w:trHeight w:val="79"/>
        </w:trPr>
        <w:tc>
          <w:tcPr>
            <w:tcW w:w="2711" w:type="pct"/>
            <w:vAlign w:val="center"/>
          </w:tcPr>
          <w:p w:rsidR="007A1B29" w:rsidRPr="001A7BD9" w:rsidRDefault="007A1B29" w:rsidP="00C13B68">
            <w:pPr>
              <w:jc w:val="right"/>
              <w:rPr>
                <w:rFonts w:ascii="Garamond" w:hAnsi="Garamond" w:cs="Times New Roman"/>
                <w:b/>
                <w:bCs/>
                <w:color w:val="000000"/>
                <w:sz w:val="22"/>
                <w:szCs w:val="22"/>
              </w:rPr>
            </w:pPr>
            <w:r w:rsidRPr="001A7BD9">
              <w:rPr>
                <w:rFonts w:ascii="Book Antiqua" w:hAnsi="Book Antiqua" w:cs="Arial"/>
                <w:bCs/>
                <w:sz w:val="22"/>
                <w:szCs w:val="22"/>
              </w:rPr>
              <w:t>Indicateurs</w:t>
            </w:r>
          </w:p>
        </w:tc>
        <w:tc>
          <w:tcPr>
            <w:tcW w:w="1116" w:type="pct"/>
          </w:tcPr>
          <w:p w:rsidR="002E1989" w:rsidRDefault="007A1B29" w:rsidP="002E1989">
            <w:pPr>
              <w:tabs>
                <w:tab w:val="left" w:pos="-720"/>
              </w:tabs>
              <w:suppressAutoHyphens/>
              <w:jc w:val="center"/>
              <w:rPr>
                <w:rFonts w:ascii="Book Antiqua" w:hAnsi="Book Antiqua" w:cs="Times New Roman"/>
                <w:b/>
                <w:bCs/>
                <w:color w:val="0070C0"/>
                <w:sz w:val="22"/>
                <w:szCs w:val="22"/>
              </w:rPr>
            </w:pPr>
            <w:r w:rsidRPr="001A7BD9">
              <w:rPr>
                <w:rFonts w:ascii="Book Antiqua" w:hAnsi="Book Antiqua" w:cs="Times New Roman"/>
                <w:b/>
                <w:bCs/>
                <w:color w:val="0070C0"/>
                <w:sz w:val="22"/>
                <w:szCs w:val="22"/>
              </w:rPr>
              <w:t xml:space="preserve">Premier trimestre </w:t>
            </w:r>
          </w:p>
          <w:p w:rsidR="007A1B29" w:rsidRPr="001A7BD9" w:rsidRDefault="007A1B29" w:rsidP="002E1989">
            <w:pPr>
              <w:tabs>
                <w:tab w:val="left" w:pos="-720"/>
              </w:tabs>
              <w:suppressAutoHyphens/>
              <w:jc w:val="center"/>
              <w:rPr>
                <w:rFonts w:ascii="Book Antiqua" w:hAnsi="Book Antiqua" w:cs="Times New Roman"/>
                <w:b/>
                <w:bCs/>
                <w:color w:val="0070C0"/>
                <w:sz w:val="22"/>
                <w:szCs w:val="22"/>
              </w:rPr>
            </w:pPr>
            <w:r w:rsidRPr="001A7BD9">
              <w:rPr>
                <w:rFonts w:ascii="Book Antiqua" w:hAnsi="Book Antiqua" w:cs="Times New Roman"/>
                <w:b/>
                <w:bCs/>
                <w:color w:val="0070C0"/>
                <w:sz w:val="22"/>
                <w:szCs w:val="22"/>
              </w:rPr>
              <w:t>2019</w:t>
            </w:r>
          </w:p>
        </w:tc>
        <w:tc>
          <w:tcPr>
            <w:tcW w:w="1173" w:type="pct"/>
          </w:tcPr>
          <w:p w:rsidR="007A1B29" w:rsidRPr="001A7BD9" w:rsidRDefault="007A1B29" w:rsidP="002E1989">
            <w:pPr>
              <w:tabs>
                <w:tab w:val="left" w:pos="-720"/>
              </w:tabs>
              <w:suppressAutoHyphens/>
              <w:jc w:val="center"/>
              <w:rPr>
                <w:rFonts w:ascii="Book Antiqua" w:hAnsi="Book Antiqua" w:cs="Times New Roman"/>
                <w:b/>
                <w:bCs/>
                <w:color w:val="0070C0"/>
                <w:sz w:val="22"/>
                <w:szCs w:val="22"/>
              </w:rPr>
            </w:pPr>
            <w:r w:rsidRPr="001A7BD9">
              <w:rPr>
                <w:rFonts w:ascii="Book Antiqua" w:hAnsi="Book Antiqua" w:cs="Times New Roman"/>
                <w:b/>
                <w:bCs/>
                <w:color w:val="0070C0"/>
                <w:sz w:val="22"/>
                <w:szCs w:val="22"/>
              </w:rPr>
              <w:t>Premier trimestre 2020</w:t>
            </w:r>
          </w:p>
        </w:tc>
      </w:tr>
      <w:tr w:rsidR="007A1B29" w:rsidRPr="001A7BD9" w:rsidTr="002E1989">
        <w:trPr>
          <w:trHeight w:val="153"/>
        </w:trPr>
        <w:tc>
          <w:tcPr>
            <w:tcW w:w="5000" w:type="pct"/>
            <w:gridSpan w:val="3"/>
          </w:tcPr>
          <w:p w:rsidR="007A1B29" w:rsidRPr="001A7BD9" w:rsidRDefault="007A1B29" w:rsidP="00C13B68">
            <w:pPr>
              <w:tabs>
                <w:tab w:val="left" w:pos="-720"/>
              </w:tabs>
              <w:suppressAutoHyphens/>
              <w:jc w:val="right"/>
              <w:rPr>
                <w:rFonts w:ascii="Garamond" w:hAnsi="Garamond" w:cs="Times New Roman"/>
                <w:b/>
                <w:spacing w:val="-2"/>
                <w:sz w:val="22"/>
                <w:szCs w:val="22"/>
              </w:rPr>
            </w:pPr>
            <w:r w:rsidRPr="001A7BD9">
              <w:rPr>
                <w:rFonts w:ascii="Book Antiqua" w:hAnsi="Book Antiqua" w:cs="Times New Roman"/>
                <w:b/>
                <w:i/>
                <w:color w:val="0070C0"/>
                <w:spacing w:val="-2"/>
                <w:sz w:val="22"/>
                <w:szCs w:val="22"/>
              </w:rPr>
              <w:t xml:space="preserve"> Taux d’activité ( 15 ans et plus )</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1 : Tanger-Tétouan-Al Hoceima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46,2</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48,6</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2 : Oriental</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43,7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42,8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3 : Fès-Meknès</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43,2</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42,7</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4 : Rabat-Salé-Kénitra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45,7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44,9</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5 : Béni Mellal-Khénifra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44,1</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43,8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6 :  Casablanca-Settat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49,2</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49,7</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7 : Marrakech-Safi</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47,0</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47,8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8 : Drâa-Tafilalet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39,7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9 : Souss-Massa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42,7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43,0</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 xml:space="preserve">Régions du Sud </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47,9</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44,6</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
                <w:sz w:val="22"/>
                <w:szCs w:val="22"/>
              </w:rPr>
            </w:pPr>
            <w:r w:rsidRPr="001A7BD9">
              <w:rPr>
                <w:rFonts w:ascii="Book Antiqua" w:hAnsi="Book Antiqua" w:cs="Arial"/>
                <w:b/>
                <w:sz w:val="22"/>
                <w:szCs w:val="22"/>
              </w:rPr>
              <w:t xml:space="preserve">    Total</w:t>
            </w:r>
          </w:p>
        </w:tc>
        <w:tc>
          <w:tcPr>
            <w:tcW w:w="1116" w:type="pct"/>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45,7</w:t>
            </w:r>
          </w:p>
        </w:tc>
        <w:tc>
          <w:tcPr>
            <w:tcW w:w="1173" w:type="pct"/>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46,0</w:t>
            </w:r>
          </w:p>
        </w:tc>
      </w:tr>
      <w:tr w:rsidR="007A1B29" w:rsidRPr="001A7BD9" w:rsidTr="002E1989">
        <w:trPr>
          <w:trHeight w:val="200"/>
        </w:trPr>
        <w:tc>
          <w:tcPr>
            <w:tcW w:w="5000" w:type="pct"/>
            <w:gridSpan w:val="3"/>
          </w:tcPr>
          <w:p w:rsidR="007A1B29" w:rsidRPr="001A7BD9" w:rsidRDefault="007A1B29" w:rsidP="00C13B68">
            <w:pPr>
              <w:bidi w:val="0"/>
              <w:rPr>
                <w:rFonts w:ascii="Book Antiqua" w:hAnsi="Book Antiqua" w:cs="Arial"/>
                <w:bCs/>
                <w:sz w:val="22"/>
                <w:szCs w:val="22"/>
              </w:rPr>
            </w:pPr>
            <w:r w:rsidRPr="001A7BD9">
              <w:rPr>
                <w:rFonts w:ascii="Book Antiqua" w:hAnsi="Book Antiqua" w:cs="Times New Roman"/>
                <w:b/>
                <w:i/>
                <w:color w:val="0070C0"/>
                <w:spacing w:val="-2"/>
                <w:sz w:val="22"/>
                <w:szCs w:val="22"/>
              </w:rPr>
              <w:t xml:space="preserve"> Taux d’emploi ( 15 ans et plus )</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1 : Tanger-Tétouan-Al Hoceima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42,9</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44,3</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2 : Oriental</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37,3</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34,8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3 : Fès-Meknès</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39,2</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37,7</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4 : Rabat-Salé-Kénitra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40,4</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39,6</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5 : Béni Mellal-Khénifra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41,9</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41,2</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6 :  Casablanca-Settat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44,6</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43,6</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7 : Marrakech-Safi</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44,3</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45,2</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8 : Drâa-Tafilalet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38,0</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41,8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9 : Souss-Massa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38,1</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38,9</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 xml:space="preserve">Régions du Sud </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40,7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37,2</w:t>
            </w:r>
          </w:p>
        </w:tc>
      </w:tr>
      <w:tr w:rsidR="007A1B29" w:rsidRPr="001A7BD9" w:rsidTr="002E1989">
        <w:trPr>
          <w:trHeight w:val="113"/>
        </w:trPr>
        <w:tc>
          <w:tcPr>
            <w:tcW w:w="2711" w:type="pct"/>
          </w:tcPr>
          <w:p w:rsidR="007A1B29" w:rsidRPr="001A7BD9" w:rsidRDefault="007A1B29" w:rsidP="00C13B68">
            <w:pPr>
              <w:tabs>
                <w:tab w:val="left" w:pos="-720"/>
              </w:tabs>
              <w:suppressAutoHyphens/>
              <w:jc w:val="right"/>
              <w:rPr>
                <w:rFonts w:ascii="Book Antiqua" w:hAnsi="Book Antiqua" w:cs="Times New Roman"/>
                <w:b/>
                <w:spacing w:val="-2"/>
                <w:sz w:val="22"/>
                <w:szCs w:val="22"/>
              </w:rPr>
            </w:pPr>
            <w:r w:rsidRPr="001A7BD9">
              <w:rPr>
                <w:rFonts w:ascii="Book Antiqua" w:hAnsi="Book Antiqua" w:cs="Times New Roman"/>
                <w:bCs/>
                <w:spacing w:val="-2"/>
                <w:sz w:val="22"/>
                <w:szCs w:val="22"/>
              </w:rPr>
              <w:t xml:space="preserve">      </w:t>
            </w:r>
            <w:r w:rsidRPr="001A7BD9">
              <w:rPr>
                <w:rFonts w:ascii="Book Antiqua" w:hAnsi="Book Antiqua" w:cs="Arial"/>
                <w:b/>
                <w:sz w:val="22"/>
                <w:szCs w:val="22"/>
              </w:rPr>
              <w:t>Total</w:t>
            </w:r>
          </w:p>
        </w:tc>
        <w:tc>
          <w:tcPr>
            <w:tcW w:w="1116" w:type="pct"/>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41,5</w:t>
            </w:r>
          </w:p>
        </w:tc>
        <w:tc>
          <w:tcPr>
            <w:tcW w:w="1173" w:type="pct"/>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41,2</w:t>
            </w:r>
          </w:p>
        </w:tc>
      </w:tr>
      <w:tr w:rsidR="007A1B29" w:rsidRPr="001A7BD9" w:rsidTr="002E1989">
        <w:trPr>
          <w:trHeight w:val="113"/>
        </w:trPr>
        <w:tc>
          <w:tcPr>
            <w:tcW w:w="5000" w:type="pct"/>
            <w:gridSpan w:val="3"/>
          </w:tcPr>
          <w:p w:rsidR="007A1B29" w:rsidRPr="001A7BD9" w:rsidRDefault="007A1B29" w:rsidP="00C13B68">
            <w:pPr>
              <w:bidi w:val="0"/>
              <w:rPr>
                <w:rFonts w:ascii="Book Antiqua" w:hAnsi="Book Antiqua" w:cs="Arial"/>
                <w:bCs/>
                <w:sz w:val="22"/>
                <w:szCs w:val="22"/>
              </w:rPr>
            </w:pPr>
            <w:r w:rsidRPr="001A7BD9">
              <w:rPr>
                <w:rFonts w:ascii="Book Antiqua" w:hAnsi="Book Antiqua" w:cs="Times New Roman"/>
                <w:b/>
                <w:i/>
                <w:color w:val="0070C0"/>
                <w:spacing w:val="-2"/>
                <w:sz w:val="22"/>
                <w:szCs w:val="22"/>
              </w:rPr>
              <w:t xml:space="preserve"> Taux de chômage ( 15 ans et plus )</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1 : Tanger-Tétouan-Al Hoceima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7,1</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8,9</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2 : Oriental</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14,7</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18,8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3 : Fès-Meknès</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9,3</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11,8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4 : Rabat-Salé-Kénitra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11,5</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11,8</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5 : Béni Mellal-Khénifra</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5,0</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6,0</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6 :  Casablanca-Settat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9,4</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12,4</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7 : Marrakech-Safi</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5,8</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5,4</w:t>
            </w:r>
          </w:p>
        </w:tc>
      </w:tr>
      <w:tr w:rsidR="007A1B29" w:rsidRPr="001A7BD9" w:rsidTr="002E1989">
        <w:trPr>
          <w:trHeight w:val="113"/>
        </w:trPr>
        <w:tc>
          <w:tcPr>
            <w:tcW w:w="2711" w:type="pct"/>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8 : Drâa-Tafilalet</w:t>
            </w:r>
          </w:p>
        </w:tc>
        <w:tc>
          <w:tcPr>
            <w:tcW w:w="1116"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4,5</w:t>
            </w:r>
          </w:p>
        </w:tc>
        <w:tc>
          <w:tcPr>
            <w:tcW w:w="1173" w:type="pct"/>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6,5</w:t>
            </w:r>
          </w:p>
        </w:tc>
      </w:tr>
      <w:tr w:rsidR="007A1B29" w:rsidRPr="001A7BD9" w:rsidTr="002E1989">
        <w:trPr>
          <w:trHeight w:val="113"/>
        </w:trPr>
        <w:tc>
          <w:tcPr>
            <w:tcW w:w="2711" w:type="pct"/>
            <w:tcBorders>
              <w:top w:val="single" w:sz="6" w:space="0" w:color="auto"/>
              <w:left w:val="single" w:sz="6" w:space="0" w:color="auto"/>
              <w:bottom w:val="single" w:sz="6" w:space="0" w:color="auto"/>
              <w:right w:val="single" w:sz="6" w:space="0" w:color="auto"/>
            </w:tcBorders>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Région 9 : Souss-Massa</w:t>
            </w:r>
          </w:p>
        </w:tc>
        <w:tc>
          <w:tcPr>
            <w:tcW w:w="1116"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10,6</w:t>
            </w:r>
          </w:p>
        </w:tc>
        <w:tc>
          <w:tcPr>
            <w:tcW w:w="1173"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9,5</w:t>
            </w:r>
          </w:p>
        </w:tc>
      </w:tr>
      <w:tr w:rsidR="007A1B29" w:rsidRPr="001A7BD9" w:rsidTr="002E1989">
        <w:trPr>
          <w:trHeight w:val="113"/>
        </w:trPr>
        <w:tc>
          <w:tcPr>
            <w:tcW w:w="2711" w:type="pct"/>
            <w:tcBorders>
              <w:top w:val="single" w:sz="6" w:space="0" w:color="auto"/>
              <w:left w:val="single" w:sz="6" w:space="0" w:color="auto"/>
              <w:bottom w:val="single" w:sz="6" w:space="0" w:color="auto"/>
              <w:right w:val="single" w:sz="6" w:space="0" w:color="auto"/>
            </w:tcBorders>
          </w:tcPr>
          <w:p w:rsidR="007A1B29" w:rsidRPr="001A7BD9" w:rsidRDefault="007A1B29" w:rsidP="00C13B68">
            <w:pPr>
              <w:bidi w:val="0"/>
              <w:rPr>
                <w:rFonts w:ascii="Book Antiqua" w:hAnsi="Book Antiqua" w:cs="Arial"/>
                <w:bCs/>
                <w:sz w:val="22"/>
                <w:szCs w:val="22"/>
              </w:rPr>
            </w:pPr>
            <w:r w:rsidRPr="001A7BD9">
              <w:rPr>
                <w:rFonts w:ascii="Book Antiqua" w:hAnsi="Book Antiqua" w:cs="Arial"/>
                <w:bCs/>
                <w:sz w:val="22"/>
                <w:szCs w:val="22"/>
              </w:rPr>
              <w:t xml:space="preserve">Régions du Sud </w:t>
            </w:r>
          </w:p>
        </w:tc>
        <w:tc>
          <w:tcPr>
            <w:tcW w:w="1116"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15,0</w:t>
            </w:r>
          </w:p>
        </w:tc>
        <w:tc>
          <w:tcPr>
            <w:tcW w:w="1173"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Cs/>
                <w:color w:val="000000"/>
                <w:sz w:val="22"/>
                <w:szCs w:val="22"/>
              </w:rPr>
            </w:pPr>
            <w:r w:rsidRPr="001A7BD9">
              <w:rPr>
                <w:rFonts w:ascii="Garamond" w:hAnsi="Garamond" w:cs="Times New Roman"/>
                <w:bCs/>
                <w:color w:val="000000"/>
                <w:sz w:val="22"/>
                <w:szCs w:val="22"/>
              </w:rPr>
              <w:t>16,7</w:t>
            </w:r>
          </w:p>
        </w:tc>
      </w:tr>
      <w:tr w:rsidR="007A1B29" w:rsidRPr="001A7BD9" w:rsidTr="002E1989">
        <w:trPr>
          <w:trHeight w:val="113"/>
        </w:trPr>
        <w:tc>
          <w:tcPr>
            <w:tcW w:w="2711" w:type="pct"/>
            <w:tcBorders>
              <w:top w:val="single" w:sz="6" w:space="0" w:color="auto"/>
              <w:left w:val="single" w:sz="6" w:space="0" w:color="auto"/>
              <w:bottom w:val="single" w:sz="6" w:space="0" w:color="auto"/>
              <w:right w:val="single" w:sz="6" w:space="0" w:color="auto"/>
            </w:tcBorders>
          </w:tcPr>
          <w:p w:rsidR="007A1B29" w:rsidRPr="001A7BD9" w:rsidRDefault="007A1B29" w:rsidP="00C13B68">
            <w:pPr>
              <w:tabs>
                <w:tab w:val="left" w:pos="-720"/>
              </w:tabs>
              <w:suppressAutoHyphens/>
              <w:jc w:val="right"/>
              <w:rPr>
                <w:rFonts w:ascii="Book Antiqua" w:hAnsi="Book Antiqua" w:cs="Times New Roman"/>
                <w:b/>
                <w:spacing w:val="-2"/>
                <w:sz w:val="22"/>
                <w:szCs w:val="22"/>
              </w:rPr>
            </w:pPr>
            <w:r w:rsidRPr="001A7BD9">
              <w:rPr>
                <w:rFonts w:ascii="Book Antiqua" w:hAnsi="Book Antiqua" w:cs="Times New Roman"/>
                <w:bCs/>
                <w:spacing w:val="-2"/>
                <w:sz w:val="22"/>
                <w:szCs w:val="22"/>
              </w:rPr>
              <w:t xml:space="preserve">      </w:t>
            </w:r>
            <w:r w:rsidRPr="001A7BD9">
              <w:rPr>
                <w:rFonts w:ascii="Book Antiqua" w:hAnsi="Book Antiqua" w:cs="Arial"/>
                <w:b/>
                <w:sz w:val="22"/>
                <w:szCs w:val="22"/>
              </w:rPr>
              <w:t>Total</w:t>
            </w:r>
          </w:p>
        </w:tc>
        <w:tc>
          <w:tcPr>
            <w:tcW w:w="1116"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9,1</w:t>
            </w:r>
          </w:p>
        </w:tc>
        <w:tc>
          <w:tcPr>
            <w:tcW w:w="1173" w:type="pct"/>
            <w:tcBorders>
              <w:top w:val="single" w:sz="6" w:space="0" w:color="auto"/>
              <w:left w:val="single" w:sz="6" w:space="0" w:color="auto"/>
              <w:bottom w:val="single" w:sz="6" w:space="0" w:color="auto"/>
              <w:right w:val="single" w:sz="6" w:space="0" w:color="auto"/>
            </w:tcBorders>
            <w:vAlign w:val="bottom"/>
          </w:tcPr>
          <w:p w:rsidR="007A1B29" w:rsidRPr="001A7BD9" w:rsidRDefault="007A1B29" w:rsidP="00C13B68">
            <w:pPr>
              <w:jc w:val="center"/>
              <w:rPr>
                <w:rFonts w:ascii="Garamond" w:hAnsi="Garamond" w:cs="Times New Roman"/>
                <w:b/>
                <w:color w:val="000000"/>
                <w:sz w:val="22"/>
                <w:szCs w:val="22"/>
              </w:rPr>
            </w:pPr>
            <w:r w:rsidRPr="001A7BD9">
              <w:rPr>
                <w:rFonts w:ascii="Garamond" w:hAnsi="Garamond" w:cs="Times New Roman"/>
                <w:b/>
                <w:color w:val="000000"/>
                <w:sz w:val="22"/>
                <w:szCs w:val="22"/>
              </w:rPr>
              <w:t>10,5</w:t>
            </w:r>
          </w:p>
        </w:tc>
      </w:tr>
    </w:tbl>
    <w:p w:rsidR="001A7BD9" w:rsidRPr="00AA7937" w:rsidRDefault="001A7BD9" w:rsidP="001A7BD9">
      <w:pPr>
        <w:tabs>
          <w:tab w:val="left" w:pos="-720"/>
        </w:tabs>
        <w:suppressAutoHyphens/>
        <w:bidi w:val="0"/>
        <w:jc w:val="both"/>
        <w:rPr>
          <w:b/>
          <w:bCs/>
          <w:color w:val="222222"/>
          <w:shd w:val="clear" w:color="auto" w:fill="FFFFFF"/>
        </w:rPr>
      </w:pPr>
      <w:r w:rsidRPr="00AA7937">
        <w:rPr>
          <w:b/>
          <w:bCs/>
          <w:color w:val="222222"/>
          <w:shd w:val="clear" w:color="auto" w:fill="FFFFFF"/>
        </w:rPr>
        <w:t xml:space="preserve">Source : Enquête nationale sur l'emploi, Haut Commissariat au Plan </w:t>
      </w:r>
    </w:p>
    <w:p w:rsidR="007A1B29" w:rsidRDefault="007A1B29" w:rsidP="007A1B29">
      <w:pPr>
        <w:bidi w:val="0"/>
        <w:ind w:left="-284"/>
        <w:rPr>
          <w:rFonts w:ascii="Book Antiqua" w:hAnsi="Book Antiqua" w:cs="Times New Roman"/>
          <w:color w:val="0070C0"/>
          <w:sz w:val="22"/>
          <w:szCs w:val="22"/>
        </w:rPr>
      </w:pPr>
    </w:p>
    <w:p w:rsidR="007A1B29" w:rsidRPr="00E34C4F" w:rsidRDefault="007A1B29" w:rsidP="007A1B29">
      <w:pPr>
        <w:tabs>
          <w:tab w:val="left" w:pos="-720"/>
        </w:tabs>
        <w:suppressAutoHyphens/>
        <w:jc w:val="right"/>
      </w:pPr>
    </w:p>
    <w:p w:rsidR="007A1B29" w:rsidRDefault="007A1B29" w:rsidP="007A1B29">
      <w:pPr>
        <w:tabs>
          <w:tab w:val="left" w:pos="-720"/>
        </w:tabs>
        <w:suppressAutoHyphens/>
        <w:jc w:val="right"/>
      </w:pPr>
    </w:p>
    <w:p w:rsidR="006248B1" w:rsidRPr="007A1B29" w:rsidRDefault="006248B1" w:rsidP="00AB0D20">
      <w:pPr>
        <w:tabs>
          <w:tab w:val="left" w:pos="-720"/>
        </w:tabs>
        <w:suppressAutoHyphens/>
        <w:jc w:val="right"/>
      </w:pPr>
    </w:p>
    <w:sectPr w:rsidR="006248B1" w:rsidRPr="007A1B29" w:rsidSect="001702E4">
      <w:footerReference w:type="even" r:id="rId15"/>
      <w:footerReference w:type="default" r:id="rId16"/>
      <w:pgSz w:w="12240" w:h="15840"/>
      <w:pgMar w:top="851" w:right="1418" w:bottom="1077"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73A" w:rsidRDefault="0029273A" w:rsidP="009B7BDC">
      <w:r>
        <w:separator/>
      </w:r>
    </w:p>
  </w:endnote>
  <w:endnote w:type="continuationSeparator" w:id="1">
    <w:p w:rsidR="0029273A" w:rsidRDefault="0029273A"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Browallia New">
    <w:altName w:val="Arial Unicode MS"/>
    <w:panose1 w:val="020B06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9C" w:rsidRDefault="00C31F04"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B7109C">
      <w:rPr>
        <w:rStyle w:val="Numrodepage"/>
        <w:rFonts w:cs="Traditional Arabic"/>
      </w:rPr>
      <w:instrText xml:space="preserve">PAGE  </w:instrText>
    </w:r>
    <w:r>
      <w:rPr>
        <w:rStyle w:val="Numrodepage"/>
        <w:rFonts w:cs="Traditional Arabic"/>
      </w:rPr>
      <w:fldChar w:fldCharType="end"/>
    </w:r>
  </w:p>
  <w:p w:rsidR="00B7109C" w:rsidRDefault="00B710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9C" w:rsidRDefault="00C31F04">
    <w:pPr>
      <w:pStyle w:val="Pieddepage"/>
      <w:jc w:val="center"/>
    </w:pPr>
    <w:fldSimple w:instr=" PAGE   \* MERGEFORMAT ">
      <w:r w:rsidR="00D3350E">
        <w:rPr>
          <w:rtl/>
        </w:rPr>
        <w:t>9</w:t>
      </w:r>
    </w:fldSimple>
  </w:p>
  <w:p w:rsidR="00B7109C" w:rsidRDefault="00B710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73A" w:rsidRDefault="0029273A" w:rsidP="009B7BDC">
      <w:r>
        <w:separator/>
      </w:r>
    </w:p>
  </w:footnote>
  <w:footnote w:type="continuationSeparator" w:id="1">
    <w:p w:rsidR="0029273A" w:rsidRDefault="0029273A" w:rsidP="009B7BDC">
      <w:r>
        <w:continuationSeparator/>
      </w:r>
    </w:p>
  </w:footnote>
  <w:footnote w:id="2">
    <w:p w:rsidR="00B7109C" w:rsidRDefault="00B7109C" w:rsidP="00197304">
      <w:pPr>
        <w:pStyle w:val="Notedebasdepage"/>
      </w:pPr>
      <w:r>
        <w:rPr>
          <w:rStyle w:val="Appelnotedebasdep"/>
        </w:rPr>
        <w:footnoteRef/>
      </w:r>
      <w:r>
        <w:t xml:space="preserve"> </w:t>
      </w:r>
      <w:r>
        <w:rPr>
          <w:b/>
          <w:bCs/>
          <w:color w:val="222222"/>
          <w:shd w:val="clear" w:color="auto" w:fill="FFFFFF"/>
        </w:rPr>
        <w:t xml:space="preserve">A cause des restrictions liées au Covid-19, </w:t>
      </w:r>
      <w:r>
        <w:rPr>
          <w:rFonts w:ascii="&amp;quot" w:hAnsi="&amp;quot"/>
          <w:b/>
          <w:bCs/>
          <w:color w:val="222222"/>
          <w:sz w:val="17"/>
          <w:szCs w:val="17"/>
        </w:rPr>
        <w:t> </w:t>
      </w:r>
      <w:r>
        <w:rPr>
          <w:b/>
          <w:bCs/>
          <w:color w:val="222222"/>
          <w:shd w:val="clear" w:color="auto" w:fill="FFFFFF"/>
        </w:rPr>
        <w:t>la collecte des données de l'enquête de ce trimestre a été effectuée durant la période allant du 01 janvier au 20 mars de 2020.</w:t>
      </w:r>
    </w:p>
  </w:footnote>
  <w:footnote w:id="3">
    <w:p w:rsidR="00B7109C" w:rsidRDefault="00B7109C" w:rsidP="00C36D9C">
      <w:pPr>
        <w:pStyle w:val="Notedebasdepage"/>
      </w:pPr>
      <w:r>
        <w:rPr>
          <w:rStyle w:val="Appelnotedebasdep"/>
        </w:rPr>
        <w:footnoteRef/>
      </w:r>
      <w:r>
        <w:t xml:space="preserve"> L’écart entre la création d’emploi au niveau global et par secteurs concerne les activités mal ou non désignées.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C490DED"/>
    <w:multiLevelType w:val="hybridMultilevel"/>
    <w:tmpl w:val="32160778"/>
    <w:lvl w:ilvl="0" w:tplc="047C7932">
      <w:start w:val="1"/>
      <w:numFmt w:val="decimal"/>
      <w:lvlText w:val="%1."/>
      <w:lvlJc w:val="left"/>
      <w:pPr>
        <w:ind w:left="720" w:hanging="360"/>
      </w:pPr>
      <w:rPr>
        <w:rFonts w:cs="Times New Roman" w:hint="default"/>
        <w:i w:val="0"/>
        <w:color w:val="632423" w:themeColor="accent2" w:themeShade="8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6D4"/>
    <w:multiLevelType w:val="hybridMultilevel"/>
    <w:tmpl w:val="75526C8C"/>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D92C39"/>
    <w:multiLevelType w:val="hybridMultilevel"/>
    <w:tmpl w:val="0B02A664"/>
    <w:lvl w:ilvl="0" w:tplc="1A1C14B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2"/>
  </w:num>
  <w:num w:numId="5">
    <w:abstractNumId w:val="3"/>
  </w:num>
  <w:num w:numId="6">
    <w:abstractNumId w:val="8"/>
  </w:num>
  <w:num w:numId="7">
    <w:abstractNumId w:val="0"/>
  </w:num>
  <w:num w:numId="8">
    <w:abstractNumId w:val="11"/>
  </w:num>
  <w:num w:numId="9">
    <w:abstractNumId w:val="7"/>
  </w:num>
  <w:num w:numId="10">
    <w:abstractNumId w:val="21"/>
  </w:num>
  <w:num w:numId="11">
    <w:abstractNumId w:val="15"/>
  </w:num>
  <w:num w:numId="12">
    <w:abstractNumId w:val="13"/>
  </w:num>
  <w:num w:numId="13">
    <w:abstractNumId w:val="10"/>
  </w:num>
  <w:num w:numId="14">
    <w:abstractNumId w:val="14"/>
  </w:num>
  <w:num w:numId="15">
    <w:abstractNumId w:val="1"/>
  </w:num>
  <w:num w:numId="16">
    <w:abstractNumId w:val="9"/>
  </w:num>
  <w:num w:numId="17">
    <w:abstractNumId w:val="12"/>
  </w:num>
  <w:num w:numId="18">
    <w:abstractNumId w:val="16"/>
  </w:num>
  <w:num w:numId="19">
    <w:abstractNumId w:val="17"/>
  </w:num>
  <w:num w:numId="20">
    <w:abstractNumId w:val="4"/>
  </w:num>
  <w:num w:numId="21">
    <w:abstractNumId w:val="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9B7BDC"/>
    <w:rsid w:val="000015A4"/>
    <w:rsid w:val="000029B4"/>
    <w:rsid w:val="00003439"/>
    <w:rsid w:val="00007A4E"/>
    <w:rsid w:val="00012209"/>
    <w:rsid w:val="00014CF6"/>
    <w:rsid w:val="0001609E"/>
    <w:rsid w:val="00023B22"/>
    <w:rsid w:val="00024296"/>
    <w:rsid w:val="0002457C"/>
    <w:rsid w:val="00025176"/>
    <w:rsid w:val="00027624"/>
    <w:rsid w:val="00031F2F"/>
    <w:rsid w:val="00031FF6"/>
    <w:rsid w:val="00032EB2"/>
    <w:rsid w:val="0003474C"/>
    <w:rsid w:val="000362AC"/>
    <w:rsid w:val="00036D21"/>
    <w:rsid w:val="00045ADB"/>
    <w:rsid w:val="00047049"/>
    <w:rsid w:val="00047E68"/>
    <w:rsid w:val="00047EAC"/>
    <w:rsid w:val="00051D20"/>
    <w:rsid w:val="00052B08"/>
    <w:rsid w:val="00053261"/>
    <w:rsid w:val="000535DC"/>
    <w:rsid w:val="0005471B"/>
    <w:rsid w:val="0005611A"/>
    <w:rsid w:val="000636ED"/>
    <w:rsid w:val="00063784"/>
    <w:rsid w:val="00065E4F"/>
    <w:rsid w:val="00066CFA"/>
    <w:rsid w:val="000715D1"/>
    <w:rsid w:val="00071E0C"/>
    <w:rsid w:val="000750BB"/>
    <w:rsid w:val="00080969"/>
    <w:rsid w:val="000833C7"/>
    <w:rsid w:val="000835FE"/>
    <w:rsid w:val="00086955"/>
    <w:rsid w:val="000900D2"/>
    <w:rsid w:val="00090934"/>
    <w:rsid w:val="00090FA3"/>
    <w:rsid w:val="00097B76"/>
    <w:rsid w:val="000A081F"/>
    <w:rsid w:val="000A0D52"/>
    <w:rsid w:val="000B0043"/>
    <w:rsid w:val="000B32EB"/>
    <w:rsid w:val="000B4017"/>
    <w:rsid w:val="000B6D30"/>
    <w:rsid w:val="000B6FCD"/>
    <w:rsid w:val="000C2E8B"/>
    <w:rsid w:val="000C580F"/>
    <w:rsid w:val="000C6A60"/>
    <w:rsid w:val="000D1994"/>
    <w:rsid w:val="000D2029"/>
    <w:rsid w:val="000D32D4"/>
    <w:rsid w:val="000D3D51"/>
    <w:rsid w:val="000D6BE1"/>
    <w:rsid w:val="000E21B7"/>
    <w:rsid w:val="000E735D"/>
    <w:rsid w:val="000F276F"/>
    <w:rsid w:val="000F3175"/>
    <w:rsid w:val="000F4003"/>
    <w:rsid w:val="000F4C0A"/>
    <w:rsid w:val="000F5277"/>
    <w:rsid w:val="000F6ED9"/>
    <w:rsid w:val="00100B48"/>
    <w:rsid w:val="00105F5B"/>
    <w:rsid w:val="001079B3"/>
    <w:rsid w:val="00111BF9"/>
    <w:rsid w:val="001228F8"/>
    <w:rsid w:val="00125739"/>
    <w:rsid w:val="00136BE9"/>
    <w:rsid w:val="0014021F"/>
    <w:rsid w:val="001445C3"/>
    <w:rsid w:val="001445F1"/>
    <w:rsid w:val="001473F7"/>
    <w:rsid w:val="00150AE7"/>
    <w:rsid w:val="00150CAC"/>
    <w:rsid w:val="00151855"/>
    <w:rsid w:val="00155BE8"/>
    <w:rsid w:val="00156607"/>
    <w:rsid w:val="00164573"/>
    <w:rsid w:val="00164747"/>
    <w:rsid w:val="00166584"/>
    <w:rsid w:val="00166652"/>
    <w:rsid w:val="001702E4"/>
    <w:rsid w:val="001775DE"/>
    <w:rsid w:val="001800F6"/>
    <w:rsid w:val="00182B14"/>
    <w:rsid w:val="001844E5"/>
    <w:rsid w:val="00185B83"/>
    <w:rsid w:val="00191D38"/>
    <w:rsid w:val="00193E74"/>
    <w:rsid w:val="00195E1C"/>
    <w:rsid w:val="0019622A"/>
    <w:rsid w:val="00197304"/>
    <w:rsid w:val="00197961"/>
    <w:rsid w:val="00197FBA"/>
    <w:rsid w:val="001A4896"/>
    <w:rsid w:val="001A5213"/>
    <w:rsid w:val="001A5788"/>
    <w:rsid w:val="001A57B8"/>
    <w:rsid w:val="001A7BD9"/>
    <w:rsid w:val="001B2C86"/>
    <w:rsid w:val="001B6226"/>
    <w:rsid w:val="001C3191"/>
    <w:rsid w:val="001C369C"/>
    <w:rsid w:val="001C415F"/>
    <w:rsid w:val="001C477B"/>
    <w:rsid w:val="001D0332"/>
    <w:rsid w:val="001D5975"/>
    <w:rsid w:val="001D6147"/>
    <w:rsid w:val="001D6F08"/>
    <w:rsid w:val="001D719B"/>
    <w:rsid w:val="001D7675"/>
    <w:rsid w:val="001E3468"/>
    <w:rsid w:val="001E4350"/>
    <w:rsid w:val="001E4B66"/>
    <w:rsid w:val="001E5A43"/>
    <w:rsid w:val="001E7221"/>
    <w:rsid w:val="001F137F"/>
    <w:rsid w:val="001F4CEA"/>
    <w:rsid w:val="001F4FAF"/>
    <w:rsid w:val="00200DD0"/>
    <w:rsid w:val="00201055"/>
    <w:rsid w:val="00203B9A"/>
    <w:rsid w:val="00204209"/>
    <w:rsid w:val="00204961"/>
    <w:rsid w:val="00204CC1"/>
    <w:rsid w:val="002052F5"/>
    <w:rsid w:val="00205B08"/>
    <w:rsid w:val="002063F5"/>
    <w:rsid w:val="00207BA8"/>
    <w:rsid w:val="00213BBB"/>
    <w:rsid w:val="00215B05"/>
    <w:rsid w:val="00216395"/>
    <w:rsid w:val="00225716"/>
    <w:rsid w:val="002334EC"/>
    <w:rsid w:val="002335AD"/>
    <w:rsid w:val="00233C4D"/>
    <w:rsid w:val="00234931"/>
    <w:rsid w:val="00234B16"/>
    <w:rsid w:val="00243A15"/>
    <w:rsid w:val="00244452"/>
    <w:rsid w:val="00244488"/>
    <w:rsid w:val="002447AE"/>
    <w:rsid w:val="0024749E"/>
    <w:rsid w:val="0025061C"/>
    <w:rsid w:val="00253C9D"/>
    <w:rsid w:val="002550EB"/>
    <w:rsid w:val="00256058"/>
    <w:rsid w:val="00264153"/>
    <w:rsid w:val="002642AB"/>
    <w:rsid w:val="00267DE0"/>
    <w:rsid w:val="0027355C"/>
    <w:rsid w:val="00273D96"/>
    <w:rsid w:val="00274657"/>
    <w:rsid w:val="0027596D"/>
    <w:rsid w:val="00275F0E"/>
    <w:rsid w:val="002760BE"/>
    <w:rsid w:val="00280596"/>
    <w:rsid w:val="00291E1C"/>
    <w:rsid w:val="0029273A"/>
    <w:rsid w:val="00293100"/>
    <w:rsid w:val="002953C2"/>
    <w:rsid w:val="0029702A"/>
    <w:rsid w:val="00297F0C"/>
    <w:rsid w:val="002A3437"/>
    <w:rsid w:val="002A3476"/>
    <w:rsid w:val="002A705A"/>
    <w:rsid w:val="002A7861"/>
    <w:rsid w:val="002B5783"/>
    <w:rsid w:val="002B629F"/>
    <w:rsid w:val="002B7327"/>
    <w:rsid w:val="002C0306"/>
    <w:rsid w:val="002C1549"/>
    <w:rsid w:val="002C25FA"/>
    <w:rsid w:val="002D1103"/>
    <w:rsid w:val="002D1E36"/>
    <w:rsid w:val="002D2075"/>
    <w:rsid w:val="002E0D12"/>
    <w:rsid w:val="002E12BA"/>
    <w:rsid w:val="002E1989"/>
    <w:rsid w:val="002E3D9E"/>
    <w:rsid w:val="002E48A8"/>
    <w:rsid w:val="002F19BE"/>
    <w:rsid w:val="002F73C3"/>
    <w:rsid w:val="003035A3"/>
    <w:rsid w:val="00303C6A"/>
    <w:rsid w:val="00303D9A"/>
    <w:rsid w:val="003046FF"/>
    <w:rsid w:val="00304811"/>
    <w:rsid w:val="00305CAE"/>
    <w:rsid w:val="00307038"/>
    <w:rsid w:val="00307067"/>
    <w:rsid w:val="003072C7"/>
    <w:rsid w:val="00311472"/>
    <w:rsid w:val="00311A35"/>
    <w:rsid w:val="0031382D"/>
    <w:rsid w:val="00313CE5"/>
    <w:rsid w:val="00322853"/>
    <w:rsid w:val="003228EA"/>
    <w:rsid w:val="00322ABF"/>
    <w:rsid w:val="00322E6C"/>
    <w:rsid w:val="003243C6"/>
    <w:rsid w:val="00327BD8"/>
    <w:rsid w:val="00332C8A"/>
    <w:rsid w:val="003406FA"/>
    <w:rsid w:val="003445F5"/>
    <w:rsid w:val="00346C90"/>
    <w:rsid w:val="00351749"/>
    <w:rsid w:val="0035285B"/>
    <w:rsid w:val="00354014"/>
    <w:rsid w:val="0035448F"/>
    <w:rsid w:val="00354F8F"/>
    <w:rsid w:val="0035578A"/>
    <w:rsid w:val="0035742B"/>
    <w:rsid w:val="0035750D"/>
    <w:rsid w:val="00361E6C"/>
    <w:rsid w:val="003624E5"/>
    <w:rsid w:val="00370345"/>
    <w:rsid w:val="00370F71"/>
    <w:rsid w:val="00373B0C"/>
    <w:rsid w:val="00377111"/>
    <w:rsid w:val="00380F83"/>
    <w:rsid w:val="00381B61"/>
    <w:rsid w:val="0038352E"/>
    <w:rsid w:val="0038586F"/>
    <w:rsid w:val="00387079"/>
    <w:rsid w:val="003872CE"/>
    <w:rsid w:val="00392DE5"/>
    <w:rsid w:val="00393D60"/>
    <w:rsid w:val="003945EC"/>
    <w:rsid w:val="0039741E"/>
    <w:rsid w:val="003A24E1"/>
    <w:rsid w:val="003A357D"/>
    <w:rsid w:val="003A41F5"/>
    <w:rsid w:val="003A7A65"/>
    <w:rsid w:val="003B2C21"/>
    <w:rsid w:val="003B35FC"/>
    <w:rsid w:val="003B400A"/>
    <w:rsid w:val="003B532C"/>
    <w:rsid w:val="003C240C"/>
    <w:rsid w:val="003C2899"/>
    <w:rsid w:val="003C5C50"/>
    <w:rsid w:val="003C7757"/>
    <w:rsid w:val="003D37FE"/>
    <w:rsid w:val="003D6714"/>
    <w:rsid w:val="003E021C"/>
    <w:rsid w:val="003E4EB0"/>
    <w:rsid w:val="003E5AD3"/>
    <w:rsid w:val="003E663D"/>
    <w:rsid w:val="003E7018"/>
    <w:rsid w:val="003F4A7E"/>
    <w:rsid w:val="003F54E6"/>
    <w:rsid w:val="00402265"/>
    <w:rsid w:val="00406922"/>
    <w:rsid w:val="004105FE"/>
    <w:rsid w:val="00411874"/>
    <w:rsid w:val="004146F6"/>
    <w:rsid w:val="00414AD2"/>
    <w:rsid w:val="00416DFD"/>
    <w:rsid w:val="004215CF"/>
    <w:rsid w:val="00421D22"/>
    <w:rsid w:val="00421D6E"/>
    <w:rsid w:val="00425B39"/>
    <w:rsid w:val="004262C7"/>
    <w:rsid w:val="00430790"/>
    <w:rsid w:val="00431406"/>
    <w:rsid w:val="00432DAC"/>
    <w:rsid w:val="00436F02"/>
    <w:rsid w:val="00437CED"/>
    <w:rsid w:val="00444B04"/>
    <w:rsid w:val="0044517B"/>
    <w:rsid w:val="00445DBB"/>
    <w:rsid w:val="00446136"/>
    <w:rsid w:val="0044729D"/>
    <w:rsid w:val="00450821"/>
    <w:rsid w:val="00454BFD"/>
    <w:rsid w:val="00460063"/>
    <w:rsid w:val="004600F1"/>
    <w:rsid w:val="00462FD2"/>
    <w:rsid w:val="0046353C"/>
    <w:rsid w:val="00463923"/>
    <w:rsid w:val="00464B5F"/>
    <w:rsid w:val="004726D3"/>
    <w:rsid w:val="00474154"/>
    <w:rsid w:val="00474B68"/>
    <w:rsid w:val="004775BA"/>
    <w:rsid w:val="004818D7"/>
    <w:rsid w:val="004818EB"/>
    <w:rsid w:val="00482CBE"/>
    <w:rsid w:val="00482CD8"/>
    <w:rsid w:val="004834B6"/>
    <w:rsid w:val="00492B99"/>
    <w:rsid w:val="004949BA"/>
    <w:rsid w:val="004A086F"/>
    <w:rsid w:val="004A27F9"/>
    <w:rsid w:val="004A293D"/>
    <w:rsid w:val="004A3499"/>
    <w:rsid w:val="004A3846"/>
    <w:rsid w:val="004A3CAE"/>
    <w:rsid w:val="004A4A50"/>
    <w:rsid w:val="004A4DDC"/>
    <w:rsid w:val="004A578D"/>
    <w:rsid w:val="004A59B6"/>
    <w:rsid w:val="004A6B2B"/>
    <w:rsid w:val="004A73A3"/>
    <w:rsid w:val="004B269A"/>
    <w:rsid w:val="004B3621"/>
    <w:rsid w:val="004C23E4"/>
    <w:rsid w:val="004D4F7E"/>
    <w:rsid w:val="004E0DD1"/>
    <w:rsid w:val="004E2C6E"/>
    <w:rsid w:val="004E2D89"/>
    <w:rsid w:val="004E330E"/>
    <w:rsid w:val="004E4874"/>
    <w:rsid w:val="004E4B3F"/>
    <w:rsid w:val="004E591D"/>
    <w:rsid w:val="004E6FB0"/>
    <w:rsid w:val="004F377E"/>
    <w:rsid w:val="004F4D8B"/>
    <w:rsid w:val="004F7EDC"/>
    <w:rsid w:val="0050133A"/>
    <w:rsid w:val="00502EB0"/>
    <w:rsid w:val="005049E1"/>
    <w:rsid w:val="00505D2E"/>
    <w:rsid w:val="0050778C"/>
    <w:rsid w:val="00507CA9"/>
    <w:rsid w:val="005146C1"/>
    <w:rsid w:val="00515B78"/>
    <w:rsid w:val="0051656A"/>
    <w:rsid w:val="00516A0D"/>
    <w:rsid w:val="00523DAD"/>
    <w:rsid w:val="00527F61"/>
    <w:rsid w:val="00530415"/>
    <w:rsid w:val="00530778"/>
    <w:rsid w:val="00531D8B"/>
    <w:rsid w:val="00533D58"/>
    <w:rsid w:val="005342C2"/>
    <w:rsid w:val="00535072"/>
    <w:rsid w:val="005363B1"/>
    <w:rsid w:val="00540CCF"/>
    <w:rsid w:val="005452A5"/>
    <w:rsid w:val="00546D44"/>
    <w:rsid w:val="0055490C"/>
    <w:rsid w:val="00555EDF"/>
    <w:rsid w:val="00556660"/>
    <w:rsid w:val="005575CD"/>
    <w:rsid w:val="00560D4E"/>
    <w:rsid w:val="00563B7F"/>
    <w:rsid w:val="005642FA"/>
    <w:rsid w:val="00565C7B"/>
    <w:rsid w:val="00567BC3"/>
    <w:rsid w:val="0057235B"/>
    <w:rsid w:val="00572956"/>
    <w:rsid w:val="00583B7C"/>
    <w:rsid w:val="00583D68"/>
    <w:rsid w:val="00583F4A"/>
    <w:rsid w:val="00587D68"/>
    <w:rsid w:val="00587F1E"/>
    <w:rsid w:val="00590747"/>
    <w:rsid w:val="00592218"/>
    <w:rsid w:val="005922C0"/>
    <w:rsid w:val="00592B59"/>
    <w:rsid w:val="00592E18"/>
    <w:rsid w:val="005965F7"/>
    <w:rsid w:val="005970B1"/>
    <w:rsid w:val="0059727A"/>
    <w:rsid w:val="00597A38"/>
    <w:rsid w:val="005A2F48"/>
    <w:rsid w:val="005A57E6"/>
    <w:rsid w:val="005A60BB"/>
    <w:rsid w:val="005A752C"/>
    <w:rsid w:val="005B2835"/>
    <w:rsid w:val="005B2838"/>
    <w:rsid w:val="005B3E54"/>
    <w:rsid w:val="005B63D5"/>
    <w:rsid w:val="005B7D3B"/>
    <w:rsid w:val="005C1E3E"/>
    <w:rsid w:val="005C2DC1"/>
    <w:rsid w:val="005C334B"/>
    <w:rsid w:val="005C4A2E"/>
    <w:rsid w:val="005C6E59"/>
    <w:rsid w:val="005D23A6"/>
    <w:rsid w:val="005D2D4F"/>
    <w:rsid w:val="005D6096"/>
    <w:rsid w:val="005E24F2"/>
    <w:rsid w:val="005E48BD"/>
    <w:rsid w:val="005E68BF"/>
    <w:rsid w:val="005E69FF"/>
    <w:rsid w:val="005F14B1"/>
    <w:rsid w:val="005F1FBC"/>
    <w:rsid w:val="005F70F7"/>
    <w:rsid w:val="005F745D"/>
    <w:rsid w:val="006001CC"/>
    <w:rsid w:val="006022C1"/>
    <w:rsid w:val="006028B8"/>
    <w:rsid w:val="0060402F"/>
    <w:rsid w:val="00604E42"/>
    <w:rsid w:val="006079F9"/>
    <w:rsid w:val="00607EFC"/>
    <w:rsid w:val="00612908"/>
    <w:rsid w:val="0061365B"/>
    <w:rsid w:val="00614BAE"/>
    <w:rsid w:val="006158A0"/>
    <w:rsid w:val="006165AE"/>
    <w:rsid w:val="006205C6"/>
    <w:rsid w:val="006214A1"/>
    <w:rsid w:val="00621920"/>
    <w:rsid w:val="0062483C"/>
    <w:rsid w:val="006248B1"/>
    <w:rsid w:val="00627ED3"/>
    <w:rsid w:val="006302BB"/>
    <w:rsid w:val="00633255"/>
    <w:rsid w:val="00634C97"/>
    <w:rsid w:val="00635126"/>
    <w:rsid w:val="0063534D"/>
    <w:rsid w:val="006369B4"/>
    <w:rsid w:val="00636A68"/>
    <w:rsid w:val="0064010A"/>
    <w:rsid w:val="00642C11"/>
    <w:rsid w:val="00643AD8"/>
    <w:rsid w:val="006448E0"/>
    <w:rsid w:val="00646DA7"/>
    <w:rsid w:val="00646F82"/>
    <w:rsid w:val="006506E2"/>
    <w:rsid w:val="006529E6"/>
    <w:rsid w:val="0065328B"/>
    <w:rsid w:val="00654EF2"/>
    <w:rsid w:val="00657783"/>
    <w:rsid w:val="0066326E"/>
    <w:rsid w:val="006634E5"/>
    <w:rsid w:val="0066390C"/>
    <w:rsid w:val="006658B9"/>
    <w:rsid w:val="00665ACB"/>
    <w:rsid w:val="0066691D"/>
    <w:rsid w:val="006678ED"/>
    <w:rsid w:val="00667A70"/>
    <w:rsid w:val="00672098"/>
    <w:rsid w:val="00672B4E"/>
    <w:rsid w:val="0067620B"/>
    <w:rsid w:val="00681EB8"/>
    <w:rsid w:val="00682FD9"/>
    <w:rsid w:val="00685BA7"/>
    <w:rsid w:val="0068769F"/>
    <w:rsid w:val="00692F3C"/>
    <w:rsid w:val="00693EDE"/>
    <w:rsid w:val="00694793"/>
    <w:rsid w:val="00694C10"/>
    <w:rsid w:val="00695592"/>
    <w:rsid w:val="006969D0"/>
    <w:rsid w:val="006A0743"/>
    <w:rsid w:val="006A2722"/>
    <w:rsid w:val="006A2DC5"/>
    <w:rsid w:val="006A4DCA"/>
    <w:rsid w:val="006B076E"/>
    <w:rsid w:val="006B2DCD"/>
    <w:rsid w:val="006C142E"/>
    <w:rsid w:val="006C359E"/>
    <w:rsid w:val="006C41C1"/>
    <w:rsid w:val="006C68BB"/>
    <w:rsid w:val="006D0CFB"/>
    <w:rsid w:val="006D3CA9"/>
    <w:rsid w:val="006D689B"/>
    <w:rsid w:val="006E1D3F"/>
    <w:rsid w:val="006E2D69"/>
    <w:rsid w:val="006E461B"/>
    <w:rsid w:val="006E711B"/>
    <w:rsid w:val="006F268F"/>
    <w:rsid w:val="006F2D9D"/>
    <w:rsid w:val="006F3794"/>
    <w:rsid w:val="00705B2E"/>
    <w:rsid w:val="00706D1C"/>
    <w:rsid w:val="0071042E"/>
    <w:rsid w:val="00713ABE"/>
    <w:rsid w:val="00716BE5"/>
    <w:rsid w:val="0072069C"/>
    <w:rsid w:val="00721B43"/>
    <w:rsid w:val="007243C5"/>
    <w:rsid w:val="0072517B"/>
    <w:rsid w:val="007277B9"/>
    <w:rsid w:val="00730B4C"/>
    <w:rsid w:val="00732456"/>
    <w:rsid w:val="007341E0"/>
    <w:rsid w:val="00734460"/>
    <w:rsid w:val="00734750"/>
    <w:rsid w:val="00740F5B"/>
    <w:rsid w:val="007414AA"/>
    <w:rsid w:val="00742277"/>
    <w:rsid w:val="007424CD"/>
    <w:rsid w:val="00743217"/>
    <w:rsid w:val="007456F0"/>
    <w:rsid w:val="0074595C"/>
    <w:rsid w:val="00746423"/>
    <w:rsid w:val="0075120C"/>
    <w:rsid w:val="00751B43"/>
    <w:rsid w:val="00751B90"/>
    <w:rsid w:val="00752217"/>
    <w:rsid w:val="00764681"/>
    <w:rsid w:val="0077129F"/>
    <w:rsid w:val="00775D0D"/>
    <w:rsid w:val="00776653"/>
    <w:rsid w:val="00777E3D"/>
    <w:rsid w:val="0078131E"/>
    <w:rsid w:val="00781537"/>
    <w:rsid w:val="00781567"/>
    <w:rsid w:val="00782432"/>
    <w:rsid w:val="00783D65"/>
    <w:rsid w:val="007857AC"/>
    <w:rsid w:val="00791326"/>
    <w:rsid w:val="00791E7E"/>
    <w:rsid w:val="007936D6"/>
    <w:rsid w:val="007A12CA"/>
    <w:rsid w:val="007A1B29"/>
    <w:rsid w:val="007B126F"/>
    <w:rsid w:val="007B2185"/>
    <w:rsid w:val="007B2CA8"/>
    <w:rsid w:val="007B3A82"/>
    <w:rsid w:val="007B3FB1"/>
    <w:rsid w:val="007B49D5"/>
    <w:rsid w:val="007B5585"/>
    <w:rsid w:val="007B5C17"/>
    <w:rsid w:val="007C30FE"/>
    <w:rsid w:val="007C6FA5"/>
    <w:rsid w:val="007C7457"/>
    <w:rsid w:val="007C7CA2"/>
    <w:rsid w:val="007C7CC5"/>
    <w:rsid w:val="007D31EA"/>
    <w:rsid w:val="007D5A6D"/>
    <w:rsid w:val="007D5E7D"/>
    <w:rsid w:val="007E1DE7"/>
    <w:rsid w:val="007E6DC8"/>
    <w:rsid w:val="007E7E30"/>
    <w:rsid w:val="007F16AC"/>
    <w:rsid w:val="007F2254"/>
    <w:rsid w:val="007F7C47"/>
    <w:rsid w:val="007F7D31"/>
    <w:rsid w:val="0080168E"/>
    <w:rsid w:val="00804116"/>
    <w:rsid w:val="0080418B"/>
    <w:rsid w:val="00804E51"/>
    <w:rsid w:val="00805FAC"/>
    <w:rsid w:val="0080608B"/>
    <w:rsid w:val="00806D62"/>
    <w:rsid w:val="00816005"/>
    <w:rsid w:val="008214B6"/>
    <w:rsid w:val="0082320C"/>
    <w:rsid w:val="0082726C"/>
    <w:rsid w:val="00827D3E"/>
    <w:rsid w:val="00834DCB"/>
    <w:rsid w:val="00835CB2"/>
    <w:rsid w:val="00836E12"/>
    <w:rsid w:val="00840CB8"/>
    <w:rsid w:val="00841ED2"/>
    <w:rsid w:val="0084252C"/>
    <w:rsid w:val="0084327E"/>
    <w:rsid w:val="00844BDF"/>
    <w:rsid w:val="00844F19"/>
    <w:rsid w:val="00845D7D"/>
    <w:rsid w:val="00847328"/>
    <w:rsid w:val="008474D7"/>
    <w:rsid w:val="00852DEE"/>
    <w:rsid w:val="00855EAB"/>
    <w:rsid w:val="00860558"/>
    <w:rsid w:val="00860CCC"/>
    <w:rsid w:val="00861F33"/>
    <w:rsid w:val="00863346"/>
    <w:rsid w:val="008639C7"/>
    <w:rsid w:val="00864940"/>
    <w:rsid w:val="00865125"/>
    <w:rsid w:val="00866FDE"/>
    <w:rsid w:val="00871AAB"/>
    <w:rsid w:val="0087218B"/>
    <w:rsid w:val="00872CCC"/>
    <w:rsid w:val="00873AA4"/>
    <w:rsid w:val="00873FB9"/>
    <w:rsid w:val="0087452E"/>
    <w:rsid w:val="00876A1F"/>
    <w:rsid w:val="00880046"/>
    <w:rsid w:val="00880A0E"/>
    <w:rsid w:val="00880F8D"/>
    <w:rsid w:val="00883636"/>
    <w:rsid w:val="00886D96"/>
    <w:rsid w:val="00892C5F"/>
    <w:rsid w:val="00893381"/>
    <w:rsid w:val="00895007"/>
    <w:rsid w:val="008964E5"/>
    <w:rsid w:val="008A0539"/>
    <w:rsid w:val="008A20AB"/>
    <w:rsid w:val="008A43A0"/>
    <w:rsid w:val="008A45DB"/>
    <w:rsid w:val="008A4829"/>
    <w:rsid w:val="008A5D0E"/>
    <w:rsid w:val="008B0977"/>
    <w:rsid w:val="008B0CB8"/>
    <w:rsid w:val="008B21BA"/>
    <w:rsid w:val="008B2A79"/>
    <w:rsid w:val="008B2D86"/>
    <w:rsid w:val="008B5448"/>
    <w:rsid w:val="008B7DD6"/>
    <w:rsid w:val="008C0C61"/>
    <w:rsid w:val="008C2987"/>
    <w:rsid w:val="008C3F37"/>
    <w:rsid w:val="008C428E"/>
    <w:rsid w:val="008C44D7"/>
    <w:rsid w:val="008D2488"/>
    <w:rsid w:val="008D2845"/>
    <w:rsid w:val="008D32FF"/>
    <w:rsid w:val="008D455D"/>
    <w:rsid w:val="008D6077"/>
    <w:rsid w:val="008D6162"/>
    <w:rsid w:val="008D7EAE"/>
    <w:rsid w:val="008E06EE"/>
    <w:rsid w:val="008E1CEA"/>
    <w:rsid w:val="008E381E"/>
    <w:rsid w:val="008E7C55"/>
    <w:rsid w:val="008F05B5"/>
    <w:rsid w:val="008F3EBA"/>
    <w:rsid w:val="008F428D"/>
    <w:rsid w:val="008F6BC9"/>
    <w:rsid w:val="008F7814"/>
    <w:rsid w:val="008F7889"/>
    <w:rsid w:val="0090050A"/>
    <w:rsid w:val="00900816"/>
    <w:rsid w:val="00900F36"/>
    <w:rsid w:val="00902541"/>
    <w:rsid w:val="00902A5B"/>
    <w:rsid w:val="009132CA"/>
    <w:rsid w:val="00915E14"/>
    <w:rsid w:val="00923A85"/>
    <w:rsid w:val="00925593"/>
    <w:rsid w:val="0092596A"/>
    <w:rsid w:val="009270C2"/>
    <w:rsid w:val="00927937"/>
    <w:rsid w:val="00931762"/>
    <w:rsid w:val="00934160"/>
    <w:rsid w:val="00935004"/>
    <w:rsid w:val="009362C5"/>
    <w:rsid w:val="0094405F"/>
    <w:rsid w:val="0094638B"/>
    <w:rsid w:val="00947677"/>
    <w:rsid w:val="00951F93"/>
    <w:rsid w:val="00952068"/>
    <w:rsid w:val="009539AD"/>
    <w:rsid w:val="00955B5F"/>
    <w:rsid w:val="00956A1E"/>
    <w:rsid w:val="009571E7"/>
    <w:rsid w:val="00960C43"/>
    <w:rsid w:val="00962619"/>
    <w:rsid w:val="00965C94"/>
    <w:rsid w:val="00966444"/>
    <w:rsid w:val="0096715A"/>
    <w:rsid w:val="009678FE"/>
    <w:rsid w:val="0097068A"/>
    <w:rsid w:val="0097155B"/>
    <w:rsid w:val="009731AB"/>
    <w:rsid w:val="00976A52"/>
    <w:rsid w:val="00981804"/>
    <w:rsid w:val="00984E6C"/>
    <w:rsid w:val="00987527"/>
    <w:rsid w:val="00992B57"/>
    <w:rsid w:val="00993485"/>
    <w:rsid w:val="009A1CD6"/>
    <w:rsid w:val="009A22DD"/>
    <w:rsid w:val="009A4597"/>
    <w:rsid w:val="009A63CD"/>
    <w:rsid w:val="009A666E"/>
    <w:rsid w:val="009A6740"/>
    <w:rsid w:val="009B1B4B"/>
    <w:rsid w:val="009B1D56"/>
    <w:rsid w:val="009B26C4"/>
    <w:rsid w:val="009B30F8"/>
    <w:rsid w:val="009B5131"/>
    <w:rsid w:val="009B58D4"/>
    <w:rsid w:val="009B7BDC"/>
    <w:rsid w:val="009B7D06"/>
    <w:rsid w:val="009C0B6B"/>
    <w:rsid w:val="009C3B34"/>
    <w:rsid w:val="009C3EFD"/>
    <w:rsid w:val="009C447E"/>
    <w:rsid w:val="009C4E5B"/>
    <w:rsid w:val="009C4F70"/>
    <w:rsid w:val="009C673F"/>
    <w:rsid w:val="009D0019"/>
    <w:rsid w:val="009D245F"/>
    <w:rsid w:val="009D2A50"/>
    <w:rsid w:val="009D2DC9"/>
    <w:rsid w:val="009D336C"/>
    <w:rsid w:val="009D5726"/>
    <w:rsid w:val="009E0235"/>
    <w:rsid w:val="009E2D38"/>
    <w:rsid w:val="009E34FC"/>
    <w:rsid w:val="009E7C97"/>
    <w:rsid w:val="009F0EC4"/>
    <w:rsid w:val="009F2CF0"/>
    <w:rsid w:val="009F58FE"/>
    <w:rsid w:val="009F5BFE"/>
    <w:rsid w:val="00A0226B"/>
    <w:rsid w:val="00A02809"/>
    <w:rsid w:val="00A0638C"/>
    <w:rsid w:val="00A06968"/>
    <w:rsid w:val="00A12D94"/>
    <w:rsid w:val="00A21C6A"/>
    <w:rsid w:val="00A22DD2"/>
    <w:rsid w:val="00A31234"/>
    <w:rsid w:val="00A3445E"/>
    <w:rsid w:val="00A36CDC"/>
    <w:rsid w:val="00A43D18"/>
    <w:rsid w:val="00A45DD7"/>
    <w:rsid w:val="00A50E6D"/>
    <w:rsid w:val="00A518D2"/>
    <w:rsid w:val="00A52744"/>
    <w:rsid w:val="00A54037"/>
    <w:rsid w:val="00A57935"/>
    <w:rsid w:val="00A57BAB"/>
    <w:rsid w:val="00A636F4"/>
    <w:rsid w:val="00A6451A"/>
    <w:rsid w:val="00A6474A"/>
    <w:rsid w:val="00A65CE8"/>
    <w:rsid w:val="00A72BAA"/>
    <w:rsid w:val="00A77DD9"/>
    <w:rsid w:val="00A835C5"/>
    <w:rsid w:val="00A835E6"/>
    <w:rsid w:val="00A85E20"/>
    <w:rsid w:val="00A879D1"/>
    <w:rsid w:val="00A91F36"/>
    <w:rsid w:val="00A937D3"/>
    <w:rsid w:val="00A94292"/>
    <w:rsid w:val="00A97464"/>
    <w:rsid w:val="00A976D2"/>
    <w:rsid w:val="00A97D34"/>
    <w:rsid w:val="00AA4A20"/>
    <w:rsid w:val="00AA512A"/>
    <w:rsid w:val="00AA70BD"/>
    <w:rsid w:val="00AA7937"/>
    <w:rsid w:val="00AB0075"/>
    <w:rsid w:val="00AB0D20"/>
    <w:rsid w:val="00AB105A"/>
    <w:rsid w:val="00AB2F46"/>
    <w:rsid w:val="00AB33E6"/>
    <w:rsid w:val="00AC0F7F"/>
    <w:rsid w:val="00AC7468"/>
    <w:rsid w:val="00AD08C6"/>
    <w:rsid w:val="00AD0E67"/>
    <w:rsid w:val="00AD2408"/>
    <w:rsid w:val="00AD364F"/>
    <w:rsid w:val="00AD37BE"/>
    <w:rsid w:val="00AE04B1"/>
    <w:rsid w:val="00AE077C"/>
    <w:rsid w:val="00AE3601"/>
    <w:rsid w:val="00AF2B0F"/>
    <w:rsid w:val="00AF3DB7"/>
    <w:rsid w:val="00AF43AB"/>
    <w:rsid w:val="00AF781F"/>
    <w:rsid w:val="00B013CE"/>
    <w:rsid w:val="00B014CA"/>
    <w:rsid w:val="00B05494"/>
    <w:rsid w:val="00B0628E"/>
    <w:rsid w:val="00B20553"/>
    <w:rsid w:val="00B2064A"/>
    <w:rsid w:val="00B22D2B"/>
    <w:rsid w:val="00B2439C"/>
    <w:rsid w:val="00B2485D"/>
    <w:rsid w:val="00B26924"/>
    <w:rsid w:val="00B26EF2"/>
    <w:rsid w:val="00B27800"/>
    <w:rsid w:val="00B32C82"/>
    <w:rsid w:val="00B33A95"/>
    <w:rsid w:val="00B342E2"/>
    <w:rsid w:val="00B40C98"/>
    <w:rsid w:val="00B41F66"/>
    <w:rsid w:val="00B43912"/>
    <w:rsid w:val="00B4492B"/>
    <w:rsid w:val="00B46596"/>
    <w:rsid w:val="00B54326"/>
    <w:rsid w:val="00B5477B"/>
    <w:rsid w:val="00B54E55"/>
    <w:rsid w:val="00B62799"/>
    <w:rsid w:val="00B62AA9"/>
    <w:rsid w:val="00B6404D"/>
    <w:rsid w:val="00B66237"/>
    <w:rsid w:val="00B674A3"/>
    <w:rsid w:val="00B678F1"/>
    <w:rsid w:val="00B707A9"/>
    <w:rsid w:val="00B70DF7"/>
    <w:rsid w:val="00B7109C"/>
    <w:rsid w:val="00B73CFD"/>
    <w:rsid w:val="00B74D22"/>
    <w:rsid w:val="00B7581A"/>
    <w:rsid w:val="00B764BF"/>
    <w:rsid w:val="00B818E2"/>
    <w:rsid w:val="00B83965"/>
    <w:rsid w:val="00B84D47"/>
    <w:rsid w:val="00B86EC4"/>
    <w:rsid w:val="00B87D64"/>
    <w:rsid w:val="00B91AAD"/>
    <w:rsid w:val="00B93465"/>
    <w:rsid w:val="00B9730A"/>
    <w:rsid w:val="00BA20F0"/>
    <w:rsid w:val="00BA4E21"/>
    <w:rsid w:val="00BA5365"/>
    <w:rsid w:val="00BA59DF"/>
    <w:rsid w:val="00BA6BC7"/>
    <w:rsid w:val="00BB3609"/>
    <w:rsid w:val="00BC0EBE"/>
    <w:rsid w:val="00BC0F97"/>
    <w:rsid w:val="00BC131F"/>
    <w:rsid w:val="00BC6AD1"/>
    <w:rsid w:val="00BC7ECE"/>
    <w:rsid w:val="00BD33A3"/>
    <w:rsid w:val="00BD7FC2"/>
    <w:rsid w:val="00BE272A"/>
    <w:rsid w:val="00BE3244"/>
    <w:rsid w:val="00BE3938"/>
    <w:rsid w:val="00BE5A69"/>
    <w:rsid w:val="00BE6C26"/>
    <w:rsid w:val="00BF425F"/>
    <w:rsid w:val="00BF4FB3"/>
    <w:rsid w:val="00BF7C03"/>
    <w:rsid w:val="00BF7DB6"/>
    <w:rsid w:val="00C01CF1"/>
    <w:rsid w:val="00C01D64"/>
    <w:rsid w:val="00C036B7"/>
    <w:rsid w:val="00C04EB8"/>
    <w:rsid w:val="00C052CA"/>
    <w:rsid w:val="00C13B68"/>
    <w:rsid w:val="00C13E1A"/>
    <w:rsid w:val="00C148F2"/>
    <w:rsid w:val="00C15FCB"/>
    <w:rsid w:val="00C21D61"/>
    <w:rsid w:val="00C21E24"/>
    <w:rsid w:val="00C26C95"/>
    <w:rsid w:val="00C30D44"/>
    <w:rsid w:val="00C31F04"/>
    <w:rsid w:val="00C32F4C"/>
    <w:rsid w:val="00C32FD0"/>
    <w:rsid w:val="00C340BE"/>
    <w:rsid w:val="00C348E2"/>
    <w:rsid w:val="00C36D9C"/>
    <w:rsid w:val="00C40AF1"/>
    <w:rsid w:val="00C412DC"/>
    <w:rsid w:val="00C4131A"/>
    <w:rsid w:val="00C42357"/>
    <w:rsid w:val="00C438B8"/>
    <w:rsid w:val="00C468BB"/>
    <w:rsid w:val="00C51CD3"/>
    <w:rsid w:val="00C52E95"/>
    <w:rsid w:val="00C534A2"/>
    <w:rsid w:val="00C55C7B"/>
    <w:rsid w:val="00C55DFD"/>
    <w:rsid w:val="00C56D59"/>
    <w:rsid w:val="00C575B2"/>
    <w:rsid w:val="00C63ABB"/>
    <w:rsid w:val="00C64164"/>
    <w:rsid w:val="00C6785E"/>
    <w:rsid w:val="00C72658"/>
    <w:rsid w:val="00C74E39"/>
    <w:rsid w:val="00C770A9"/>
    <w:rsid w:val="00C770D7"/>
    <w:rsid w:val="00C8114E"/>
    <w:rsid w:val="00C84580"/>
    <w:rsid w:val="00C8588B"/>
    <w:rsid w:val="00C85D09"/>
    <w:rsid w:val="00C914D9"/>
    <w:rsid w:val="00CA26C7"/>
    <w:rsid w:val="00CA289F"/>
    <w:rsid w:val="00CA34D5"/>
    <w:rsid w:val="00CA7892"/>
    <w:rsid w:val="00CA7ADD"/>
    <w:rsid w:val="00CB16CC"/>
    <w:rsid w:val="00CB42CC"/>
    <w:rsid w:val="00CC2F7C"/>
    <w:rsid w:val="00CC5BF5"/>
    <w:rsid w:val="00CD52DB"/>
    <w:rsid w:val="00CD7920"/>
    <w:rsid w:val="00CD7D41"/>
    <w:rsid w:val="00CE004D"/>
    <w:rsid w:val="00CE0586"/>
    <w:rsid w:val="00CE1369"/>
    <w:rsid w:val="00CE16AF"/>
    <w:rsid w:val="00CE3BA8"/>
    <w:rsid w:val="00CE731B"/>
    <w:rsid w:val="00CF0D64"/>
    <w:rsid w:val="00CF16AB"/>
    <w:rsid w:val="00CF20CE"/>
    <w:rsid w:val="00CF2A07"/>
    <w:rsid w:val="00CF4720"/>
    <w:rsid w:val="00D03BD8"/>
    <w:rsid w:val="00D06F37"/>
    <w:rsid w:val="00D07676"/>
    <w:rsid w:val="00D1318D"/>
    <w:rsid w:val="00D15AB8"/>
    <w:rsid w:val="00D15E0E"/>
    <w:rsid w:val="00D1642D"/>
    <w:rsid w:val="00D16A36"/>
    <w:rsid w:val="00D201FA"/>
    <w:rsid w:val="00D21548"/>
    <w:rsid w:val="00D22582"/>
    <w:rsid w:val="00D22A43"/>
    <w:rsid w:val="00D24176"/>
    <w:rsid w:val="00D25226"/>
    <w:rsid w:val="00D27792"/>
    <w:rsid w:val="00D3345F"/>
    <w:rsid w:val="00D3350E"/>
    <w:rsid w:val="00D34004"/>
    <w:rsid w:val="00D3452B"/>
    <w:rsid w:val="00D41611"/>
    <w:rsid w:val="00D41F27"/>
    <w:rsid w:val="00D42D51"/>
    <w:rsid w:val="00D43119"/>
    <w:rsid w:val="00D44710"/>
    <w:rsid w:val="00D4715F"/>
    <w:rsid w:val="00D51DFA"/>
    <w:rsid w:val="00D52766"/>
    <w:rsid w:val="00D529CA"/>
    <w:rsid w:val="00D52D6B"/>
    <w:rsid w:val="00D61357"/>
    <w:rsid w:val="00D619C6"/>
    <w:rsid w:val="00D6390E"/>
    <w:rsid w:val="00D7002C"/>
    <w:rsid w:val="00D702F1"/>
    <w:rsid w:val="00D70666"/>
    <w:rsid w:val="00D73EC3"/>
    <w:rsid w:val="00D75679"/>
    <w:rsid w:val="00D758AC"/>
    <w:rsid w:val="00D75E66"/>
    <w:rsid w:val="00D80AE1"/>
    <w:rsid w:val="00D850B6"/>
    <w:rsid w:val="00D86869"/>
    <w:rsid w:val="00D87298"/>
    <w:rsid w:val="00D87F73"/>
    <w:rsid w:val="00D934F7"/>
    <w:rsid w:val="00D95E34"/>
    <w:rsid w:val="00DA0576"/>
    <w:rsid w:val="00DA0CE0"/>
    <w:rsid w:val="00DA0EEF"/>
    <w:rsid w:val="00DA277B"/>
    <w:rsid w:val="00DB242A"/>
    <w:rsid w:val="00DB2E54"/>
    <w:rsid w:val="00DB3E6A"/>
    <w:rsid w:val="00DB4F6D"/>
    <w:rsid w:val="00DB5026"/>
    <w:rsid w:val="00DB580E"/>
    <w:rsid w:val="00DB6160"/>
    <w:rsid w:val="00DB6B54"/>
    <w:rsid w:val="00DB7A16"/>
    <w:rsid w:val="00DC18C4"/>
    <w:rsid w:val="00DC4FEE"/>
    <w:rsid w:val="00DC5686"/>
    <w:rsid w:val="00DC6A04"/>
    <w:rsid w:val="00DD32F8"/>
    <w:rsid w:val="00DD617E"/>
    <w:rsid w:val="00DE0504"/>
    <w:rsid w:val="00DE2E55"/>
    <w:rsid w:val="00DE4026"/>
    <w:rsid w:val="00DE5373"/>
    <w:rsid w:val="00DE6548"/>
    <w:rsid w:val="00DE673C"/>
    <w:rsid w:val="00DF00DB"/>
    <w:rsid w:val="00DF3461"/>
    <w:rsid w:val="00DF44AC"/>
    <w:rsid w:val="00DF490D"/>
    <w:rsid w:val="00DF780D"/>
    <w:rsid w:val="00E02692"/>
    <w:rsid w:val="00E03282"/>
    <w:rsid w:val="00E032BB"/>
    <w:rsid w:val="00E0457E"/>
    <w:rsid w:val="00E04A33"/>
    <w:rsid w:val="00E06D29"/>
    <w:rsid w:val="00E13525"/>
    <w:rsid w:val="00E13734"/>
    <w:rsid w:val="00E13B21"/>
    <w:rsid w:val="00E1470F"/>
    <w:rsid w:val="00E1507A"/>
    <w:rsid w:val="00E15220"/>
    <w:rsid w:val="00E15EA0"/>
    <w:rsid w:val="00E207B2"/>
    <w:rsid w:val="00E238BE"/>
    <w:rsid w:val="00E24B56"/>
    <w:rsid w:val="00E254B2"/>
    <w:rsid w:val="00E36DB9"/>
    <w:rsid w:val="00E37522"/>
    <w:rsid w:val="00E375D2"/>
    <w:rsid w:val="00E40D23"/>
    <w:rsid w:val="00E44E2F"/>
    <w:rsid w:val="00E5283D"/>
    <w:rsid w:val="00E53E1F"/>
    <w:rsid w:val="00E53E54"/>
    <w:rsid w:val="00E601FA"/>
    <w:rsid w:val="00E61463"/>
    <w:rsid w:val="00E6458E"/>
    <w:rsid w:val="00E64BA3"/>
    <w:rsid w:val="00E64C6A"/>
    <w:rsid w:val="00E6510E"/>
    <w:rsid w:val="00E66730"/>
    <w:rsid w:val="00E71298"/>
    <w:rsid w:val="00E71773"/>
    <w:rsid w:val="00E76902"/>
    <w:rsid w:val="00E77BA2"/>
    <w:rsid w:val="00E8038E"/>
    <w:rsid w:val="00E8159B"/>
    <w:rsid w:val="00E91402"/>
    <w:rsid w:val="00E93822"/>
    <w:rsid w:val="00E93A26"/>
    <w:rsid w:val="00E94782"/>
    <w:rsid w:val="00E96997"/>
    <w:rsid w:val="00EA0115"/>
    <w:rsid w:val="00EA124A"/>
    <w:rsid w:val="00EA1C1B"/>
    <w:rsid w:val="00EA2710"/>
    <w:rsid w:val="00EA273C"/>
    <w:rsid w:val="00EA35C7"/>
    <w:rsid w:val="00EA3CEF"/>
    <w:rsid w:val="00EA607C"/>
    <w:rsid w:val="00EA65BF"/>
    <w:rsid w:val="00EB20E2"/>
    <w:rsid w:val="00EB48C5"/>
    <w:rsid w:val="00EB5B54"/>
    <w:rsid w:val="00EC2747"/>
    <w:rsid w:val="00EC49A3"/>
    <w:rsid w:val="00EC5BB5"/>
    <w:rsid w:val="00EC7E2D"/>
    <w:rsid w:val="00ED2D75"/>
    <w:rsid w:val="00ED4A11"/>
    <w:rsid w:val="00ED5807"/>
    <w:rsid w:val="00ED6F17"/>
    <w:rsid w:val="00ED7017"/>
    <w:rsid w:val="00ED7A4F"/>
    <w:rsid w:val="00ED7C0C"/>
    <w:rsid w:val="00EE0858"/>
    <w:rsid w:val="00EE2216"/>
    <w:rsid w:val="00EE28E0"/>
    <w:rsid w:val="00EE68E2"/>
    <w:rsid w:val="00EF2A9C"/>
    <w:rsid w:val="00EF3922"/>
    <w:rsid w:val="00EF4231"/>
    <w:rsid w:val="00EF6481"/>
    <w:rsid w:val="00EF6821"/>
    <w:rsid w:val="00EF76C7"/>
    <w:rsid w:val="00F043B0"/>
    <w:rsid w:val="00F05199"/>
    <w:rsid w:val="00F05310"/>
    <w:rsid w:val="00F07620"/>
    <w:rsid w:val="00F15554"/>
    <w:rsid w:val="00F158A0"/>
    <w:rsid w:val="00F17D6B"/>
    <w:rsid w:val="00F23529"/>
    <w:rsid w:val="00F26674"/>
    <w:rsid w:val="00F27146"/>
    <w:rsid w:val="00F3162B"/>
    <w:rsid w:val="00F317A4"/>
    <w:rsid w:val="00F36F1A"/>
    <w:rsid w:val="00F37EA1"/>
    <w:rsid w:val="00F40070"/>
    <w:rsid w:val="00F41952"/>
    <w:rsid w:val="00F436C6"/>
    <w:rsid w:val="00F44C34"/>
    <w:rsid w:val="00F47042"/>
    <w:rsid w:val="00F55849"/>
    <w:rsid w:val="00F61905"/>
    <w:rsid w:val="00F62BFE"/>
    <w:rsid w:val="00F64AA8"/>
    <w:rsid w:val="00F64F6E"/>
    <w:rsid w:val="00F71200"/>
    <w:rsid w:val="00F7158B"/>
    <w:rsid w:val="00F71AEA"/>
    <w:rsid w:val="00F75AF5"/>
    <w:rsid w:val="00F80228"/>
    <w:rsid w:val="00F80CEA"/>
    <w:rsid w:val="00F83AF7"/>
    <w:rsid w:val="00F860E1"/>
    <w:rsid w:val="00F90451"/>
    <w:rsid w:val="00F9090F"/>
    <w:rsid w:val="00F90B74"/>
    <w:rsid w:val="00F9184E"/>
    <w:rsid w:val="00F9300D"/>
    <w:rsid w:val="00F941ED"/>
    <w:rsid w:val="00FA0856"/>
    <w:rsid w:val="00FA11BD"/>
    <w:rsid w:val="00FA2570"/>
    <w:rsid w:val="00FA4487"/>
    <w:rsid w:val="00FA52A7"/>
    <w:rsid w:val="00FA663C"/>
    <w:rsid w:val="00FA7779"/>
    <w:rsid w:val="00FA77E5"/>
    <w:rsid w:val="00FB00DD"/>
    <w:rsid w:val="00FB048E"/>
    <w:rsid w:val="00FB140D"/>
    <w:rsid w:val="00FB46B7"/>
    <w:rsid w:val="00FC3B46"/>
    <w:rsid w:val="00FD25BA"/>
    <w:rsid w:val="00FD363F"/>
    <w:rsid w:val="00FE093F"/>
    <w:rsid w:val="00FE17B0"/>
    <w:rsid w:val="00FE30FC"/>
    <w:rsid w:val="00FE6B00"/>
    <w:rsid w:val="00FF0D93"/>
    <w:rsid w:val="00FF1960"/>
    <w:rsid w:val="00FF2443"/>
    <w:rsid w:val="00FF36C0"/>
    <w:rsid w:val="00FF5E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styleId="Accentuation">
    <w:name w:val="Emphasis"/>
    <w:basedOn w:val="Policepardfaut"/>
    <w:uiPriority w:val="20"/>
    <w:qFormat/>
    <w:rsid w:val="004A4A50"/>
    <w:rPr>
      <w:i/>
      <w:iCs/>
    </w:rPr>
  </w:style>
</w:styles>
</file>

<file path=word/webSettings.xml><?xml version="1.0" encoding="utf-8"?>
<w:webSettings xmlns:r="http://schemas.openxmlformats.org/officeDocument/2006/relationships" xmlns:w="http://schemas.openxmlformats.org/wordprocessingml/2006/main">
  <w:divs>
    <w:div w:id="1145663494">
      <w:bodyDiv w:val="1"/>
      <w:marLeft w:val="0"/>
      <w:marRight w:val="0"/>
      <w:marTop w:val="0"/>
      <w:marBottom w:val="0"/>
      <w:divBdr>
        <w:top w:val="none" w:sz="0" w:space="0" w:color="auto"/>
        <w:left w:val="none" w:sz="0" w:space="0" w:color="auto"/>
        <w:bottom w:val="none" w:sz="0" w:space="0" w:color="auto"/>
        <w:right w:val="none" w:sz="0" w:space="0" w:color="auto"/>
      </w:divBdr>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1970819671">
      <w:bodyDiv w:val="1"/>
      <w:marLeft w:val="0"/>
      <w:marRight w:val="0"/>
      <w:marTop w:val="0"/>
      <w:marBottom w:val="0"/>
      <w:divBdr>
        <w:top w:val="none" w:sz="0" w:space="0" w:color="auto"/>
        <w:left w:val="none" w:sz="0" w:space="0" w:color="auto"/>
        <w:bottom w:val="none" w:sz="0" w:space="0" w:color="auto"/>
        <w:right w:val="none" w:sz="0" w:space="0" w:color="auto"/>
      </w:divBdr>
      <w:divsChild>
        <w:div w:id="230820224">
          <w:marLeft w:val="0"/>
          <w:marRight w:val="0"/>
          <w:marTop w:val="20"/>
          <w:marBottom w:val="0"/>
          <w:divBdr>
            <w:top w:val="none" w:sz="0" w:space="0" w:color="auto"/>
            <w:left w:val="none" w:sz="0" w:space="0" w:color="auto"/>
            <w:bottom w:val="none" w:sz="0" w:space="0" w:color="auto"/>
            <w:right w:val="none" w:sz="0" w:space="0" w:color="auto"/>
          </w:divBdr>
          <w:divsChild>
            <w:div w:id="38510701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ICHKA\Desktop\travail\note%20trim-1-2020\Note%20trim%201-2020\creation%20de%20l'emplo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HCP\11%20service%20analyse\14%20notes%20trim\T1%202020\graph%20T1%202020%20chom%20ss%20emp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HCP\11%20service%20analyse\14%20notes%20trim\T1%202020\graph%20T1%202020%20chom%20ss%20emp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ivision_ENE\Service_analyse\Notes_Trim\2020\Indicateurs%20ENE_R&#233;gion_%202020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ivision_ENE\Service_analyse\Notes_Trim\2020\Indicateurs%20ENE_R&#233;gion_%202020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Feuil1!$C$6</c:f>
              <c:strCache>
                <c:ptCount val="1"/>
                <c:pt idx="0">
                  <c:v>Emploi rémunéré</c:v>
                </c:pt>
              </c:strCache>
            </c:strRef>
          </c:tx>
          <c:spPr>
            <a:solidFill>
              <a:schemeClr val="accent6">
                <a:lumMod val="40000"/>
                <a:lumOff val="60000"/>
              </a:schemeClr>
            </a:solidFill>
          </c:spPr>
          <c:dLbls>
            <c:showVal val="1"/>
          </c:dLbls>
          <c:cat>
            <c:strRef>
              <c:f>Feuil1!$D$5:$F$5</c:f>
              <c:strCache>
                <c:ptCount val="3"/>
                <c:pt idx="0">
                  <c:v>Uriban</c:v>
                </c:pt>
                <c:pt idx="1">
                  <c:v>Rural</c:v>
                </c:pt>
                <c:pt idx="2">
                  <c:v>Ensemble</c:v>
                </c:pt>
              </c:strCache>
            </c:strRef>
          </c:cat>
          <c:val>
            <c:numRef>
              <c:f>Feuil1!$D$6:$F$6</c:f>
              <c:numCache>
                <c:formatCode>General</c:formatCode>
                <c:ptCount val="3"/>
                <c:pt idx="0">
                  <c:v>97000</c:v>
                </c:pt>
                <c:pt idx="1">
                  <c:v>15000</c:v>
                </c:pt>
                <c:pt idx="2">
                  <c:v>112000</c:v>
                </c:pt>
              </c:numCache>
            </c:numRef>
          </c:val>
        </c:ser>
        <c:ser>
          <c:idx val="1"/>
          <c:order val="1"/>
          <c:tx>
            <c:strRef>
              <c:f>Feuil1!$C$7</c:f>
              <c:strCache>
                <c:ptCount val="1"/>
                <c:pt idx="0">
                  <c:v>Emploi non rémunéré</c:v>
                </c:pt>
              </c:strCache>
            </c:strRef>
          </c:tx>
          <c:dLbls>
            <c:showVal val="1"/>
          </c:dLbls>
          <c:cat>
            <c:strRef>
              <c:f>Feuil1!$D$5:$F$5</c:f>
              <c:strCache>
                <c:ptCount val="3"/>
                <c:pt idx="0">
                  <c:v>Uriban</c:v>
                </c:pt>
                <c:pt idx="1">
                  <c:v>Rural</c:v>
                </c:pt>
                <c:pt idx="2">
                  <c:v>Ensemble</c:v>
                </c:pt>
              </c:strCache>
            </c:strRef>
          </c:cat>
          <c:val>
            <c:numRef>
              <c:f>Feuil1!$D$7:$F$7</c:f>
              <c:numCache>
                <c:formatCode>General</c:formatCode>
                <c:ptCount val="3"/>
                <c:pt idx="0">
                  <c:v>-17000</c:v>
                </c:pt>
                <c:pt idx="1">
                  <c:v>-18000</c:v>
                </c:pt>
                <c:pt idx="2">
                  <c:v>-35000</c:v>
                </c:pt>
              </c:numCache>
            </c:numRef>
          </c:val>
        </c:ser>
        <c:ser>
          <c:idx val="2"/>
          <c:order val="2"/>
          <c:tx>
            <c:strRef>
              <c:f>Feuil1!$C$8</c:f>
              <c:strCache>
                <c:ptCount val="1"/>
                <c:pt idx="0">
                  <c:v>Ensemble</c:v>
                </c:pt>
              </c:strCache>
            </c:strRef>
          </c:tx>
          <c:spPr>
            <a:solidFill>
              <a:srgbClr val="FFC000"/>
            </a:solidFill>
          </c:spPr>
          <c:dLbls>
            <c:showVal val="1"/>
          </c:dLbls>
          <c:cat>
            <c:strRef>
              <c:f>Feuil1!$D$5:$F$5</c:f>
              <c:strCache>
                <c:ptCount val="3"/>
                <c:pt idx="0">
                  <c:v>Uriban</c:v>
                </c:pt>
                <c:pt idx="1">
                  <c:v>Rural</c:v>
                </c:pt>
                <c:pt idx="2">
                  <c:v>Ensemble</c:v>
                </c:pt>
              </c:strCache>
            </c:strRef>
          </c:cat>
          <c:val>
            <c:numRef>
              <c:f>Feuil1!$D$8:$F$8</c:f>
              <c:numCache>
                <c:formatCode>General</c:formatCode>
                <c:ptCount val="3"/>
                <c:pt idx="0">
                  <c:v>80000</c:v>
                </c:pt>
                <c:pt idx="1">
                  <c:v>-3000</c:v>
                </c:pt>
                <c:pt idx="2">
                  <c:v>77000</c:v>
                </c:pt>
              </c:numCache>
            </c:numRef>
          </c:val>
        </c:ser>
        <c:gapWidth val="75"/>
        <c:overlap val="-25"/>
        <c:axId val="108449792"/>
        <c:axId val="108451328"/>
      </c:barChart>
      <c:catAx>
        <c:axId val="108449792"/>
        <c:scaling>
          <c:orientation val="minMax"/>
        </c:scaling>
        <c:axPos val="b"/>
        <c:majorTickMark val="none"/>
        <c:tickLblPos val="low"/>
        <c:txPr>
          <a:bodyPr/>
          <a:lstStyle/>
          <a:p>
            <a:pPr>
              <a:defRPr b="1"/>
            </a:pPr>
            <a:endParaRPr lang="fr-FR"/>
          </a:p>
        </c:txPr>
        <c:crossAx val="108451328"/>
        <c:crosses val="autoZero"/>
        <c:auto val="1"/>
        <c:lblAlgn val="ctr"/>
        <c:lblOffset val="200"/>
        <c:tickLblSkip val="1"/>
      </c:catAx>
      <c:valAx>
        <c:axId val="108451328"/>
        <c:scaling>
          <c:orientation val="minMax"/>
        </c:scaling>
        <c:delete val="1"/>
        <c:axPos val="l"/>
        <c:numFmt formatCode="General" sourceLinked="1"/>
        <c:majorTickMark val="none"/>
        <c:tickLblPos val="nextTo"/>
        <c:crossAx val="108449792"/>
        <c:crosses val="autoZero"/>
        <c:crossBetween val="between"/>
      </c:valAx>
    </c:plotArea>
    <c:legend>
      <c:legendPos val="b"/>
      <c:txPr>
        <a:bodyPr/>
        <a:lstStyle/>
        <a:p>
          <a:pPr>
            <a:defRPr b="1"/>
          </a:pPr>
          <a:endParaRPr lang="fr-FR"/>
        </a:p>
      </c:txPr>
    </c:legend>
    <c:plotVisOnly val="1"/>
  </c:chart>
  <c:spPr>
    <a:ln>
      <a:noFill/>
      <a:beve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7119831565769713E-2"/>
          <c:y val="4.214129483814584E-2"/>
          <c:w val="0.77914118458769965"/>
          <c:h val="0.89719889180519163"/>
        </c:manualLayout>
      </c:layout>
      <c:barChart>
        <c:barDir val="col"/>
        <c:grouping val="clustered"/>
        <c:ser>
          <c:idx val="0"/>
          <c:order val="0"/>
          <c:tx>
            <c:strRef>
              <c:f>Sheet4!$C$4</c:f>
              <c:strCache>
                <c:ptCount val="1"/>
                <c:pt idx="0">
                  <c:v>Urbain</c:v>
                </c:pt>
              </c:strCache>
            </c:strRef>
          </c:tx>
          <c:spPr>
            <a:solidFill>
              <a:srgbClr val="FFC000"/>
            </a:solidFill>
          </c:spPr>
          <c:dLbls>
            <c:dLbl>
              <c:idx val="0"/>
              <c:layout>
                <c:manualLayout>
                  <c:x val="-1.4884116521369339E-2"/>
                  <c:y val="0"/>
                </c:manualLayout>
              </c:layout>
              <c:tx>
                <c:rich>
                  <a:bodyPr/>
                  <a:lstStyle/>
                  <a:p>
                    <a:r>
                      <a:rPr lang="en-US"/>
                      <a:t>-30 000</a:t>
                    </a:r>
                  </a:p>
                </c:rich>
              </c:tx>
              <c:showVal val="1"/>
            </c:dLbl>
            <c:dLbl>
              <c:idx val="1"/>
              <c:layout>
                <c:manualLayout>
                  <c:x val="-8.5052094407824397E-3"/>
                  <c:y val="-9.8087297694948502E-3"/>
                </c:manualLayout>
              </c:layout>
              <c:tx>
                <c:rich>
                  <a:bodyPr/>
                  <a:lstStyle/>
                  <a:p>
                    <a:r>
                      <a:rPr lang="en-US"/>
                      <a:t>20 000</a:t>
                    </a:r>
                  </a:p>
                </c:rich>
              </c:tx>
              <c:showVal val="1"/>
            </c:dLbl>
            <c:dLbl>
              <c:idx val="2"/>
              <c:tx>
                <c:rich>
                  <a:bodyPr/>
                  <a:lstStyle/>
                  <a:p>
                    <a:r>
                      <a:rPr lang="en-US"/>
                      <a:t>-26 000</a:t>
                    </a:r>
                  </a:p>
                </c:rich>
              </c:tx>
              <c:showVal val="1"/>
            </c:dLbl>
            <c:dLbl>
              <c:idx val="3"/>
              <c:tx>
                <c:rich>
                  <a:bodyPr/>
                  <a:lstStyle/>
                  <a:p>
                    <a:r>
                      <a:rPr lang="en-US"/>
                      <a:t>119 000</a:t>
                    </a:r>
                  </a:p>
                </c:rich>
              </c:tx>
              <c:showVal val="1"/>
            </c:dLbl>
            <c:showVal val="1"/>
          </c:dLbls>
          <c:cat>
            <c:strRef>
              <c:f>Sheet4!$B$5:$B$8</c:f>
              <c:strCache>
                <c:ptCount val="4"/>
                <c:pt idx="0">
                  <c:v>Agriculture, Forêt et Pêche</c:v>
                </c:pt>
                <c:pt idx="1">
                  <c:v>Industrie (y compris l'artisanat)</c:v>
                </c:pt>
                <c:pt idx="2">
                  <c:v>BTP</c:v>
                </c:pt>
                <c:pt idx="3">
                  <c:v>Services</c:v>
                </c:pt>
              </c:strCache>
            </c:strRef>
          </c:cat>
          <c:val>
            <c:numRef>
              <c:f>Sheet4!$C$5:$C$8</c:f>
              <c:numCache>
                <c:formatCode>General</c:formatCode>
                <c:ptCount val="4"/>
                <c:pt idx="0">
                  <c:v>-30000</c:v>
                </c:pt>
                <c:pt idx="1">
                  <c:v>20000</c:v>
                </c:pt>
                <c:pt idx="2">
                  <c:v>-26000</c:v>
                </c:pt>
                <c:pt idx="3">
                  <c:v>119000</c:v>
                </c:pt>
              </c:numCache>
            </c:numRef>
          </c:val>
        </c:ser>
        <c:ser>
          <c:idx val="1"/>
          <c:order val="1"/>
          <c:tx>
            <c:strRef>
              <c:f>Sheet4!$D$4</c:f>
              <c:strCache>
                <c:ptCount val="1"/>
                <c:pt idx="0">
                  <c:v>Rural</c:v>
                </c:pt>
              </c:strCache>
            </c:strRef>
          </c:tx>
          <c:spPr>
            <a:solidFill>
              <a:schemeClr val="accent2">
                <a:lumMod val="75000"/>
              </a:schemeClr>
            </a:solidFill>
          </c:spPr>
          <c:dLbls>
            <c:dLbl>
              <c:idx val="0"/>
              <c:tx>
                <c:rich>
                  <a:bodyPr/>
                  <a:lstStyle/>
                  <a:p>
                    <a:r>
                      <a:rPr lang="en-US"/>
                      <a:t>-104 000</a:t>
                    </a:r>
                  </a:p>
                </c:rich>
              </c:tx>
              <c:showVal val="1"/>
            </c:dLbl>
            <c:dLbl>
              <c:idx val="1"/>
              <c:tx>
                <c:rich>
                  <a:bodyPr/>
                  <a:lstStyle/>
                  <a:p>
                    <a:r>
                      <a:rPr lang="en-US"/>
                      <a:t>3 000</a:t>
                    </a:r>
                  </a:p>
                </c:rich>
              </c:tx>
              <c:showVal val="1"/>
            </c:dLbl>
            <c:dLbl>
              <c:idx val="2"/>
              <c:tx>
                <c:rich>
                  <a:bodyPr/>
                  <a:lstStyle/>
                  <a:p>
                    <a:r>
                      <a:rPr lang="en-US"/>
                      <a:t>25 000</a:t>
                    </a:r>
                  </a:p>
                </c:rich>
              </c:tx>
              <c:showVal val="1"/>
            </c:dLbl>
            <c:dLbl>
              <c:idx val="3"/>
              <c:tx>
                <c:rich>
                  <a:bodyPr/>
                  <a:lstStyle/>
                  <a:p>
                    <a:r>
                      <a:rPr lang="en-US"/>
                      <a:t>73 000</a:t>
                    </a:r>
                  </a:p>
                </c:rich>
              </c:tx>
              <c:showVal val="1"/>
            </c:dLbl>
            <c:showVal val="1"/>
          </c:dLbls>
          <c:cat>
            <c:strRef>
              <c:f>Sheet4!$B$5:$B$8</c:f>
              <c:strCache>
                <c:ptCount val="4"/>
                <c:pt idx="0">
                  <c:v>Agriculture, Forêt et Pêche</c:v>
                </c:pt>
                <c:pt idx="1">
                  <c:v>Industrie (y compris l'artisanat)</c:v>
                </c:pt>
                <c:pt idx="2">
                  <c:v>BTP</c:v>
                </c:pt>
                <c:pt idx="3">
                  <c:v>Services</c:v>
                </c:pt>
              </c:strCache>
            </c:strRef>
          </c:cat>
          <c:val>
            <c:numRef>
              <c:f>Sheet4!$D$5:$D$8</c:f>
              <c:numCache>
                <c:formatCode>General</c:formatCode>
                <c:ptCount val="4"/>
                <c:pt idx="0">
                  <c:v>-104000</c:v>
                </c:pt>
                <c:pt idx="1">
                  <c:v>3000</c:v>
                </c:pt>
                <c:pt idx="2">
                  <c:v>25000</c:v>
                </c:pt>
                <c:pt idx="3">
                  <c:v>73000</c:v>
                </c:pt>
              </c:numCache>
            </c:numRef>
          </c:val>
        </c:ser>
        <c:ser>
          <c:idx val="2"/>
          <c:order val="2"/>
          <c:tx>
            <c:strRef>
              <c:f>Sheet4!$E$4</c:f>
              <c:strCache>
                <c:ptCount val="1"/>
                <c:pt idx="0">
                  <c:v>National</c:v>
                </c:pt>
              </c:strCache>
            </c:strRef>
          </c:tx>
          <c:spPr>
            <a:solidFill>
              <a:schemeClr val="accent6"/>
            </a:solidFill>
            <a:ln>
              <a:noFill/>
            </a:ln>
          </c:spPr>
          <c:dLbls>
            <c:dLbl>
              <c:idx val="0"/>
              <c:tx>
                <c:rich>
                  <a:bodyPr/>
                  <a:lstStyle/>
                  <a:p>
                    <a:r>
                      <a:rPr lang="en-US"/>
                      <a:t>-134 000</a:t>
                    </a:r>
                  </a:p>
                </c:rich>
              </c:tx>
              <c:showVal val="1"/>
            </c:dLbl>
            <c:dLbl>
              <c:idx val="1"/>
              <c:layout>
                <c:manualLayout>
                  <c:x val="1.2757814161173719E-2"/>
                  <c:y val="-9.8087297694948502E-3"/>
                </c:manualLayout>
              </c:layout>
              <c:tx>
                <c:rich>
                  <a:bodyPr/>
                  <a:lstStyle/>
                  <a:p>
                    <a:r>
                      <a:rPr lang="en-US"/>
                      <a:t>23 000</a:t>
                    </a:r>
                  </a:p>
                </c:rich>
              </c:tx>
              <c:showVal val="1"/>
            </c:dLbl>
            <c:dLbl>
              <c:idx val="2"/>
              <c:tx>
                <c:rich>
                  <a:bodyPr/>
                  <a:lstStyle/>
                  <a:p>
                    <a:r>
                      <a:rPr lang="en-US"/>
                      <a:t>-1 000</a:t>
                    </a:r>
                  </a:p>
                </c:rich>
              </c:tx>
              <c:showVal val="1"/>
            </c:dLbl>
            <c:dLbl>
              <c:idx val="3"/>
              <c:tx>
                <c:rich>
                  <a:bodyPr/>
                  <a:lstStyle/>
                  <a:p>
                    <a:r>
                      <a:rPr lang="en-US"/>
                      <a:t>192 000</a:t>
                    </a:r>
                  </a:p>
                </c:rich>
              </c:tx>
              <c:showVal val="1"/>
            </c:dLbl>
            <c:showVal val="1"/>
          </c:dLbls>
          <c:cat>
            <c:strRef>
              <c:f>Sheet4!$B$5:$B$8</c:f>
              <c:strCache>
                <c:ptCount val="4"/>
                <c:pt idx="0">
                  <c:v>Agriculture, Forêt et Pêche</c:v>
                </c:pt>
                <c:pt idx="1">
                  <c:v>Industrie (y compris l'artisanat)</c:v>
                </c:pt>
                <c:pt idx="2">
                  <c:v>BTP</c:v>
                </c:pt>
                <c:pt idx="3">
                  <c:v>Services</c:v>
                </c:pt>
              </c:strCache>
            </c:strRef>
          </c:cat>
          <c:val>
            <c:numRef>
              <c:f>Sheet4!$E$5:$E$8</c:f>
              <c:numCache>
                <c:formatCode>General</c:formatCode>
                <c:ptCount val="4"/>
                <c:pt idx="0">
                  <c:v>-134000</c:v>
                </c:pt>
                <c:pt idx="1">
                  <c:v>23000</c:v>
                </c:pt>
                <c:pt idx="2">
                  <c:v>-1000</c:v>
                </c:pt>
                <c:pt idx="3">
                  <c:v>192000</c:v>
                </c:pt>
              </c:numCache>
            </c:numRef>
          </c:val>
        </c:ser>
        <c:overlap val="-18"/>
        <c:axId val="113974656"/>
        <c:axId val="59311232"/>
      </c:barChart>
      <c:catAx>
        <c:axId val="113974656"/>
        <c:scaling>
          <c:orientation val="minMax"/>
        </c:scaling>
        <c:axPos val="b"/>
        <c:tickLblPos val="low"/>
        <c:txPr>
          <a:bodyPr/>
          <a:lstStyle/>
          <a:p>
            <a:pPr>
              <a:defRPr b="1"/>
            </a:pPr>
            <a:endParaRPr lang="fr-FR"/>
          </a:p>
        </c:txPr>
        <c:crossAx val="59311232"/>
        <c:crosses val="autoZero"/>
        <c:auto val="1"/>
        <c:lblAlgn val="ctr"/>
        <c:lblOffset val="100"/>
      </c:catAx>
      <c:valAx>
        <c:axId val="59311232"/>
        <c:scaling>
          <c:orientation val="minMax"/>
        </c:scaling>
        <c:delete val="1"/>
        <c:axPos val="l"/>
        <c:numFmt formatCode="General" sourceLinked="1"/>
        <c:tickLblPos val="nextTo"/>
        <c:crossAx val="113974656"/>
        <c:crosses val="autoZero"/>
        <c:crossBetween val="between"/>
      </c:valAx>
    </c:plotArea>
    <c:legend>
      <c:legendPos val="t"/>
      <c:txPr>
        <a:bodyPr/>
        <a:lstStyle/>
        <a:p>
          <a:pPr>
            <a:defRPr b="1"/>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Feuil1!$C$2</c:f>
              <c:strCache>
                <c:ptCount val="1"/>
                <c:pt idx="0">
                  <c:v>2019</c:v>
                </c:pt>
              </c:strCache>
            </c:strRef>
          </c:tx>
          <c:spPr>
            <a:solidFill>
              <a:srgbClr val="00B0F0"/>
            </a:solidFill>
          </c:spPr>
          <c:dLbls>
            <c:dLbl>
              <c:idx val="4"/>
              <c:layout>
                <c:manualLayout>
                  <c:x val="-1.1115601600209021E-2"/>
                  <c:y val="0"/>
                </c:manualLayout>
              </c:layout>
              <c:showVal val="1"/>
            </c:dLbl>
            <c:dLbl>
              <c:idx val="5"/>
              <c:layout>
                <c:manualLayout>
                  <c:x val="-1.1115601600208911E-2"/>
                  <c:y val="0"/>
                </c:manualLayout>
              </c:layout>
              <c:showVal val="1"/>
            </c:dLbl>
            <c:showVal val="1"/>
          </c:dLbls>
          <c:cat>
            <c:strRef>
              <c:f>Feuil1!$B$3:$B$9</c:f>
              <c:strCache>
                <c:ptCount val="7"/>
                <c:pt idx="0">
                  <c:v>Urbain</c:v>
                </c:pt>
                <c:pt idx="1">
                  <c:v>Rural</c:v>
                </c:pt>
                <c:pt idx="2">
                  <c:v>Masculin</c:v>
                </c:pt>
                <c:pt idx="3">
                  <c:v>Féminin</c:v>
                </c:pt>
                <c:pt idx="4">
                  <c:v>Jeunes âgés de 15 à 24 ans</c:v>
                </c:pt>
                <c:pt idx="5">
                  <c:v>Diplômés</c:v>
                </c:pt>
                <c:pt idx="6">
                  <c:v>National</c:v>
                </c:pt>
              </c:strCache>
            </c:strRef>
          </c:cat>
          <c:val>
            <c:numRef>
              <c:f>Feuil1!$C$3:$C$9</c:f>
              <c:numCache>
                <c:formatCode>#,##0.0</c:formatCode>
                <c:ptCount val="7"/>
                <c:pt idx="0">
                  <c:v>13.264801829989494</c:v>
                </c:pt>
                <c:pt idx="1">
                  <c:v>3.1002734917177355</c:v>
                </c:pt>
                <c:pt idx="2">
                  <c:v>7.6748320157481622</c:v>
                </c:pt>
                <c:pt idx="3">
                  <c:v>13.40663986697338</c:v>
                </c:pt>
                <c:pt idx="4" formatCode="###0.0">
                  <c:v>22.875107095920427</c:v>
                </c:pt>
                <c:pt idx="5" formatCode="###0.0">
                  <c:v>15.941757196393008</c:v>
                </c:pt>
                <c:pt idx="6">
                  <c:v>9.0617257762703609</c:v>
                </c:pt>
              </c:numCache>
            </c:numRef>
          </c:val>
        </c:ser>
        <c:ser>
          <c:idx val="1"/>
          <c:order val="1"/>
          <c:tx>
            <c:strRef>
              <c:f>Feuil1!$D$2</c:f>
              <c:strCache>
                <c:ptCount val="1"/>
                <c:pt idx="0">
                  <c:v>2020</c:v>
                </c:pt>
              </c:strCache>
            </c:strRef>
          </c:tx>
          <c:spPr>
            <a:solidFill>
              <a:srgbClr val="002060"/>
            </a:solidFill>
          </c:spPr>
          <c:dLbls>
            <c:dLbl>
              <c:idx val="0"/>
              <c:layout>
                <c:manualLayout>
                  <c:x val="1.1111111111111125E-2"/>
                  <c:y val="4.6348318194707845E-3"/>
                </c:manualLayout>
              </c:layout>
              <c:showVal val="1"/>
            </c:dLbl>
            <c:dLbl>
              <c:idx val="2"/>
              <c:layout>
                <c:manualLayout>
                  <c:x val="8.3333333333334026E-3"/>
                  <c:y val="4.6348318194707446E-3"/>
                </c:manualLayout>
              </c:layout>
              <c:showVal val="1"/>
            </c:dLbl>
            <c:dLbl>
              <c:idx val="3"/>
              <c:layout>
                <c:manualLayout>
                  <c:x val="1.6666666666666701E-2"/>
                  <c:y val="9.2696636389415048E-3"/>
                </c:manualLayout>
              </c:layout>
              <c:showVal val="1"/>
            </c:dLbl>
            <c:dLbl>
              <c:idx val="4"/>
              <c:layout>
                <c:manualLayout>
                  <c:x val="1.9444444444444445E-2"/>
                  <c:y val="0"/>
                </c:manualLayout>
              </c:layout>
              <c:showVal val="1"/>
            </c:dLbl>
            <c:dLbl>
              <c:idx val="5"/>
              <c:layout>
                <c:manualLayout>
                  <c:x val="1.1111111111111221E-2"/>
                  <c:y val="0"/>
                </c:manualLayout>
              </c:layout>
              <c:showVal val="1"/>
            </c:dLbl>
            <c:dLbl>
              <c:idx val="6"/>
              <c:layout>
                <c:manualLayout>
                  <c:x val="1.3888888888889152E-2"/>
                  <c:y val="4.2485467549404094E-17"/>
                </c:manualLayout>
              </c:layout>
              <c:showVal val="1"/>
            </c:dLbl>
            <c:showVal val="1"/>
          </c:dLbls>
          <c:cat>
            <c:strRef>
              <c:f>Feuil1!$B$3:$B$9</c:f>
              <c:strCache>
                <c:ptCount val="7"/>
                <c:pt idx="0">
                  <c:v>Urbain</c:v>
                </c:pt>
                <c:pt idx="1">
                  <c:v>Rural</c:v>
                </c:pt>
                <c:pt idx="2">
                  <c:v>Masculin</c:v>
                </c:pt>
                <c:pt idx="3">
                  <c:v>Féminin</c:v>
                </c:pt>
                <c:pt idx="4">
                  <c:v>Jeunes âgés de 15 à 24 ans</c:v>
                </c:pt>
                <c:pt idx="5">
                  <c:v>Diplômés</c:v>
                </c:pt>
                <c:pt idx="6">
                  <c:v>National</c:v>
                </c:pt>
              </c:strCache>
            </c:strRef>
          </c:cat>
          <c:val>
            <c:numRef>
              <c:f>Feuil1!$D$3:$D$9</c:f>
              <c:numCache>
                <c:formatCode>###0.0</c:formatCode>
                <c:ptCount val="7"/>
                <c:pt idx="0">
                  <c:v>15.088415962347868</c:v>
                </c:pt>
                <c:pt idx="1">
                  <c:v>3.9301671276993697</c:v>
                </c:pt>
                <c:pt idx="2">
                  <c:v>9.3014250482643845</c:v>
                </c:pt>
                <c:pt idx="3">
                  <c:v>14.300744325808441</c:v>
                </c:pt>
                <c:pt idx="4">
                  <c:v>26.765560982819089</c:v>
                </c:pt>
                <c:pt idx="5">
                  <c:v>17.83587525143119</c:v>
                </c:pt>
                <c:pt idx="6">
                  <c:v>10.545772661132448</c:v>
                </c:pt>
              </c:numCache>
            </c:numRef>
          </c:val>
        </c:ser>
        <c:axId val="59323136"/>
        <c:axId val="59324672"/>
      </c:barChart>
      <c:catAx>
        <c:axId val="59323136"/>
        <c:scaling>
          <c:orientation val="minMax"/>
        </c:scaling>
        <c:axPos val="b"/>
        <c:numFmt formatCode="General" sourceLinked="1"/>
        <c:majorTickMark val="none"/>
        <c:tickLblPos val="nextTo"/>
        <c:crossAx val="59324672"/>
        <c:crosses val="autoZero"/>
        <c:auto val="1"/>
        <c:lblAlgn val="ctr"/>
        <c:lblOffset val="100"/>
      </c:catAx>
      <c:valAx>
        <c:axId val="59324672"/>
        <c:scaling>
          <c:orientation val="minMax"/>
        </c:scaling>
        <c:delete val="1"/>
        <c:axPos val="l"/>
        <c:numFmt formatCode="#,##0.0" sourceLinked="1"/>
        <c:tickLblPos val="nextTo"/>
        <c:crossAx val="59323136"/>
        <c:crosses val="autoZero"/>
        <c:crossBetween val="between"/>
      </c:valAx>
      <c:spPr>
        <a:noFill/>
        <a:ln w="25400">
          <a:noFill/>
        </a:ln>
      </c:spPr>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Feuil1!$B$25</c:f>
              <c:strCache>
                <c:ptCount val="1"/>
                <c:pt idx="0">
                  <c:v>2019</c:v>
                </c:pt>
              </c:strCache>
            </c:strRef>
          </c:tx>
          <c:spPr>
            <a:solidFill>
              <a:srgbClr val="002060"/>
            </a:solidFill>
          </c:spPr>
          <c:dLbls>
            <c:showVal val="1"/>
          </c:dLbls>
          <c:cat>
            <c:strRef>
              <c:f>Feuil1!$A$26:$A$31</c:f>
              <c:strCache>
                <c:ptCount val="6"/>
                <c:pt idx="0">
                  <c:v>Masculin</c:v>
                </c:pt>
                <c:pt idx="1">
                  <c:v>Féminin</c:v>
                </c:pt>
                <c:pt idx="2">
                  <c:v>Urbain</c:v>
                </c:pt>
                <c:pt idx="3">
                  <c:v>Rural</c:v>
                </c:pt>
                <c:pt idx="4">
                  <c:v>Agés de 15 à 24 ans</c:v>
                </c:pt>
                <c:pt idx="5">
                  <c:v>National</c:v>
                </c:pt>
              </c:strCache>
            </c:strRef>
          </c:cat>
          <c:val>
            <c:numRef>
              <c:f>Feuil1!$B$26:$B$31</c:f>
              <c:numCache>
                <c:formatCode>#,##0.0</c:formatCode>
                <c:ptCount val="6"/>
                <c:pt idx="0">
                  <c:v>10.821085553205824</c:v>
                </c:pt>
                <c:pt idx="1">
                  <c:v>5.8340703172760655</c:v>
                </c:pt>
                <c:pt idx="2">
                  <c:v>8.8433422680146077</c:v>
                </c:pt>
                <c:pt idx="3">
                  <c:v>10.70716921537845</c:v>
                </c:pt>
                <c:pt idx="4">
                  <c:v>16.532715104001504</c:v>
                </c:pt>
                <c:pt idx="5">
                  <c:v>9.6668279926644196</c:v>
                </c:pt>
              </c:numCache>
            </c:numRef>
          </c:val>
        </c:ser>
        <c:ser>
          <c:idx val="1"/>
          <c:order val="1"/>
          <c:tx>
            <c:strRef>
              <c:f>Feuil1!$C$25</c:f>
              <c:strCache>
                <c:ptCount val="1"/>
                <c:pt idx="0">
                  <c:v>2020</c:v>
                </c:pt>
              </c:strCache>
            </c:strRef>
          </c:tx>
          <c:spPr>
            <a:solidFill>
              <a:srgbClr val="00B050"/>
            </a:solidFill>
          </c:spPr>
          <c:dLbls>
            <c:dLbl>
              <c:idx val="0"/>
              <c:layout>
                <c:manualLayout>
                  <c:x val="1.9444444444444445E-2"/>
                  <c:y val="0"/>
                </c:manualLayout>
              </c:layout>
              <c:showVal val="1"/>
            </c:dLbl>
            <c:dLbl>
              <c:idx val="1"/>
              <c:layout>
                <c:manualLayout>
                  <c:x val="2.7777777777778421E-3"/>
                  <c:y val="-4.6348318194707446E-3"/>
                </c:manualLayout>
              </c:layout>
              <c:showVal val="1"/>
            </c:dLbl>
            <c:dLbl>
              <c:idx val="2"/>
              <c:layout>
                <c:manualLayout>
                  <c:x val="5.5555555555555558E-3"/>
                  <c:y val="1.3904495458412493E-2"/>
                </c:manualLayout>
              </c:layout>
              <c:showVal val="1"/>
            </c:dLbl>
            <c:dLbl>
              <c:idx val="3"/>
              <c:layout>
                <c:manualLayout>
                  <c:x val="1.9444444444444445E-2"/>
                  <c:y val="4.6348318194707446E-3"/>
                </c:manualLayout>
              </c:layout>
              <c:showVal val="1"/>
            </c:dLbl>
            <c:dLbl>
              <c:idx val="4"/>
              <c:layout>
                <c:manualLayout>
                  <c:x val="1.6666666666666781E-2"/>
                  <c:y val="4.6348318194707446E-3"/>
                </c:manualLayout>
              </c:layout>
              <c:showVal val="1"/>
            </c:dLbl>
            <c:dLbl>
              <c:idx val="5"/>
              <c:layout>
                <c:manualLayout>
                  <c:x val="8.3333333333334546E-3"/>
                  <c:y val="1.3904495458412457E-2"/>
                </c:manualLayout>
              </c:layout>
              <c:showVal val="1"/>
            </c:dLbl>
            <c:showVal val="1"/>
          </c:dLbls>
          <c:cat>
            <c:strRef>
              <c:f>Feuil1!$A$26:$A$31</c:f>
              <c:strCache>
                <c:ptCount val="6"/>
                <c:pt idx="0">
                  <c:v>Masculin</c:v>
                </c:pt>
                <c:pt idx="1">
                  <c:v>Féminin</c:v>
                </c:pt>
                <c:pt idx="2">
                  <c:v>Urbain</c:v>
                </c:pt>
                <c:pt idx="3">
                  <c:v>Rural</c:v>
                </c:pt>
                <c:pt idx="4">
                  <c:v>Agés de 15 à 24 ans</c:v>
                </c:pt>
                <c:pt idx="5">
                  <c:v>National</c:v>
                </c:pt>
              </c:strCache>
            </c:strRef>
          </c:cat>
          <c:val>
            <c:numRef>
              <c:f>Feuil1!$C$26:$C$31</c:f>
              <c:numCache>
                <c:formatCode>###0.0</c:formatCode>
                <c:ptCount val="6"/>
                <c:pt idx="0">
                  <c:v>9.9154792972944268</c:v>
                </c:pt>
                <c:pt idx="1">
                  <c:v>5.1080906304460685</c:v>
                </c:pt>
                <c:pt idx="2">
                  <c:v>8.6831539360433947</c:v>
                </c:pt>
                <c:pt idx="3">
                  <c:v>8.8754386969579375</c:v>
                </c:pt>
                <c:pt idx="4">
                  <c:v>13.222118445286901</c:v>
                </c:pt>
                <c:pt idx="5">
                  <c:v>8.7672800905414299</c:v>
                </c:pt>
              </c:numCache>
            </c:numRef>
          </c:val>
        </c:ser>
        <c:axId val="59358208"/>
        <c:axId val="59368192"/>
      </c:barChart>
      <c:catAx>
        <c:axId val="59358208"/>
        <c:scaling>
          <c:orientation val="minMax"/>
        </c:scaling>
        <c:axPos val="b"/>
        <c:numFmt formatCode="General" sourceLinked="1"/>
        <c:majorTickMark val="none"/>
        <c:tickLblPos val="nextTo"/>
        <c:crossAx val="59368192"/>
        <c:crosses val="autoZero"/>
        <c:auto val="1"/>
        <c:lblAlgn val="ctr"/>
        <c:lblOffset val="100"/>
      </c:catAx>
      <c:valAx>
        <c:axId val="59368192"/>
        <c:scaling>
          <c:orientation val="minMax"/>
        </c:scaling>
        <c:delete val="1"/>
        <c:axPos val="l"/>
        <c:numFmt formatCode="#,##0.0" sourceLinked="1"/>
        <c:tickLblPos val="nextTo"/>
        <c:crossAx val="59358208"/>
        <c:crosses val="autoZero"/>
        <c:crossBetween val="between"/>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showVal val="1"/>
          </c:dLbls>
          <c:cat>
            <c:strRef>
              <c:f>HASSANIA!$K$5:$K$15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Total</c:v>
                </c:pt>
              </c:strCache>
            </c:strRef>
          </c:cat>
          <c:val>
            <c:numRef>
              <c:f>HASSANIA!$L$5:$L$15</c:f>
              <c:numCache>
                <c:formatCode>0.0</c:formatCode>
                <c:ptCount val="11"/>
                <c:pt idx="0">
                  <c:v>48.633261508011785</c:v>
                </c:pt>
                <c:pt idx="1">
                  <c:v>42.848123499920973</c:v>
                </c:pt>
                <c:pt idx="2">
                  <c:v>42.739622637385068</c:v>
                </c:pt>
                <c:pt idx="3">
                  <c:v>44.94493124460719</c:v>
                </c:pt>
                <c:pt idx="4">
                  <c:v>43.830628501301995</c:v>
                </c:pt>
                <c:pt idx="5">
                  <c:v>49.746314858766198</c:v>
                </c:pt>
                <c:pt idx="6">
                  <c:v>47.831741120171962</c:v>
                </c:pt>
                <c:pt idx="7">
                  <c:v>44.756879567648838</c:v>
                </c:pt>
                <c:pt idx="8">
                  <c:v>42.978052576599168</c:v>
                </c:pt>
                <c:pt idx="9">
                  <c:v>44.626101444936523</c:v>
                </c:pt>
                <c:pt idx="10">
                  <c:v>46.042741271288804</c:v>
                </c:pt>
              </c:numCache>
            </c:numRef>
          </c:val>
        </c:ser>
        <c:axId val="66986368"/>
        <c:axId val="66987904"/>
      </c:barChart>
      <c:catAx>
        <c:axId val="66986368"/>
        <c:scaling>
          <c:orientation val="minMax"/>
        </c:scaling>
        <c:axPos val="b"/>
        <c:tickLblPos val="nextTo"/>
        <c:crossAx val="66987904"/>
        <c:crosses val="autoZero"/>
        <c:auto val="1"/>
        <c:lblAlgn val="ctr"/>
        <c:lblOffset val="100"/>
      </c:catAx>
      <c:valAx>
        <c:axId val="66987904"/>
        <c:scaling>
          <c:orientation val="minMax"/>
        </c:scaling>
        <c:delete val="1"/>
        <c:axPos val="l"/>
        <c:numFmt formatCode="0.0" sourceLinked="1"/>
        <c:tickLblPos val="nextTo"/>
        <c:crossAx val="66986368"/>
        <c:crosses val="autoZero"/>
        <c:crossBetween val="between"/>
      </c:valAx>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showVal val="1"/>
          </c:dLbls>
          <c:cat>
            <c:strRef>
              <c:f>HASSANIA!$J$29:$J$39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Total</c:v>
                </c:pt>
              </c:strCache>
            </c:strRef>
          </c:cat>
          <c:val>
            <c:numRef>
              <c:f>HASSANIA!$K$29:$K$39</c:f>
              <c:numCache>
                <c:formatCode>0.0</c:formatCode>
                <c:ptCount val="11"/>
                <c:pt idx="0">
                  <c:v>8.9499114123563999</c:v>
                </c:pt>
                <c:pt idx="1">
                  <c:v>18.780154932996727</c:v>
                </c:pt>
                <c:pt idx="2">
                  <c:v>11.808542599460557</c:v>
                </c:pt>
                <c:pt idx="3">
                  <c:v>11.795353821398351</c:v>
                </c:pt>
                <c:pt idx="4">
                  <c:v>6.0002970608952149</c:v>
                </c:pt>
                <c:pt idx="5">
                  <c:v>12.365245628328177</c:v>
                </c:pt>
                <c:pt idx="6">
                  <c:v>5.4260521996127924</c:v>
                </c:pt>
                <c:pt idx="7">
                  <c:v>6.5213760758504495</c:v>
                </c:pt>
                <c:pt idx="8">
                  <c:v>9.5357242127995878</c:v>
                </c:pt>
                <c:pt idx="9">
                  <c:v>16.728326291550598</c:v>
                </c:pt>
                <c:pt idx="10">
                  <c:v>10.545772661132448</c:v>
                </c:pt>
              </c:numCache>
            </c:numRef>
          </c:val>
        </c:ser>
        <c:axId val="67003520"/>
        <c:axId val="67005056"/>
      </c:barChart>
      <c:catAx>
        <c:axId val="67003520"/>
        <c:scaling>
          <c:orientation val="minMax"/>
        </c:scaling>
        <c:axPos val="b"/>
        <c:tickLblPos val="nextTo"/>
        <c:crossAx val="67005056"/>
        <c:crosses val="autoZero"/>
        <c:auto val="1"/>
        <c:lblAlgn val="ctr"/>
        <c:lblOffset val="100"/>
      </c:catAx>
      <c:valAx>
        <c:axId val="67005056"/>
        <c:scaling>
          <c:orientation val="minMax"/>
        </c:scaling>
        <c:delete val="1"/>
        <c:axPos val="l"/>
        <c:numFmt formatCode="0.0" sourceLinked="1"/>
        <c:tickLblPos val="nextTo"/>
        <c:crossAx val="67003520"/>
        <c:crosses val="autoZero"/>
        <c:crossBetween val="between"/>
      </c:valAx>
    </c:plotArea>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8B58-CDB0-4AC6-9D6C-1FCD3D54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2039</Words>
  <Characters>11216</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13229</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CHIHABI</dc:creator>
  <cp:lastModifiedBy>User</cp:lastModifiedBy>
  <cp:revision>2</cp:revision>
  <cp:lastPrinted>2020-04-28T14:49:00Z</cp:lastPrinted>
  <dcterms:created xsi:type="dcterms:W3CDTF">2020-05-06T12:21:00Z</dcterms:created>
  <dcterms:modified xsi:type="dcterms:W3CDTF">2020-05-06T12:21:00Z</dcterms:modified>
</cp:coreProperties>
</file>