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8F" w:rsidRPr="00DA2AC1" w:rsidRDefault="00ED6482" w:rsidP="00E57838">
      <w:pPr>
        <w:spacing w:line="360" w:lineRule="auto"/>
        <w:jc w:val="both"/>
        <w:rPr>
          <w:rFonts w:ascii="Times New Roman" w:hAnsi="Times New Roman" w:cs="Simplified Arabic"/>
          <w:b/>
          <w:bCs/>
          <w:color w:val="943634" w:themeColor="accent2" w:themeShade="BF"/>
          <w:sz w:val="28"/>
          <w:szCs w:val="28"/>
          <w:rtl/>
          <w:lang w:bidi="ar-MA"/>
        </w:rPr>
      </w:pPr>
      <w:bookmarkStart w:id="0" w:name="_GoBack"/>
      <w:bookmarkEnd w:id="0"/>
      <w:r>
        <w:rPr>
          <w:rFonts w:ascii="Times New Roman" w:hAnsi="Times New Roman" w:cs="Simplified Arabic"/>
          <w:b/>
          <w:bCs/>
          <w:color w:val="943634" w:themeColor="accent2" w:themeShade="BF"/>
          <w:sz w:val="28"/>
          <w:szCs w:val="28"/>
          <w:lang w:bidi="ar-MA"/>
        </w:rPr>
        <w:t xml:space="preserve">                             </w:t>
      </w:r>
      <w:r w:rsidR="007378C8">
        <w:rPr>
          <w:rFonts w:ascii="Times New Roman" w:hAnsi="Times New Roman" w:cs="Simplified Arabic"/>
          <w:b/>
          <w:bCs/>
          <w:color w:val="943634" w:themeColor="accent2" w:themeShade="BF"/>
          <w:sz w:val="28"/>
          <w:szCs w:val="28"/>
          <w:lang w:bidi="ar-MA"/>
        </w:rPr>
        <w:t xml:space="preserve">             </w:t>
      </w:r>
    </w:p>
    <w:p w:rsidR="0047396E" w:rsidRPr="00E335F4" w:rsidRDefault="0047396E" w:rsidP="00CD0C47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E335F4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  <w:t>مذكرة إخبارية</w:t>
      </w:r>
      <w:r w:rsidRPr="00E335F4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للمندوبية السامية للتخطيط</w:t>
      </w:r>
    </w:p>
    <w:p w:rsidR="00601E92" w:rsidRDefault="0047396E" w:rsidP="00CD0C47">
      <w:pPr>
        <w:bidi/>
        <w:spacing w:after="240"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E335F4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نتائج بحث الظرفية لدى الأسر</w:t>
      </w:r>
    </w:p>
    <w:p w:rsidR="0047396E" w:rsidRPr="00E335F4" w:rsidRDefault="00601E92" w:rsidP="00CD0C47">
      <w:pPr>
        <w:bidi/>
        <w:spacing w:after="240"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DZ"/>
        </w:rPr>
        <w:t>ا</w:t>
      </w:r>
      <w:r w:rsidR="00E306A8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DZ"/>
        </w:rPr>
        <w:t xml:space="preserve">لفصل الأول من </w:t>
      </w:r>
      <w:r w:rsidR="0047396E" w:rsidRPr="00E335F4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سنة 20</w:t>
      </w:r>
      <w:r w:rsidR="006D45F0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20</w:t>
      </w:r>
    </w:p>
    <w:p w:rsidR="0047396E" w:rsidRPr="000F62DE" w:rsidRDefault="00ED6482" w:rsidP="00432805">
      <w:pPr>
        <w:bidi/>
        <w:spacing w:after="240" w:line="360" w:lineRule="auto"/>
        <w:jc w:val="center"/>
        <w:rPr>
          <w:rFonts w:ascii="Times New Roman" w:hAnsi="Times New Roman" w:cs="Simplified Arabic"/>
          <w:rtl/>
          <w:lang w:bidi="ar-MA"/>
        </w:rPr>
      </w:pPr>
      <w:r>
        <w:rPr>
          <w:rFonts w:ascii="Times New Roman" w:hAnsi="Times New Roman" w:cs="Simplified Arabic"/>
          <w:lang w:bidi="ar-MA"/>
        </w:rPr>
        <w:t xml:space="preserve">                         </w:t>
      </w:r>
    </w:p>
    <w:p w:rsidR="00C3791A" w:rsidRPr="00067D74" w:rsidRDefault="0047396E" w:rsidP="00EF75DF">
      <w:pPr>
        <w:bidi/>
        <w:spacing w:before="240"/>
        <w:jc w:val="both"/>
        <w:rPr>
          <w:rFonts w:ascii="Times New Roman" w:hAnsi="Times New Roman" w:cs="Simplified Arabic"/>
          <w:bCs/>
          <w:sz w:val="26"/>
          <w:szCs w:val="26"/>
          <w:rtl/>
          <w:lang w:bidi="ar-MA"/>
        </w:rPr>
      </w:pPr>
      <w:r w:rsidRPr="00516647">
        <w:rPr>
          <w:rFonts w:ascii="Times New Roman" w:hAnsi="Times New Roman" w:cs="Simplified Arabic" w:hint="cs"/>
          <w:bCs/>
          <w:sz w:val="26"/>
          <w:szCs w:val="26"/>
          <w:rtl/>
          <w:lang w:bidi="ar-MA"/>
        </w:rPr>
        <w:t>يتضح من نتائج البحث الدائم حول</w:t>
      </w:r>
      <w:r w:rsidRPr="0051667C">
        <w:rPr>
          <w:rFonts w:ascii="Times New Roman" w:hAnsi="Times New Roman" w:cs="Simplified Arabic" w:hint="cs"/>
          <w:bCs/>
          <w:sz w:val="26"/>
          <w:szCs w:val="26"/>
          <w:rtl/>
          <w:lang w:bidi="ar-MA"/>
        </w:rPr>
        <w:t xml:space="preserve"> الظرفية لدى الأسر، المنجز من طرف المندوبية السامية للتخطيط، أن مستوى ثقة الأسر</w:t>
      </w:r>
      <w:r w:rsidR="00EF75DF">
        <w:rPr>
          <w:rFonts w:ascii="Times New Roman" w:hAnsi="Times New Roman" w:cs="Simplified Arabic" w:hint="cs"/>
          <w:bCs/>
          <w:sz w:val="26"/>
          <w:szCs w:val="26"/>
          <w:rtl/>
          <w:lang w:bidi="ar-MA"/>
        </w:rPr>
        <w:t xml:space="preserve"> </w:t>
      </w:r>
      <w:r w:rsidRPr="0051667C">
        <w:rPr>
          <w:rFonts w:ascii="Times New Roman" w:hAnsi="Times New Roman" w:cs="Simplified Arabic" w:hint="cs"/>
          <w:bCs/>
          <w:sz w:val="26"/>
          <w:szCs w:val="26"/>
          <w:rtl/>
          <w:lang w:bidi="ar-MA"/>
        </w:rPr>
        <w:t>عرف</w:t>
      </w:r>
      <w:r w:rsidR="00C53082" w:rsidRPr="0051667C">
        <w:rPr>
          <w:rFonts w:ascii="Times New Roman" w:hAnsi="Times New Roman" w:cs="Simplified Arabic" w:hint="cs"/>
          <w:bCs/>
          <w:sz w:val="26"/>
          <w:szCs w:val="26"/>
          <w:rtl/>
          <w:lang w:bidi="ar-MA"/>
        </w:rPr>
        <w:t>،</w:t>
      </w:r>
      <w:r w:rsidR="00EF75DF">
        <w:rPr>
          <w:rFonts w:ascii="Times New Roman" w:hAnsi="Times New Roman" w:cs="Simplified Arabic" w:hint="cs"/>
          <w:bCs/>
          <w:sz w:val="26"/>
          <w:szCs w:val="26"/>
          <w:rtl/>
          <w:lang w:bidi="ar-MA"/>
        </w:rPr>
        <w:t xml:space="preserve"> </w:t>
      </w:r>
      <w:r w:rsidR="00C53082" w:rsidRPr="0051667C">
        <w:rPr>
          <w:rFonts w:ascii="Times New Roman" w:hAnsi="Times New Roman" w:cs="Simplified Arabic" w:hint="cs"/>
          <w:bCs/>
          <w:sz w:val="26"/>
          <w:szCs w:val="26"/>
          <w:rtl/>
          <w:lang w:bidi="ar-MA"/>
        </w:rPr>
        <w:t xml:space="preserve">خلال الفصل </w:t>
      </w:r>
      <w:r w:rsidR="00B4355D">
        <w:rPr>
          <w:rFonts w:ascii="Times New Roman" w:hAnsi="Times New Roman" w:cs="Simplified Arabic" w:hint="cs"/>
          <w:bCs/>
          <w:sz w:val="26"/>
          <w:szCs w:val="26"/>
          <w:rtl/>
          <w:lang w:bidi="ar-MA"/>
        </w:rPr>
        <w:t>الأول</w:t>
      </w:r>
      <w:r w:rsidR="00C53082" w:rsidRPr="0051667C">
        <w:rPr>
          <w:rFonts w:ascii="Times New Roman" w:hAnsi="Times New Roman" w:cs="Simplified Arabic" w:hint="cs"/>
          <w:bCs/>
          <w:sz w:val="26"/>
          <w:szCs w:val="26"/>
          <w:rtl/>
          <w:lang w:bidi="ar-MA"/>
        </w:rPr>
        <w:t xml:space="preserve"> من سنة 20</w:t>
      </w:r>
      <w:r w:rsidR="00B4355D" w:rsidRPr="00B4355D">
        <w:rPr>
          <w:rFonts w:ascii="Times New Roman" w:hAnsi="Times New Roman" w:cs="Simplified Arabic"/>
          <w:b/>
          <w:sz w:val="26"/>
          <w:szCs w:val="26"/>
          <w:lang w:bidi="ar-MA"/>
        </w:rPr>
        <w:t>20</w:t>
      </w:r>
      <w:r w:rsidR="00C53082" w:rsidRPr="0051667C">
        <w:rPr>
          <w:rFonts w:ascii="Times New Roman" w:hAnsi="Times New Roman" w:cs="Simplified Arabic" w:hint="cs"/>
          <w:bCs/>
          <w:sz w:val="26"/>
          <w:szCs w:val="26"/>
          <w:rtl/>
          <w:lang w:bidi="ar-MA"/>
        </w:rPr>
        <w:t xml:space="preserve">، </w:t>
      </w:r>
      <w:r w:rsidR="00ED597B" w:rsidRPr="0051667C">
        <w:rPr>
          <w:rFonts w:ascii="Times New Roman" w:hAnsi="Times New Roman" w:cs="Simplified Arabic" w:hint="cs"/>
          <w:bCs/>
          <w:sz w:val="26"/>
          <w:szCs w:val="26"/>
          <w:rtl/>
          <w:lang w:bidi="ar-MA"/>
        </w:rPr>
        <w:t>تراجعا</w:t>
      </w:r>
      <w:r w:rsidR="00EF75DF">
        <w:rPr>
          <w:rFonts w:ascii="Times New Roman" w:hAnsi="Times New Roman" w:cs="Simplified Arabic" w:hint="cs"/>
          <w:bCs/>
          <w:sz w:val="26"/>
          <w:szCs w:val="26"/>
          <w:rtl/>
          <w:lang w:bidi="ar-MA"/>
        </w:rPr>
        <w:t xml:space="preserve"> </w:t>
      </w:r>
      <w:r w:rsidRPr="0051667C">
        <w:rPr>
          <w:rFonts w:ascii="Times New Roman" w:hAnsi="Times New Roman" w:cs="Simplified Arabic" w:hint="cs"/>
          <w:bCs/>
          <w:sz w:val="26"/>
          <w:szCs w:val="26"/>
          <w:rtl/>
          <w:lang w:bidi="ar-MA"/>
        </w:rPr>
        <w:t>مقارنة مع الفصل السابق</w:t>
      </w:r>
      <w:r w:rsidR="00EF75DF">
        <w:rPr>
          <w:rFonts w:ascii="Times New Roman" w:hAnsi="Times New Roman" w:cs="Simplified Arabic" w:hint="cs"/>
          <w:bCs/>
          <w:sz w:val="26"/>
          <w:szCs w:val="26"/>
          <w:rtl/>
          <w:lang w:bidi="ar-MA"/>
        </w:rPr>
        <w:t xml:space="preserve"> </w:t>
      </w:r>
      <w:r w:rsidR="00ED597B">
        <w:rPr>
          <w:rFonts w:ascii="Times New Roman" w:hAnsi="Times New Roman" w:cs="Simplified Arabic" w:hint="cs"/>
          <w:bCs/>
          <w:sz w:val="26"/>
          <w:szCs w:val="26"/>
          <w:rtl/>
          <w:lang w:bidi="ar-MA"/>
        </w:rPr>
        <w:t>و</w:t>
      </w:r>
      <w:r w:rsidR="00A24465">
        <w:rPr>
          <w:rFonts w:ascii="Times New Roman" w:hAnsi="Times New Roman" w:cs="Simplified Arabic" w:hint="cs"/>
          <w:bCs/>
          <w:sz w:val="26"/>
          <w:szCs w:val="26"/>
          <w:rtl/>
          <w:lang w:bidi="ar-MA"/>
        </w:rPr>
        <w:t xml:space="preserve"> </w:t>
      </w:r>
      <w:r w:rsidR="0018075C" w:rsidRPr="0051667C">
        <w:rPr>
          <w:rFonts w:ascii="Times New Roman" w:hAnsi="Times New Roman" w:cs="Simplified Arabic" w:hint="cs"/>
          <w:bCs/>
          <w:sz w:val="26"/>
          <w:szCs w:val="26"/>
          <w:rtl/>
          <w:lang w:bidi="ar-MA"/>
        </w:rPr>
        <w:t>مع</w:t>
      </w:r>
      <w:r w:rsidR="00EF75DF">
        <w:rPr>
          <w:rFonts w:ascii="Times New Roman" w:hAnsi="Times New Roman" w:cs="Simplified Arabic" w:hint="cs"/>
          <w:bCs/>
          <w:sz w:val="26"/>
          <w:szCs w:val="26"/>
          <w:rtl/>
          <w:lang w:bidi="ar-MA"/>
        </w:rPr>
        <w:t xml:space="preserve"> </w:t>
      </w:r>
      <w:r w:rsidRPr="0051667C">
        <w:rPr>
          <w:rFonts w:ascii="Times New Roman" w:hAnsi="Times New Roman" w:cs="Simplified Arabic" w:hint="cs"/>
          <w:bCs/>
          <w:sz w:val="26"/>
          <w:szCs w:val="26"/>
          <w:rtl/>
          <w:lang w:bidi="ar-MA"/>
        </w:rPr>
        <w:t>نفس الفصل من السنة الماضية</w:t>
      </w:r>
      <w:r w:rsidR="00067D74" w:rsidRPr="0051667C">
        <w:rPr>
          <w:rFonts w:ascii="Times New Roman" w:hAnsi="Times New Roman" w:cs="Simplified Arabic" w:hint="cs"/>
          <w:bCs/>
          <w:sz w:val="26"/>
          <w:szCs w:val="26"/>
          <w:rtl/>
          <w:lang w:bidi="ar-MA"/>
        </w:rPr>
        <w:t>.</w:t>
      </w:r>
    </w:p>
    <w:p w:rsidR="0047396E" w:rsidRPr="00E335F4" w:rsidRDefault="0047396E" w:rsidP="00EF75DF">
      <w:pPr>
        <w:bidi/>
        <w:spacing w:before="240"/>
        <w:jc w:val="both"/>
        <w:rPr>
          <w:rFonts w:ascii="Times New Roman" w:hAnsi="Times New Roman" w:cs="Simplified Arabic"/>
          <w:b/>
          <w:lang w:bidi="ar-MA"/>
        </w:rPr>
      </w:pPr>
      <w:r w:rsidRPr="00E335F4">
        <w:rPr>
          <w:rFonts w:ascii="Times New Roman" w:hAnsi="Times New Roman" w:cs="Simplified Arabic" w:hint="cs"/>
          <w:rtl/>
          <w:lang w:bidi="ar-MA"/>
        </w:rPr>
        <w:t>هكذا انتقل مؤشر ثقة الأسر الى</w:t>
      </w:r>
      <w:r w:rsidR="00EF75DF">
        <w:rPr>
          <w:rFonts w:ascii="Times New Roman" w:hAnsi="Times New Roman" w:cs="Simplified Arabic" w:hint="cs"/>
          <w:rtl/>
          <w:lang w:bidi="ar-MA"/>
        </w:rPr>
        <w:t xml:space="preserve"> </w:t>
      </w:r>
      <w:r w:rsidR="008C3315" w:rsidRPr="008C3315">
        <w:rPr>
          <w:rFonts w:ascii="Times New Roman" w:hAnsi="Times New Roman" w:cs="Simplified Arabic"/>
          <w:lang w:bidi="ar-MA"/>
        </w:rPr>
        <w:t>75,7</w:t>
      </w:r>
      <w:r w:rsidR="00EF75DF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نقطة عوض </w:t>
      </w:r>
      <w:r w:rsidR="008C3315" w:rsidRPr="008C3315">
        <w:rPr>
          <w:rFonts w:ascii="Times New Roman" w:hAnsi="Times New Roman" w:cs="Simplified Arabic"/>
          <w:lang w:bidi="ar-MA"/>
        </w:rPr>
        <w:t>77,8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  نقطة المسجلة خلال الفصل السابق و</w:t>
      </w:r>
      <w:r w:rsidR="008C3315" w:rsidRPr="008C3315">
        <w:rPr>
          <w:rFonts w:ascii="Times New Roman" w:hAnsi="Times New Roman" w:cs="Simplified Arabic"/>
          <w:lang w:bidi="ar-MA"/>
        </w:rPr>
        <w:t xml:space="preserve">79,1 </w:t>
      </w:r>
      <w:r w:rsidR="00EF75DF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E335F4">
        <w:rPr>
          <w:rFonts w:ascii="Times New Roman" w:hAnsi="Times New Roman" w:cs="Simplified Arabic" w:hint="cs"/>
          <w:b/>
          <w:rtl/>
          <w:lang w:bidi="ar-MA"/>
        </w:rPr>
        <w:t>نقطة المسجلة في  الفصل ال</w:t>
      </w:r>
      <w:r w:rsidR="00EF75DF">
        <w:rPr>
          <w:rFonts w:ascii="Times New Roman" w:hAnsi="Times New Roman" w:cs="Simplified Arabic" w:hint="cs"/>
          <w:b/>
          <w:rtl/>
          <w:lang w:bidi="ar-MA"/>
        </w:rPr>
        <w:t>أول</w:t>
      </w:r>
      <w:r w:rsidRPr="00E335F4">
        <w:rPr>
          <w:rFonts w:ascii="Times New Roman" w:hAnsi="Times New Roman" w:cs="Simplified Arabic" w:hint="cs"/>
          <w:b/>
          <w:rtl/>
          <w:lang w:bidi="ar-MA"/>
        </w:rPr>
        <w:t xml:space="preserve"> من السنة الماضية</w:t>
      </w:r>
      <w:r w:rsidRPr="00E335F4">
        <w:rPr>
          <w:rFonts w:ascii="Times New Roman" w:hAnsi="Times New Roman" w:cs="Simplified Arabic"/>
          <w:b/>
          <w:lang w:bidi="ar-MA"/>
        </w:rPr>
        <w:t>.</w:t>
      </w:r>
    </w:p>
    <w:p w:rsidR="0047396E" w:rsidRPr="000F62DE" w:rsidRDefault="0047396E" w:rsidP="00795089">
      <w:pPr>
        <w:bidi/>
        <w:spacing w:before="240" w:line="360" w:lineRule="auto"/>
        <w:ind w:hanging="1"/>
        <w:jc w:val="center"/>
        <w:rPr>
          <w:rFonts w:ascii="Times New Roman" w:hAnsi="Times New Roman" w:cs="Simplified Arabic"/>
          <w:lang w:bidi="ar-MA"/>
        </w:rPr>
      </w:pPr>
    </w:p>
    <w:p w:rsidR="0047396E" w:rsidRPr="00FC14BB" w:rsidRDefault="006D45F0" w:rsidP="00FC14BB">
      <w:pPr>
        <w:widowControl/>
        <w:autoSpaceDE/>
        <w:autoSpaceDN/>
        <w:bidi/>
        <w:adjustRightInd/>
        <w:spacing w:line="360" w:lineRule="auto"/>
        <w:jc w:val="center"/>
        <w:rPr>
          <w:rFonts w:ascii="Times New Roman" w:hAnsi="Times New Roman" w:cs="Simplified Arabic"/>
          <w:b/>
          <w:bCs/>
          <w:lang w:bidi="ar-MA"/>
        </w:rPr>
      </w:pPr>
      <w:r>
        <w:rPr>
          <w:noProof/>
        </w:rPr>
        <w:drawing>
          <wp:inline distT="0" distB="0" distL="0" distR="0">
            <wp:extent cx="6324600" cy="31908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335F4" w:rsidRDefault="00E335F4" w:rsidP="00E335F4">
      <w:pPr>
        <w:pStyle w:val="Paragraphedeliste"/>
        <w:widowControl/>
        <w:autoSpaceDE/>
        <w:autoSpaceDN/>
        <w:bidi/>
        <w:adjustRightInd/>
        <w:spacing w:line="360" w:lineRule="auto"/>
        <w:ind w:left="502"/>
        <w:jc w:val="both"/>
        <w:rPr>
          <w:rFonts w:ascii="Times New Roman" w:hAnsi="Times New Roman" w:cs="Simplified Arabic"/>
          <w:b/>
          <w:bCs/>
          <w:lang w:bidi="ar-MA"/>
        </w:rPr>
      </w:pPr>
    </w:p>
    <w:p w:rsidR="0047396E" w:rsidRPr="000F62DE" w:rsidRDefault="002041DE" w:rsidP="002041DE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spacing w:line="360" w:lineRule="auto"/>
        <w:jc w:val="both"/>
        <w:rPr>
          <w:rFonts w:ascii="Times New Roman" w:hAnsi="Times New Roman" w:cs="Simplified Arabic"/>
          <w:b/>
          <w:bCs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تطور مكونات مؤشر ال</w:t>
      </w:r>
      <w:r w:rsidR="0047396E" w:rsidRPr="003549B7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ثقة</w:t>
      </w:r>
    </w:p>
    <w:p w:rsidR="00FC14BB" w:rsidRDefault="0047396E" w:rsidP="00FC14BB">
      <w:pPr>
        <w:bidi/>
        <w:jc w:val="both"/>
        <w:rPr>
          <w:rFonts w:ascii="Times New Roman" w:hAnsi="Times New Roman" w:cs="Simplified Arabic"/>
          <w:rtl/>
          <w:lang w:bidi="ar-MA"/>
        </w:rPr>
      </w:pPr>
      <w:r w:rsidRPr="00E335F4">
        <w:rPr>
          <w:rFonts w:ascii="Times New Roman" w:hAnsi="Times New Roman" w:cs="Simplified Arabic" w:hint="cs"/>
          <w:rtl/>
          <w:lang w:bidi="ar-MA"/>
        </w:rPr>
        <w:t>تهم هذه المكونات آراء الأسر حول تطور مستوى المعيشة و</w:t>
      </w:r>
      <w:r w:rsidR="00DF74BA" w:rsidRPr="00E335F4">
        <w:rPr>
          <w:rFonts w:ascii="Times New Roman" w:hAnsi="Times New Roman" w:cs="Simplified Arabic" w:hint="cs"/>
          <w:rtl/>
          <w:lang w:bidi="ar-MA"/>
        </w:rPr>
        <w:t xml:space="preserve"> البطالة وفرص اقتناء السلع المستدامة 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وكذا </w:t>
      </w:r>
      <w:r w:rsidR="00DF74BA" w:rsidRPr="00E335F4">
        <w:rPr>
          <w:rFonts w:ascii="Times New Roman" w:hAnsi="Times New Roman" w:cs="Simplified Arabic" w:hint="cs"/>
          <w:rtl/>
          <w:lang w:bidi="ar-MA"/>
        </w:rPr>
        <w:t>تطور وضعيتهم المالية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. </w:t>
      </w:r>
    </w:p>
    <w:p w:rsidR="00EF75DF" w:rsidRPr="00FC14BB" w:rsidRDefault="00EF75DF" w:rsidP="00EF75DF">
      <w:pPr>
        <w:bidi/>
        <w:jc w:val="both"/>
        <w:rPr>
          <w:rFonts w:ascii="Times New Roman" w:hAnsi="Times New Roman" w:cs="Simplified Arabic"/>
          <w:rtl/>
          <w:lang w:bidi="ar-MA"/>
        </w:rPr>
      </w:pPr>
    </w:p>
    <w:p w:rsidR="0047396E" w:rsidRPr="00E329C0" w:rsidRDefault="0047396E" w:rsidP="0076084A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 w:line="360" w:lineRule="auto"/>
        <w:ind w:left="566" w:hanging="283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lastRenderedPageBreak/>
        <w:t>مستوى المعيشة</w:t>
      </w:r>
      <w:r w:rsidR="002041D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: توقع بتدهور</w:t>
      </w:r>
      <w:r w:rsidR="0076084A">
        <w:rPr>
          <w:rFonts w:ascii="Times New Roman" w:hAnsi="Times New Roman" w:cs="Simplified Arabic"/>
          <w:b/>
          <w:bCs/>
          <w:sz w:val="30"/>
          <w:szCs w:val="30"/>
          <w:lang w:bidi="ar-MA"/>
        </w:rPr>
        <w:t xml:space="preserve"> </w:t>
      </w:r>
      <w:r w:rsidR="002041D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حاد</w:t>
      </w:r>
    </w:p>
    <w:p w:rsidR="0047396E" w:rsidRPr="00E335F4" w:rsidRDefault="00727EE4" w:rsidP="00EF75DF">
      <w:pPr>
        <w:bidi/>
        <w:jc w:val="both"/>
        <w:rPr>
          <w:rFonts w:ascii="Times New Roman" w:hAnsi="Times New Roman" w:cs="Simplified Arabic"/>
          <w:rtl/>
          <w:lang w:bidi="ar-MA"/>
        </w:rPr>
      </w:pPr>
      <w:r>
        <w:rPr>
          <w:rFonts w:ascii="Times New Roman" w:hAnsi="Times New Roman" w:cs="Simplified Arabic" w:hint="cs"/>
          <w:rtl/>
          <w:lang w:bidi="ar-MA"/>
        </w:rPr>
        <w:t xml:space="preserve">خلال 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 xml:space="preserve">الفصل </w:t>
      </w:r>
      <w:r>
        <w:rPr>
          <w:rFonts w:ascii="Times New Roman" w:hAnsi="Times New Roman" w:cs="Simplified Arabic" w:hint="cs"/>
          <w:rtl/>
          <w:lang w:bidi="ar-MA"/>
        </w:rPr>
        <w:t>الأول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 xml:space="preserve"> من سنة 20</w:t>
      </w:r>
      <w:r>
        <w:rPr>
          <w:rFonts w:ascii="Times New Roman" w:hAnsi="Times New Roman" w:cs="Simplified Arabic" w:hint="cs"/>
          <w:rtl/>
          <w:lang w:bidi="ar-MA"/>
        </w:rPr>
        <w:t>20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>، بلغ معدل الأسر التي صرحت بتدهور مستوى المعيشة</w:t>
      </w:r>
      <w:r w:rsidR="00EF75DF">
        <w:rPr>
          <w:rFonts w:ascii="Times New Roman" w:hAnsi="Times New Roman" w:cs="Simplified Arabic" w:hint="cs"/>
          <w:rtl/>
          <w:lang w:bidi="ar-MA"/>
        </w:rPr>
        <w:t xml:space="preserve"> 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 xml:space="preserve">خلال 12 شهرا السابقة </w:t>
      </w:r>
      <w:r w:rsidRPr="00727EE4">
        <w:rPr>
          <w:rFonts w:ascii="Times New Roman" w:hAnsi="Times New Roman" w:cs="Simplified Arabic"/>
          <w:rtl/>
          <w:lang w:bidi="ar-MA"/>
        </w:rPr>
        <w:t>42,2</w:t>
      </w:r>
      <w:r w:rsidR="00EF75DF">
        <w:rPr>
          <w:rFonts w:ascii="Times New Roman" w:hAnsi="Times New Roman" w:cs="Simplified Arabic"/>
          <w:lang w:bidi="ar-MA"/>
        </w:rPr>
        <w:t>%</w:t>
      </w:r>
      <w:r w:rsidR="00EF75DF">
        <w:rPr>
          <w:rFonts w:ascii="Times New Roman" w:hAnsi="Times New Roman" w:cs="Simplified Arabic" w:hint="cs"/>
          <w:rtl/>
          <w:lang w:bidi="ar-MA"/>
        </w:rPr>
        <w:t>،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 xml:space="preserve"> فيما اعتبرت</w:t>
      </w:r>
      <w:r w:rsidR="00EF75DF">
        <w:rPr>
          <w:rFonts w:ascii="Times New Roman" w:hAnsi="Times New Roman" w:cs="Simplified Arabic" w:hint="cs"/>
          <w:rtl/>
          <w:lang w:bidi="ar-MA"/>
        </w:rPr>
        <w:t xml:space="preserve"> </w:t>
      </w:r>
      <w:r w:rsidR="00B76026" w:rsidRPr="00B76026">
        <w:rPr>
          <w:rFonts w:ascii="Times New Roman" w:hAnsi="Times New Roman" w:cs="Simplified Arabic"/>
          <w:rtl/>
          <w:lang w:bidi="ar-MA"/>
        </w:rPr>
        <w:t>35,4</w:t>
      </w:r>
      <w:r w:rsidR="0047396E" w:rsidRPr="00E335F4">
        <w:rPr>
          <w:rFonts w:ascii="Times New Roman" w:hAnsi="Times New Roman" w:cs="Simplified Arabic"/>
          <w:lang w:bidi="ar-MA"/>
        </w:rPr>
        <w:t>%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 xml:space="preserve"> منها استقراره و</w:t>
      </w:r>
      <w:r w:rsidR="00B76026" w:rsidRPr="00B76026">
        <w:rPr>
          <w:rFonts w:ascii="Times New Roman" w:hAnsi="Times New Roman" w:cs="Simplified Arabic"/>
          <w:rtl/>
          <w:lang w:bidi="ar-MA"/>
        </w:rPr>
        <w:t>22,4%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 xml:space="preserve"> تحسنه. وهكذا، استقر رصيد هذا المؤشر في مستوى سلبي بلغ ناقص </w:t>
      </w:r>
      <w:r w:rsidR="00B76026" w:rsidRPr="00B76026">
        <w:rPr>
          <w:rFonts w:ascii="Times New Roman" w:hAnsi="Times New Roman" w:cs="Simplified Arabic"/>
          <w:lang w:bidi="ar-MA"/>
        </w:rPr>
        <w:t>19,8</w:t>
      </w:r>
      <w:r w:rsidR="00EF75DF">
        <w:rPr>
          <w:rFonts w:ascii="Times New Roman" w:hAnsi="Times New Roman" w:cs="Simplified Arabic" w:hint="cs"/>
          <w:rtl/>
          <w:lang w:bidi="ar-MA"/>
        </w:rPr>
        <w:t xml:space="preserve"> </w:t>
      </w:r>
      <w:r w:rsidR="00DB58F0" w:rsidRPr="00E335F4">
        <w:rPr>
          <w:rFonts w:ascii="Times New Roman" w:hAnsi="Times New Roman" w:cs="Simplified Arabic" w:hint="cs"/>
          <w:rtl/>
          <w:lang w:bidi="ar-MA"/>
        </w:rPr>
        <w:t xml:space="preserve">نقطة </w:t>
      </w:r>
      <w:r w:rsidR="00B62445">
        <w:rPr>
          <w:rFonts w:ascii="Times New Roman" w:hAnsi="Times New Roman" w:cs="Simplified Arabic" w:hint="cs"/>
          <w:rtl/>
          <w:lang w:bidi="ar-MA"/>
        </w:rPr>
        <w:t xml:space="preserve">عوض ناقص 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>20</w:t>
      </w:r>
      <w:r w:rsidR="00B62445">
        <w:rPr>
          <w:rFonts w:ascii="Times New Roman" w:hAnsi="Times New Roman" w:cs="Simplified Arabic" w:hint="cs"/>
          <w:rtl/>
          <w:lang w:bidi="ar-MA"/>
        </w:rPr>
        <w:t xml:space="preserve"> نقطة خلال الفصل السابق وناقص</w:t>
      </w:r>
      <w:r w:rsidR="00B62445" w:rsidRPr="00B62445">
        <w:rPr>
          <w:rFonts w:ascii="Times New Roman" w:hAnsi="Times New Roman" w:cs="Simplified Arabic"/>
          <w:lang w:bidi="ar-MA"/>
        </w:rPr>
        <w:t xml:space="preserve">15,0 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 xml:space="preserve"> نقطة خلال نفس الفصل من السنة الماضية</w:t>
      </w:r>
      <w:r w:rsidR="008052A4" w:rsidRPr="00E335F4">
        <w:rPr>
          <w:rFonts w:ascii="Times New Roman" w:hAnsi="Times New Roman" w:cs="Simplified Arabic" w:hint="cs"/>
          <w:rtl/>
          <w:lang w:bidi="ar-MA"/>
        </w:rPr>
        <w:t>.</w:t>
      </w:r>
    </w:p>
    <w:p w:rsidR="0047396E" w:rsidRPr="008933AB" w:rsidRDefault="0047396E" w:rsidP="00A84E54">
      <w:pPr>
        <w:bidi/>
        <w:spacing w:before="240"/>
        <w:jc w:val="both"/>
        <w:rPr>
          <w:rFonts w:ascii="Times New Roman" w:hAnsi="Times New Roman" w:cs="Simplified Arabic"/>
          <w:rtl/>
          <w:lang w:val="fr-MA"/>
        </w:rPr>
      </w:pPr>
      <w:r w:rsidRPr="00E335F4">
        <w:rPr>
          <w:rFonts w:ascii="Times New Roman" w:hAnsi="Times New Roman" w:cs="Simplified Arabic" w:hint="cs"/>
          <w:rtl/>
          <w:lang w:bidi="ar-MA"/>
        </w:rPr>
        <w:t xml:space="preserve">أما بخصوص تطور مستوى المعيشة خلال 12 شهرا المقبلة، فتتوقع </w:t>
      </w:r>
      <w:r w:rsidR="00362483" w:rsidRPr="00E335F4">
        <w:rPr>
          <w:rFonts w:ascii="Times New Roman" w:hAnsi="Times New Roman" w:cs="Simplified Arabic"/>
          <w:lang w:bidi="ar-MA"/>
        </w:rPr>
        <w:t>%</w:t>
      </w:r>
      <w:r w:rsidR="00732540" w:rsidRPr="00732540">
        <w:rPr>
          <w:rFonts w:ascii="Times New Roman" w:hAnsi="Times New Roman" w:cs="Simplified Arabic"/>
          <w:lang w:bidi="ar-MA"/>
        </w:rPr>
        <w:t>28,</w:t>
      </w:r>
      <w:r w:rsidR="0076084A">
        <w:rPr>
          <w:rFonts w:ascii="Times New Roman" w:hAnsi="Times New Roman" w:cs="Simplified Arabic"/>
          <w:lang w:bidi="ar-MA"/>
        </w:rPr>
        <w:t>6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 من الأسر تدهوره و</w:t>
      </w:r>
      <w:r w:rsidR="00362483" w:rsidRPr="00E335F4">
        <w:rPr>
          <w:rFonts w:ascii="Times New Roman" w:hAnsi="Times New Roman" w:cs="Simplified Arabic"/>
          <w:lang w:bidi="ar-MA"/>
        </w:rPr>
        <w:t>%</w:t>
      </w:r>
      <w:r w:rsidR="00732540" w:rsidRPr="00732540">
        <w:rPr>
          <w:rFonts w:ascii="Times New Roman" w:hAnsi="Times New Roman" w:cs="Simplified Arabic"/>
          <w:lang w:bidi="ar-MA"/>
        </w:rPr>
        <w:t>47,5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 استقراره في حين </w:t>
      </w:r>
      <w:r w:rsidR="00362483" w:rsidRPr="00E335F4">
        <w:rPr>
          <w:rFonts w:ascii="Times New Roman" w:hAnsi="Times New Roman" w:cs="Simplified Arabic"/>
          <w:lang w:bidi="ar-MA"/>
        </w:rPr>
        <w:t>%</w:t>
      </w:r>
      <w:r w:rsidR="00A53216" w:rsidRPr="00A53216">
        <w:rPr>
          <w:rFonts w:ascii="Times New Roman" w:hAnsi="Times New Roman" w:cs="Simplified Arabic"/>
          <w:lang w:bidi="ar-MA"/>
        </w:rPr>
        <w:t>23,9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 ترجح تحسنه. وهكذا</w:t>
      </w:r>
      <w:r w:rsidR="00622D42" w:rsidRPr="00E335F4">
        <w:rPr>
          <w:rFonts w:ascii="Times New Roman" w:hAnsi="Times New Roman" w:cs="Simplified Arabic" w:hint="cs"/>
          <w:rtl/>
          <w:lang w:bidi="ar-MA"/>
        </w:rPr>
        <w:t>،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 سجل رصيد هذا المؤشر </w:t>
      </w:r>
      <w:r w:rsidR="002041DE">
        <w:rPr>
          <w:rFonts w:ascii="Times New Roman" w:hAnsi="Times New Roman" w:cs="Simplified Arabic" w:hint="cs"/>
          <w:rtl/>
          <w:lang w:bidi="ar-MA"/>
        </w:rPr>
        <w:t xml:space="preserve">و أدنى مستوى له مند الفصل الرابع من </w:t>
      </w:r>
      <w:r w:rsidR="00EF75DF">
        <w:rPr>
          <w:rFonts w:ascii="Times New Roman" w:hAnsi="Times New Roman" w:cs="Simplified Arabic" w:hint="cs"/>
          <w:rtl/>
          <w:lang w:bidi="ar-MA"/>
        </w:rPr>
        <w:t xml:space="preserve">سنة </w:t>
      </w:r>
      <w:r w:rsidR="002041DE">
        <w:rPr>
          <w:rFonts w:ascii="Times New Roman" w:hAnsi="Times New Roman" w:cs="Simplified Arabic" w:hint="cs"/>
          <w:rtl/>
          <w:lang w:bidi="ar-MA"/>
        </w:rPr>
        <w:t>2016</w:t>
      </w:r>
      <w:r w:rsidR="00EF75DF">
        <w:rPr>
          <w:rFonts w:ascii="Times New Roman" w:hAnsi="Times New Roman" w:cs="Simplified Arabic" w:hint="cs"/>
          <w:rtl/>
          <w:lang w:bidi="ar-MA"/>
        </w:rPr>
        <w:t xml:space="preserve"> مس</w:t>
      </w:r>
      <w:r w:rsidR="00A84E54">
        <w:rPr>
          <w:rFonts w:ascii="Times New Roman" w:hAnsi="Times New Roman" w:cs="Simplified Arabic" w:hint="cs"/>
          <w:rtl/>
          <w:lang w:bidi="ar-MA"/>
        </w:rPr>
        <w:t>تقرا في</w:t>
      </w:r>
      <w:r w:rsidR="002041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2041DE" w:rsidRPr="00E335F4">
        <w:rPr>
          <w:rFonts w:ascii="Times New Roman" w:hAnsi="Times New Roman" w:cs="Simplified Arabic" w:hint="cs"/>
          <w:rtl/>
          <w:lang w:bidi="ar-MA"/>
        </w:rPr>
        <w:t>ناقص</w:t>
      </w:r>
      <w:r w:rsidR="00EF75DF">
        <w:rPr>
          <w:rFonts w:ascii="Times New Roman" w:hAnsi="Times New Roman" w:cs="Simplified Arabic" w:hint="cs"/>
          <w:rtl/>
          <w:lang w:bidi="ar-MA"/>
        </w:rPr>
        <w:t xml:space="preserve">  </w:t>
      </w:r>
      <w:r w:rsidR="002041DE" w:rsidRPr="001839B1">
        <w:rPr>
          <w:rFonts w:ascii="Times New Roman" w:hAnsi="Times New Roman" w:cs="Simplified Arabic"/>
          <w:lang w:bidi="ar-MA"/>
        </w:rPr>
        <w:t>4,6</w:t>
      </w:r>
      <w:r w:rsidR="00EF75DF">
        <w:rPr>
          <w:rFonts w:ascii="Times New Roman" w:hAnsi="Times New Roman" w:cs="Simplified Arabic" w:hint="cs"/>
          <w:rtl/>
          <w:lang w:bidi="ar-MA"/>
        </w:rPr>
        <w:t xml:space="preserve"> </w:t>
      </w:r>
      <w:r w:rsidR="002041DE" w:rsidRPr="00D72605">
        <w:rPr>
          <w:rFonts w:ascii="Times New Roman" w:hAnsi="Times New Roman" w:cs="Simplified Arabic" w:hint="cs"/>
          <w:rtl/>
          <w:lang w:bidi="ar-MA"/>
        </w:rPr>
        <w:t>نقطة</w:t>
      </w:r>
      <w:r w:rsidR="00EF75DF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E335F4">
        <w:rPr>
          <w:rFonts w:ascii="Times New Roman" w:hAnsi="Times New Roman" w:cs="Simplified Arabic" w:hint="cs"/>
          <w:rtl/>
          <w:lang w:bidi="ar-MA"/>
        </w:rPr>
        <w:t>عوض ناقص</w:t>
      </w:r>
      <w:r w:rsidR="001839B1" w:rsidRPr="001839B1">
        <w:rPr>
          <w:rFonts w:ascii="Times New Roman" w:hAnsi="Times New Roman" w:cs="Simplified Arabic"/>
          <w:lang w:bidi="ar-MA"/>
        </w:rPr>
        <w:t>2,2</w:t>
      </w:r>
      <w:r w:rsidR="00EF75DF">
        <w:rPr>
          <w:rFonts w:ascii="Times New Roman" w:hAnsi="Times New Roman" w:cs="Simplified Arabic" w:hint="cs"/>
          <w:rtl/>
          <w:lang w:bidi="ar-MA"/>
        </w:rPr>
        <w:t xml:space="preserve"> </w:t>
      </w:r>
      <w:r w:rsidR="00D72605" w:rsidRPr="00D72605">
        <w:rPr>
          <w:rFonts w:ascii="Times New Roman" w:hAnsi="Times New Roman" w:cs="Simplified Arabic" w:hint="cs"/>
          <w:rtl/>
          <w:lang w:bidi="ar-MA"/>
        </w:rPr>
        <w:t>نقطة</w:t>
      </w:r>
      <w:r w:rsidR="00B559B9">
        <w:rPr>
          <w:rFonts w:ascii="Times New Roman" w:hAnsi="Times New Roman" w:cs="Simplified Arabic" w:hint="cs"/>
          <w:rtl/>
          <w:lang w:bidi="ar-MA"/>
        </w:rPr>
        <w:t xml:space="preserve"> خلال الفصل السابق </w:t>
      </w:r>
      <w:r w:rsidRPr="00E335F4">
        <w:rPr>
          <w:rFonts w:ascii="Times New Roman" w:hAnsi="Times New Roman" w:cs="Simplified Arabic" w:hint="cs"/>
          <w:rtl/>
          <w:lang w:bidi="ar-MA"/>
        </w:rPr>
        <w:t>و</w:t>
      </w:r>
      <w:r w:rsidR="00EF75DF">
        <w:rPr>
          <w:rFonts w:ascii="Times New Roman" w:hAnsi="Times New Roman" w:cs="Simplified Arabic" w:hint="cs"/>
          <w:rtl/>
          <w:lang w:bidi="ar-MA"/>
        </w:rPr>
        <w:t xml:space="preserve"> </w:t>
      </w:r>
      <w:r w:rsidR="00B559B9" w:rsidRPr="00B559B9">
        <w:rPr>
          <w:rFonts w:ascii="Times New Roman" w:hAnsi="Times New Roman" w:cs="Simplified Arabic"/>
          <w:lang w:bidi="ar-MA"/>
        </w:rPr>
        <w:t>10</w:t>
      </w:r>
      <w:r w:rsidR="00EF75DF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E335F4">
        <w:rPr>
          <w:rFonts w:ascii="Times New Roman" w:hAnsi="Times New Roman" w:cs="Simplified Arabic" w:hint="cs"/>
          <w:rtl/>
          <w:lang w:bidi="ar-MA"/>
        </w:rPr>
        <w:t>نقاط خلال نفس الفصل من السنة الماضية.</w:t>
      </w:r>
    </w:p>
    <w:p w:rsidR="00B559B9" w:rsidRPr="000F62DE" w:rsidRDefault="00B559B9" w:rsidP="00B559B9">
      <w:pPr>
        <w:bidi/>
        <w:spacing w:before="240"/>
        <w:rPr>
          <w:rFonts w:ascii="Times New Roman" w:hAnsi="Times New Roman" w:cs="Simplified Arabic"/>
          <w:rtl/>
        </w:rPr>
      </w:pPr>
    </w:p>
    <w:p w:rsidR="00804AB7" w:rsidRPr="000F62DE" w:rsidRDefault="006D45F0" w:rsidP="00795089">
      <w:pPr>
        <w:widowControl/>
        <w:autoSpaceDE/>
        <w:autoSpaceDN/>
        <w:bidi/>
        <w:adjustRightInd/>
        <w:spacing w:after="200" w:line="360" w:lineRule="auto"/>
        <w:jc w:val="both"/>
        <w:rPr>
          <w:rFonts w:ascii="Times New Roman" w:hAnsi="Times New Roman" w:cs="Simplified Arabic"/>
          <w:rtl/>
          <w:lang w:bidi="ar-MA"/>
        </w:rPr>
      </w:pPr>
      <w:r>
        <w:rPr>
          <w:noProof/>
        </w:rPr>
        <w:drawing>
          <wp:inline distT="0" distB="0" distL="0" distR="0">
            <wp:extent cx="5938740" cy="3403158"/>
            <wp:effectExtent l="19050" t="0" r="23910" b="6792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7396E" w:rsidRPr="00751E8B" w:rsidRDefault="0047396E" w:rsidP="002041DE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ind w:left="566" w:hanging="28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تطور مستوى البطالة</w:t>
      </w:r>
      <w:r w:rsidR="002041D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: آ</w:t>
      </w:r>
      <w:r w:rsidR="00B41C3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راء دائما متشائمة</w:t>
      </w:r>
    </w:p>
    <w:p w:rsidR="0047396E" w:rsidRPr="002B5D5E" w:rsidRDefault="00F04DA1" w:rsidP="00362483">
      <w:pPr>
        <w:bidi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F04DA1">
        <w:rPr>
          <w:rFonts w:ascii="Times New Roman" w:hAnsi="Times New Roman" w:cs="Simplified Arabic" w:hint="cs"/>
          <w:rtl/>
          <w:lang w:bidi="ar-MA"/>
        </w:rPr>
        <w:t>خلال الفصل الأول من سنة 2020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>، توقعت</w:t>
      </w:r>
      <w:r w:rsidR="00362483" w:rsidRPr="00E335F4">
        <w:rPr>
          <w:rFonts w:ascii="Times New Roman" w:hAnsi="Times New Roman" w:cs="Simplified Arabic"/>
          <w:lang w:bidi="ar-MA"/>
        </w:rPr>
        <w:t>%</w:t>
      </w:r>
      <w:r w:rsidR="000158E5" w:rsidRPr="000158E5">
        <w:rPr>
          <w:rFonts w:ascii="Times New Roman" w:hAnsi="Times New Roman" w:cs="Simplified Arabic"/>
          <w:lang w:bidi="ar-MA"/>
        </w:rPr>
        <w:t xml:space="preserve">79,2 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 xml:space="preserve"> من الأسر مقابل </w:t>
      </w:r>
      <w:r w:rsidR="00362483" w:rsidRPr="00E335F4">
        <w:rPr>
          <w:rFonts w:ascii="Times New Roman" w:hAnsi="Times New Roman" w:cs="Simplified Arabic"/>
          <w:lang w:bidi="ar-MA"/>
        </w:rPr>
        <w:t>%</w:t>
      </w:r>
      <w:r w:rsidR="000158E5" w:rsidRPr="000158E5">
        <w:rPr>
          <w:rFonts w:ascii="Times New Roman" w:hAnsi="Times New Roman" w:cs="Simplified Arabic"/>
          <w:lang w:bidi="ar-MA"/>
        </w:rPr>
        <w:t>8,4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 xml:space="preserve"> ارتفاعا في مستوى البطالة خلال 12 شهرا المقبلة. وهكذا استقر رصيد هذا المؤشر في مستوى سلبي بلغ ناقص</w:t>
      </w:r>
      <w:r w:rsidR="00362483">
        <w:rPr>
          <w:rFonts w:ascii="Times New Roman" w:hAnsi="Times New Roman" w:cs="Simplified Arabic" w:hint="cs"/>
          <w:rtl/>
          <w:lang w:bidi="ar-MA"/>
        </w:rPr>
        <w:t xml:space="preserve"> </w:t>
      </w:r>
      <w:r w:rsidR="00924964" w:rsidRPr="00924964">
        <w:rPr>
          <w:rFonts w:ascii="Times New Roman" w:hAnsi="Times New Roman" w:cs="Simplified Arabic"/>
          <w:rtl/>
          <w:lang w:bidi="ar-MA"/>
        </w:rPr>
        <w:t>70,8</w:t>
      </w:r>
      <w:r w:rsidR="00362483">
        <w:rPr>
          <w:rFonts w:ascii="Times New Roman" w:hAnsi="Times New Roman" w:cs="Simplified Arabic" w:hint="cs"/>
          <w:rtl/>
          <w:lang w:bidi="ar-MA"/>
        </w:rPr>
        <w:t xml:space="preserve"> 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>نقطة، مقابل ناقص</w:t>
      </w:r>
      <w:r w:rsidR="00362483">
        <w:rPr>
          <w:rFonts w:ascii="Times New Roman" w:hAnsi="Times New Roman" w:cs="Simplified Arabic" w:hint="cs"/>
          <w:rtl/>
          <w:lang w:bidi="ar-MA"/>
        </w:rPr>
        <w:t xml:space="preserve"> </w:t>
      </w:r>
      <w:r w:rsidR="00870CFD" w:rsidRPr="00870CFD">
        <w:rPr>
          <w:rFonts w:ascii="Times New Roman" w:hAnsi="Times New Roman" w:cs="Simplified Arabic"/>
          <w:lang w:bidi="ar-MA"/>
        </w:rPr>
        <w:t>71,6</w:t>
      </w:r>
      <w:r w:rsidR="00362483">
        <w:rPr>
          <w:rFonts w:ascii="Times New Roman" w:hAnsi="Times New Roman" w:cs="Simplified Arabic" w:hint="cs"/>
          <w:rtl/>
          <w:lang w:bidi="ar-MA"/>
        </w:rPr>
        <w:t xml:space="preserve"> 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>نقطة خلال الفصل السابق و ناقص</w:t>
      </w:r>
      <w:r w:rsidR="00362483">
        <w:rPr>
          <w:rFonts w:ascii="Times New Roman" w:hAnsi="Times New Roman" w:cs="Simplified Arabic" w:hint="cs"/>
          <w:rtl/>
          <w:lang w:bidi="ar-MA"/>
        </w:rPr>
        <w:t xml:space="preserve"> </w:t>
      </w:r>
      <w:r w:rsidR="0092037B" w:rsidRPr="0092037B">
        <w:rPr>
          <w:rFonts w:ascii="Times New Roman" w:hAnsi="Times New Roman" w:cs="Simplified Arabic"/>
          <w:lang w:bidi="ar-MA"/>
        </w:rPr>
        <w:t>75,6</w:t>
      </w:r>
      <w:r w:rsidR="00362483">
        <w:rPr>
          <w:rFonts w:ascii="Times New Roman" w:hAnsi="Times New Roman" w:cs="Simplified Arabic" w:hint="cs"/>
          <w:rtl/>
          <w:lang w:bidi="ar-MA"/>
        </w:rPr>
        <w:t xml:space="preserve"> 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>نقطة خلال نفس الفصل من السنة الماضية</w:t>
      </w:r>
      <w:r w:rsidR="0047396E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47396E" w:rsidRDefault="0047396E" w:rsidP="00795089">
      <w:pPr>
        <w:bidi/>
        <w:spacing w:line="360" w:lineRule="auto"/>
        <w:jc w:val="both"/>
        <w:rPr>
          <w:rFonts w:ascii="Times New Roman" w:hAnsi="Times New Roman" w:cs="Simplified Arabic"/>
          <w:lang w:bidi="ar-MA"/>
        </w:rPr>
      </w:pPr>
    </w:p>
    <w:p w:rsidR="0047396E" w:rsidRDefault="006D45F0" w:rsidP="00795089">
      <w:pPr>
        <w:bidi/>
        <w:spacing w:line="360" w:lineRule="auto"/>
        <w:jc w:val="both"/>
        <w:rPr>
          <w:rFonts w:ascii="Times New Roman" w:hAnsi="Times New Roman" w:cs="Simplified Arabic"/>
          <w:lang w:bidi="ar-MA"/>
        </w:rPr>
      </w:pPr>
      <w:r>
        <w:rPr>
          <w:noProof/>
        </w:rPr>
        <w:lastRenderedPageBreak/>
        <w:drawing>
          <wp:inline distT="0" distB="0" distL="0" distR="0">
            <wp:extent cx="5943185" cy="2600077"/>
            <wp:effectExtent l="19050" t="0" r="19465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95089" w:rsidRDefault="00795089" w:rsidP="00795089">
      <w:pPr>
        <w:bidi/>
        <w:spacing w:line="360" w:lineRule="auto"/>
        <w:jc w:val="both"/>
        <w:rPr>
          <w:rFonts w:ascii="Times New Roman" w:hAnsi="Times New Roman" w:cs="Simplified Arabic"/>
          <w:lang w:bidi="ar-MA"/>
        </w:rPr>
      </w:pPr>
    </w:p>
    <w:p w:rsidR="0047396E" w:rsidRPr="00795089" w:rsidRDefault="0047396E" w:rsidP="00D22424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ind w:left="566" w:hanging="283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795089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الظرفية غير ملائمة لاقتناء السلع</w:t>
      </w:r>
      <w:r w:rsidR="0036248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Pr="00795089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المستديمة </w:t>
      </w:r>
    </w:p>
    <w:p w:rsidR="002B2F02" w:rsidRDefault="0047396E" w:rsidP="0076084A">
      <w:pPr>
        <w:bidi/>
        <w:jc w:val="both"/>
        <w:rPr>
          <w:rFonts w:ascii="Times New Roman" w:hAnsi="Times New Roman" w:cs="Simplified Arabic"/>
          <w:rtl/>
          <w:lang w:bidi="ar-MA"/>
        </w:rPr>
      </w:pPr>
      <w:r w:rsidRPr="00E335F4">
        <w:rPr>
          <w:rFonts w:ascii="Times New Roman" w:hAnsi="Times New Roman" w:cs="Simplified Arabic" w:hint="cs"/>
          <w:rtl/>
          <w:lang w:bidi="ar-MA"/>
        </w:rPr>
        <w:t xml:space="preserve">اعتبرت </w:t>
      </w:r>
      <w:r w:rsidR="0006156A" w:rsidRPr="0006156A">
        <w:rPr>
          <w:rFonts w:ascii="Times New Roman" w:hAnsi="Times New Roman" w:cs="Simplified Arabic"/>
          <w:rtl/>
          <w:lang w:bidi="ar-MA"/>
        </w:rPr>
        <w:t>57,</w:t>
      </w:r>
      <w:r w:rsidR="0076084A">
        <w:rPr>
          <w:rFonts w:ascii="Times New Roman" w:hAnsi="Times New Roman" w:cs="Simplified Arabic" w:hint="cs"/>
          <w:rtl/>
          <w:lang w:bidi="ar-MA"/>
        </w:rPr>
        <w:t>3</w:t>
      </w:r>
      <w:r w:rsidR="0006156A" w:rsidRPr="0006156A">
        <w:rPr>
          <w:rFonts w:ascii="Times New Roman" w:hAnsi="Times New Roman" w:cs="Simplified Arabic"/>
          <w:rtl/>
          <w:lang w:bidi="ar-MA"/>
        </w:rPr>
        <w:t>%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 من الأسر، </w:t>
      </w:r>
      <w:r w:rsidR="00341A12" w:rsidRPr="00341A12">
        <w:rPr>
          <w:rFonts w:ascii="Times New Roman" w:hAnsi="Times New Roman" w:cs="Simplified Arabic" w:hint="cs"/>
          <w:rtl/>
          <w:lang w:bidi="ar-MA"/>
        </w:rPr>
        <w:t>خلال الفصل الأول من سنة 2020</w:t>
      </w:r>
      <w:r w:rsidRPr="00E335F4">
        <w:rPr>
          <w:rFonts w:ascii="Times New Roman" w:hAnsi="Times New Roman" w:cs="Simplified Arabic" w:hint="cs"/>
          <w:rtl/>
          <w:lang w:bidi="ar-MA"/>
        </w:rPr>
        <w:t>، أن الظروف غير ملائمة للقيام بشراء سلع مستديمة</w:t>
      </w:r>
      <w:r w:rsidR="002041DE">
        <w:rPr>
          <w:rFonts w:ascii="Times New Roman" w:hAnsi="Times New Roman" w:cs="Simplified Arabic" w:hint="cs"/>
          <w:rtl/>
          <w:lang w:bidi="ar-MA"/>
        </w:rPr>
        <w:t>،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 في حين رأت </w:t>
      </w:r>
      <w:r w:rsidR="00E814C5" w:rsidRPr="00E814C5">
        <w:rPr>
          <w:rFonts w:ascii="Times New Roman" w:hAnsi="Times New Roman" w:cs="Simplified Arabic"/>
          <w:lang w:bidi="ar-MA"/>
        </w:rPr>
        <w:t>24,6</w:t>
      </w:r>
      <w:r w:rsidR="00362483">
        <w:rPr>
          <w:rFonts w:ascii="Times New Roman" w:hAnsi="Times New Roman" w:cs="Simplified Arabic" w:hint="cs"/>
          <w:rtl/>
          <w:lang w:bidi="ar-MA"/>
        </w:rPr>
        <w:t xml:space="preserve"> </w:t>
      </w:r>
      <w:r w:rsidR="00362483" w:rsidRPr="00E335F4">
        <w:rPr>
          <w:rFonts w:ascii="Times New Roman" w:hAnsi="Times New Roman" w:cs="Simplified Arabic"/>
          <w:lang w:bidi="ar-MA"/>
        </w:rPr>
        <w:t>%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 عكس ذلك. وهكذا استقر رصيد هذا المؤشر في مستواه السلبي مسجلا ناقص </w:t>
      </w:r>
      <w:r w:rsidR="009D0E58">
        <w:rPr>
          <w:rFonts w:ascii="Times New Roman" w:hAnsi="Times New Roman" w:cs="Times New Roman"/>
          <w:color w:val="000000" w:themeColor="text1"/>
        </w:rPr>
        <w:t>32,6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 نقطة مقابل ناقص </w:t>
      </w:r>
      <w:r w:rsidR="00812BA1">
        <w:rPr>
          <w:rFonts w:ascii="Times New Roman" w:hAnsi="Times New Roman" w:cs="Times New Roman"/>
          <w:color w:val="000000" w:themeColor="text1"/>
        </w:rPr>
        <w:t>29</w:t>
      </w:r>
      <w:r w:rsidR="00812BA1" w:rsidRPr="00065DD7">
        <w:rPr>
          <w:rFonts w:ascii="Times New Roman" w:hAnsi="Times New Roman" w:cs="Times New Roman"/>
          <w:color w:val="000000" w:themeColor="text1"/>
        </w:rPr>
        <w:t>,</w:t>
      </w:r>
      <w:r w:rsidR="00812BA1">
        <w:rPr>
          <w:rFonts w:ascii="Times New Roman" w:hAnsi="Times New Roman" w:cs="Times New Roman"/>
          <w:color w:val="000000" w:themeColor="text1"/>
        </w:rPr>
        <w:t>2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 نقطة خلال الفصل السابق وناقص </w:t>
      </w:r>
      <w:r w:rsidR="003748E7" w:rsidRPr="003748E7">
        <w:rPr>
          <w:rFonts w:ascii="Times New Roman" w:hAnsi="Times New Roman" w:cs="Simplified Arabic"/>
          <w:lang w:bidi="ar-MA"/>
        </w:rPr>
        <w:t>36,3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  نقطة خلال  الفصل من</w:t>
      </w:r>
      <w:r w:rsidR="00362483">
        <w:rPr>
          <w:rFonts w:ascii="Times New Roman" w:hAnsi="Times New Roman" w:cs="Simplified Arabic" w:hint="cs"/>
          <w:rtl/>
          <w:lang w:bidi="ar-MA"/>
        </w:rPr>
        <w:t xml:space="preserve"> سنة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 201</w:t>
      </w:r>
      <w:r w:rsidR="00611F15">
        <w:rPr>
          <w:rFonts w:ascii="Times New Roman" w:hAnsi="Times New Roman" w:cs="Simplified Arabic" w:hint="cs"/>
          <w:rtl/>
          <w:lang w:bidi="ar-MA"/>
        </w:rPr>
        <w:t>9</w:t>
      </w:r>
      <w:r w:rsidR="00362483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E335F4">
        <w:rPr>
          <w:rFonts w:ascii="Times New Roman" w:hAnsi="Times New Roman" w:cs="Simplified Arabic" w:hint="cs"/>
          <w:rtl/>
          <w:lang w:bidi="ar-MA"/>
        </w:rPr>
        <w:t>.</w:t>
      </w:r>
    </w:p>
    <w:p w:rsidR="00BC28E2" w:rsidRPr="00E335F4" w:rsidRDefault="00BC28E2" w:rsidP="00BC28E2">
      <w:pPr>
        <w:bidi/>
        <w:jc w:val="both"/>
        <w:rPr>
          <w:rFonts w:ascii="Times New Roman" w:hAnsi="Times New Roman" w:cs="Simplified Arabic"/>
          <w:rtl/>
          <w:lang w:bidi="ar-MA"/>
        </w:rPr>
      </w:pPr>
    </w:p>
    <w:p w:rsidR="00B41C33" w:rsidRDefault="006D45F0" w:rsidP="00E335F4">
      <w:pPr>
        <w:widowControl/>
        <w:autoSpaceDE/>
        <w:autoSpaceDN/>
        <w:bidi/>
        <w:adjustRightInd/>
        <w:spacing w:line="360" w:lineRule="auto"/>
        <w:jc w:val="both"/>
        <w:rPr>
          <w:rFonts w:ascii="Times New Roman" w:hAnsi="Times New Roman" w:cs="Simplified Arabic"/>
          <w:b/>
          <w:bCs/>
          <w:rtl/>
          <w:lang w:bidi="ar-MA"/>
        </w:rPr>
      </w:pPr>
      <w:r>
        <w:rPr>
          <w:noProof/>
        </w:rPr>
        <w:drawing>
          <wp:inline distT="0" distB="0" distL="0" distR="0">
            <wp:extent cx="5936835" cy="2719346"/>
            <wp:effectExtent l="19050" t="0" r="25815" b="4804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076C6" w:rsidRPr="0074631B" w:rsidRDefault="008052A4" w:rsidP="00AD27A3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الوضعية </w:t>
      </w:r>
      <w:r w:rsidR="0047396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المالية </w:t>
      </w:r>
      <w:r w:rsidRPr="00D076C6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للأسر</w:t>
      </w:r>
      <w:r w:rsidRPr="00D076C6">
        <w:rPr>
          <w:rFonts w:ascii="Times New Roman" w:hAnsi="Times New Roman" w:cs="Simplified Arabic"/>
          <w:b/>
          <w:bCs/>
          <w:sz w:val="30"/>
          <w:szCs w:val="30"/>
          <w:lang w:bidi="ar-MA"/>
        </w:rPr>
        <w:t>:</w:t>
      </w:r>
      <w:r w:rsidR="00D076C6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</w:t>
      </w:r>
      <w:r w:rsidR="00AD27A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وقعات أ</w:t>
      </w:r>
      <w:r w:rsidR="00D076C6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كثر </w:t>
      </w:r>
      <w:r w:rsidR="00870DB1" w:rsidRPr="00870DB1">
        <w:rPr>
          <w:rFonts w:ascii="Times New Roman" w:hAnsi="Times New Roman" w:cs="Simplified Arabic"/>
          <w:b/>
          <w:bCs/>
          <w:sz w:val="30"/>
          <w:szCs w:val="30"/>
          <w:rtl/>
          <w:lang w:bidi="ar-MA"/>
        </w:rPr>
        <w:t>تشاؤماً</w:t>
      </w:r>
    </w:p>
    <w:p w:rsidR="0047396E" w:rsidRPr="00E335F4" w:rsidRDefault="0047396E" w:rsidP="00362483">
      <w:pPr>
        <w:bidi/>
        <w:spacing w:before="240"/>
        <w:jc w:val="both"/>
        <w:rPr>
          <w:rFonts w:ascii="Times New Roman" w:hAnsi="Times New Roman" w:cs="Simplified Arabic"/>
          <w:lang w:bidi="ar-MA"/>
        </w:rPr>
      </w:pPr>
      <w:r w:rsidRPr="00E335F4">
        <w:rPr>
          <w:rFonts w:ascii="Times New Roman" w:hAnsi="Times New Roman" w:cs="Simplified Arabic" w:hint="cs"/>
          <w:rtl/>
          <w:lang w:bidi="ar-MA"/>
        </w:rPr>
        <w:t xml:space="preserve">صرحت </w:t>
      </w:r>
      <w:r w:rsidR="00362483" w:rsidRPr="00E335F4">
        <w:rPr>
          <w:rFonts w:ascii="Times New Roman" w:hAnsi="Times New Roman" w:cs="Simplified Arabic"/>
          <w:lang w:bidi="ar-MA"/>
        </w:rPr>
        <w:t>%</w:t>
      </w:r>
      <w:r w:rsidR="008D5C27" w:rsidRPr="008D5C27">
        <w:rPr>
          <w:rFonts w:ascii="Times New Roman" w:hAnsi="Times New Roman" w:cs="Simplified Arabic"/>
          <w:lang w:bidi="ar-MA"/>
        </w:rPr>
        <w:t>62,7</w:t>
      </w:r>
      <w:r w:rsidRPr="00E335F4">
        <w:rPr>
          <w:rFonts w:ascii="Times New Roman" w:hAnsi="Times New Roman" w:cs="Simplified Arabic"/>
          <w:lang w:bidi="ar-MA"/>
        </w:rPr>
        <w:t xml:space="preserve"> </w:t>
      </w:r>
      <w:r w:rsidR="00362483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من الأسر، </w:t>
      </w:r>
      <w:r w:rsidR="00BA32A3" w:rsidRPr="00BA32A3">
        <w:rPr>
          <w:rFonts w:ascii="Times New Roman" w:hAnsi="Times New Roman" w:cs="Simplified Arabic" w:hint="cs"/>
          <w:rtl/>
          <w:lang w:bidi="ar-MA"/>
        </w:rPr>
        <w:t>خلال الفصل الأول من سنة 2020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، أن مداخيلها تغطي مصاريفها، فيما استنزفت </w:t>
      </w:r>
      <w:r w:rsidR="00362483" w:rsidRPr="00E335F4">
        <w:rPr>
          <w:rFonts w:ascii="Times New Roman" w:hAnsi="Times New Roman" w:cs="Simplified Arabic"/>
          <w:lang w:bidi="ar-MA"/>
        </w:rPr>
        <w:t>%</w:t>
      </w:r>
      <w:r w:rsidR="002738F1" w:rsidRPr="002738F1">
        <w:rPr>
          <w:rFonts w:ascii="Times New Roman" w:hAnsi="Times New Roman" w:cs="Simplified Arabic"/>
          <w:lang w:bidi="ar-MA"/>
        </w:rPr>
        <w:t>32,5</w:t>
      </w:r>
      <w:r w:rsidR="00362483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E335F4">
        <w:rPr>
          <w:rFonts w:ascii="Times New Roman" w:hAnsi="Times New Roman" w:cs="Simplified Arabic" w:hint="cs"/>
          <w:rtl/>
          <w:lang w:bidi="ar-MA"/>
        </w:rPr>
        <w:t>من مدخراتها أو لجأت إلى الاقتراض.  ولا يتجاوز معدل الأسر التي تمكنت من ادخار جزء من مداخيلها</w:t>
      </w:r>
      <w:r w:rsidR="00362483" w:rsidRPr="00E335F4">
        <w:rPr>
          <w:rFonts w:ascii="Times New Roman" w:hAnsi="Times New Roman" w:cs="Simplified Arabic"/>
          <w:lang w:bidi="ar-MA"/>
        </w:rPr>
        <w:t>%</w:t>
      </w:r>
      <w:r w:rsidR="009A3032" w:rsidRPr="009A3032">
        <w:rPr>
          <w:rFonts w:ascii="Times New Roman" w:hAnsi="Times New Roman" w:cs="Simplified Arabic"/>
          <w:lang w:bidi="ar-MA"/>
        </w:rPr>
        <w:t>4,8</w:t>
      </w:r>
      <w:r w:rsidRPr="00E335F4">
        <w:rPr>
          <w:rFonts w:ascii="Times New Roman" w:hAnsi="Times New Roman" w:cs="Simplified Arabic"/>
          <w:lang w:bidi="ar-MA"/>
        </w:rPr>
        <w:t xml:space="preserve"> .</w:t>
      </w:r>
      <w:r w:rsidR="00362483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وهكذا استقر رصيد آراء الأسر حول وضعيتهم المالية الحالية في مستوى سلبي بلغ ناقص </w:t>
      </w:r>
      <w:r w:rsidR="0072041A" w:rsidRPr="0072041A">
        <w:rPr>
          <w:rFonts w:ascii="Times New Roman" w:hAnsi="Times New Roman" w:cs="Simplified Arabic"/>
          <w:lang w:bidi="ar-MA"/>
        </w:rPr>
        <w:t>27,7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 نقطة</w:t>
      </w:r>
      <w:r w:rsidR="00362483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E335F4">
        <w:rPr>
          <w:rFonts w:ascii="Times New Roman" w:hAnsi="Times New Roman" w:cs="Simplified Arabic" w:hint="cs"/>
          <w:rtl/>
          <w:lang w:bidi="ar-MA"/>
        </w:rPr>
        <w:t>مقابل ناقص</w:t>
      </w:r>
      <w:r w:rsidR="001A06F6" w:rsidRPr="001A06F6">
        <w:rPr>
          <w:rFonts w:ascii="Times New Roman" w:hAnsi="Times New Roman" w:cs="Simplified Arabic"/>
          <w:rtl/>
          <w:lang w:bidi="ar-MA"/>
        </w:rPr>
        <w:t>26,4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 نقطة خلال الفصل السابق وناقص</w:t>
      </w:r>
      <w:r w:rsidR="001D2C5D" w:rsidRPr="001D2C5D">
        <w:rPr>
          <w:rFonts w:ascii="Times New Roman" w:hAnsi="Times New Roman" w:cs="Simplified Arabic"/>
          <w:rtl/>
          <w:lang w:bidi="ar-MA"/>
        </w:rPr>
        <w:t>28,9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 نقطة خلال نفس الفصل من السنة الماضية.</w:t>
      </w:r>
    </w:p>
    <w:p w:rsidR="000B04E0" w:rsidRDefault="000B04E0" w:rsidP="005C100E">
      <w:pPr>
        <w:bidi/>
        <w:spacing w:before="240"/>
        <w:jc w:val="both"/>
        <w:rPr>
          <w:rFonts w:ascii="Times New Roman" w:hAnsi="Times New Roman" w:cs="Simplified Arabic"/>
          <w:rtl/>
          <w:lang w:bidi="ar-MA"/>
        </w:rPr>
      </w:pPr>
    </w:p>
    <w:p w:rsidR="0047396E" w:rsidRPr="00E335F4" w:rsidRDefault="0047396E" w:rsidP="000B04E0">
      <w:pPr>
        <w:bidi/>
        <w:spacing w:before="240"/>
        <w:jc w:val="both"/>
        <w:rPr>
          <w:rFonts w:ascii="Times New Roman" w:hAnsi="Times New Roman" w:cs="Simplified Arabic"/>
          <w:rtl/>
          <w:lang w:bidi="ar-MA"/>
        </w:rPr>
      </w:pPr>
      <w:r w:rsidRPr="00E335F4">
        <w:rPr>
          <w:rFonts w:ascii="Times New Roman" w:hAnsi="Times New Roman" w:cs="Simplified Arabic"/>
          <w:rtl/>
          <w:lang w:bidi="ar-MA"/>
        </w:rPr>
        <w:lastRenderedPageBreak/>
        <w:t>و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بخصوص تطور الوضعية المالية للأسر خلال 12 شهرا الماضية، صرحت </w:t>
      </w:r>
      <w:r w:rsidR="006E4D83" w:rsidRPr="006E4D83">
        <w:rPr>
          <w:rFonts w:ascii="Times New Roman" w:hAnsi="Times New Roman" w:cs="Simplified Arabic"/>
          <w:rtl/>
          <w:lang w:bidi="ar-MA"/>
        </w:rPr>
        <w:t>32,8</w:t>
      </w:r>
      <w:r w:rsidRPr="00E335F4">
        <w:rPr>
          <w:rFonts w:ascii="Times New Roman" w:hAnsi="Times New Roman" w:cs="Simplified Arabic"/>
          <w:lang w:bidi="ar-MA"/>
        </w:rPr>
        <w:t xml:space="preserve"> %</w:t>
      </w:r>
      <w:r w:rsidRPr="00E335F4">
        <w:rPr>
          <w:rFonts w:ascii="Times New Roman" w:hAnsi="Times New Roman" w:cs="Simplified Arabic" w:hint="cs"/>
          <w:rtl/>
          <w:lang w:bidi="ar-MA"/>
        </w:rPr>
        <w:t>من الأسر بتحسنها مقابل 9,</w:t>
      </w:r>
      <w:r w:rsidR="006E4D83">
        <w:rPr>
          <w:rFonts w:ascii="Times New Roman" w:hAnsi="Times New Roman" w:cs="Simplified Arabic" w:hint="cs"/>
          <w:rtl/>
          <w:lang w:bidi="ar-MA"/>
        </w:rPr>
        <w:t>9</w:t>
      </w:r>
      <w:r w:rsidRPr="00E335F4">
        <w:rPr>
          <w:rFonts w:ascii="Times New Roman" w:hAnsi="Times New Roman" w:cs="Simplified Arabic"/>
          <w:lang w:bidi="ar-MA"/>
        </w:rPr>
        <w:t>%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 بتدهورها. وبذلك بقي </w:t>
      </w:r>
      <w:r w:rsidRPr="00E335F4">
        <w:rPr>
          <w:rFonts w:ascii="Times New Roman" w:hAnsi="Times New Roman" w:cs="Simplified Arabic"/>
          <w:rtl/>
          <w:lang w:bidi="ar-MA"/>
        </w:rPr>
        <w:t>هذا التصور</w:t>
      </w:r>
      <w:r w:rsidR="00362483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E335F4">
        <w:rPr>
          <w:rFonts w:ascii="Times New Roman" w:hAnsi="Times New Roman" w:cs="Simplified Arabic"/>
          <w:rtl/>
          <w:lang w:bidi="ar-MA"/>
        </w:rPr>
        <w:t>سلبي</w:t>
      </w:r>
      <w:r w:rsidRPr="00E335F4">
        <w:rPr>
          <w:rFonts w:ascii="Times New Roman" w:hAnsi="Times New Roman" w:cs="Simplified Arabic" w:hint="cs"/>
          <w:rtl/>
          <w:lang w:bidi="ar-MA"/>
        </w:rPr>
        <w:t>ا حيث بلغ ناقص</w:t>
      </w:r>
      <w:r w:rsidR="00362483">
        <w:rPr>
          <w:rFonts w:ascii="Times New Roman" w:hAnsi="Times New Roman" w:cs="Simplified Arabic" w:hint="cs"/>
          <w:rtl/>
          <w:lang w:bidi="ar-MA"/>
        </w:rPr>
        <w:t xml:space="preserve"> </w:t>
      </w:r>
      <w:r w:rsidR="00FF390B" w:rsidRPr="00FF390B">
        <w:rPr>
          <w:rFonts w:ascii="Times New Roman" w:hAnsi="Times New Roman" w:cs="Simplified Arabic"/>
          <w:rtl/>
          <w:lang w:bidi="ar-MA"/>
        </w:rPr>
        <w:t>22,9</w:t>
      </w:r>
      <w:r w:rsidR="00362483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نقطة </w:t>
      </w:r>
      <w:r w:rsidR="005C100E">
        <w:rPr>
          <w:rFonts w:ascii="Times New Roman" w:hAnsi="Times New Roman" w:cs="Simplified Arabic" w:hint="cs"/>
          <w:rtl/>
          <w:lang w:bidi="ar-MA"/>
        </w:rPr>
        <w:t>مقابل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 ناقص</w:t>
      </w:r>
      <w:r w:rsidR="00362483">
        <w:rPr>
          <w:rFonts w:ascii="Times New Roman" w:hAnsi="Times New Roman" w:cs="Simplified Arabic" w:hint="cs"/>
          <w:rtl/>
          <w:lang w:bidi="ar-MA"/>
        </w:rPr>
        <w:t xml:space="preserve"> </w:t>
      </w:r>
      <w:r w:rsidR="00FF390B" w:rsidRPr="00FF390B">
        <w:rPr>
          <w:rFonts w:ascii="Times New Roman" w:hAnsi="Times New Roman" w:cs="Simplified Arabic"/>
          <w:rtl/>
          <w:lang w:bidi="ar-MA"/>
        </w:rPr>
        <w:t>22,1</w:t>
      </w:r>
      <w:r w:rsidR="00362483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نقطة </w:t>
      </w:r>
      <w:r w:rsidR="005C100E" w:rsidRPr="005C100E">
        <w:rPr>
          <w:rFonts w:ascii="Times New Roman" w:hAnsi="Times New Roman" w:cs="Simplified Arabic"/>
          <w:rtl/>
          <w:lang w:bidi="ar-MA"/>
        </w:rPr>
        <w:t xml:space="preserve">خلال الفصل السابق </w:t>
      </w:r>
      <w:r w:rsidRPr="00E335F4">
        <w:rPr>
          <w:rFonts w:ascii="Times New Roman" w:hAnsi="Times New Roman" w:cs="Simplified Arabic" w:hint="cs"/>
          <w:rtl/>
          <w:lang w:bidi="ar-MA"/>
        </w:rPr>
        <w:t>ناقص</w:t>
      </w:r>
      <w:r w:rsidR="00362483">
        <w:rPr>
          <w:rFonts w:ascii="Times New Roman" w:hAnsi="Times New Roman" w:cs="Simplified Arabic" w:hint="cs"/>
          <w:rtl/>
          <w:lang w:bidi="ar-MA"/>
        </w:rPr>
        <w:t xml:space="preserve"> </w:t>
      </w:r>
      <w:r w:rsidR="00A1303D" w:rsidRPr="00A1303D">
        <w:rPr>
          <w:rFonts w:ascii="Times New Roman" w:hAnsi="Times New Roman" w:cs="Simplified Arabic"/>
          <w:lang w:bidi="ar-MA"/>
        </w:rPr>
        <w:t>21,2</w:t>
      </w:r>
      <w:r w:rsidR="00362483">
        <w:rPr>
          <w:rFonts w:ascii="Times New Roman" w:hAnsi="Times New Roman" w:cs="Simplified Arabic" w:hint="cs"/>
          <w:rtl/>
          <w:lang w:bidi="ar-MA"/>
        </w:rPr>
        <w:t xml:space="preserve"> </w:t>
      </w:r>
      <w:r w:rsidR="003549B7" w:rsidRPr="00E335F4">
        <w:rPr>
          <w:rFonts w:ascii="Times New Roman" w:hAnsi="Times New Roman" w:cs="Simplified Arabic" w:hint="cs"/>
          <w:rtl/>
          <w:lang w:bidi="ar-MA"/>
        </w:rPr>
        <w:t xml:space="preserve">نقطة </w:t>
      </w:r>
      <w:r w:rsidR="005C100E" w:rsidRPr="005C100E">
        <w:rPr>
          <w:rFonts w:ascii="Times New Roman" w:hAnsi="Times New Roman" w:cs="Simplified Arabic"/>
          <w:rtl/>
          <w:lang w:bidi="ar-MA"/>
        </w:rPr>
        <w:t>خلال</w:t>
      </w:r>
      <w:r w:rsidR="00362483">
        <w:rPr>
          <w:rFonts w:ascii="Times New Roman" w:hAnsi="Times New Roman" w:cs="Simplified Arabic" w:hint="cs"/>
          <w:rtl/>
          <w:lang w:bidi="ar-MA"/>
        </w:rPr>
        <w:t xml:space="preserve"> </w:t>
      </w:r>
      <w:r w:rsidR="005C100E" w:rsidRPr="005C100E">
        <w:rPr>
          <w:rFonts w:ascii="Times New Roman" w:hAnsi="Times New Roman" w:cs="Simplified Arabic"/>
          <w:rtl/>
          <w:lang w:bidi="ar-MA"/>
        </w:rPr>
        <w:t>نفس الفصل من السنة الماضية</w:t>
      </w:r>
      <w:r w:rsidRPr="00E335F4">
        <w:rPr>
          <w:rFonts w:ascii="Times New Roman" w:hAnsi="Times New Roman" w:cs="Simplified Arabic" w:hint="cs"/>
          <w:rtl/>
          <w:lang w:bidi="ar-MA"/>
        </w:rPr>
        <w:t>.</w:t>
      </w:r>
    </w:p>
    <w:p w:rsidR="0047396E" w:rsidRPr="00E335F4" w:rsidRDefault="0047396E" w:rsidP="00A84E54">
      <w:pPr>
        <w:bidi/>
        <w:spacing w:before="240"/>
        <w:jc w:val="both"/>
        <w:rPr>
          <w:rFonts w:ascii="Times New Roman" w:hAnsi="Times New Roman" w:cs="Simplified Arabic"/>
          <w:rtl/>
          <w:lang w:bidi="ar-MA"/>
        </w:rPr>
      </w:pPr>
      <w:r w:rsidRPr="00E335F4">
        <w:rPr>
          <w:rFonts w:ascii="Times New Roman" w:hAnsi="Times New Roman" w:cs="Simplified Arabic" w:hint="cs"/>
          <w:rtl/>
          <w:lang w:bidi="ar-MA"/>
        </w:rPr>
        <w:t xml:space="preserve">أما بخصوص تصور الأسر لتطور وضعيتها المالية خلال 12 شهرا المقبلة، فتتوقع </w:t>
      </w:r>
      <w:r w:rsidR="00E57524" w:rsidRPr="00E57524">
        <w:rPr>
          <w:rFonts w:ascii="Times New Roman" w:hAnsi="Times New Roman" w:cs="Simplified Arabic"/>
          <w:rtl/>
          <w:lang w:bidi="ar-MA"/>
        </w:rPr>
        <w:t>24,9</w:t>
      </w:r>
      <w:r w:rsidRPr="00E335F4">
        <w:rPr>
          <w:rFonts w:ascii="Times New Roman" w:hAnsi="Times New Roman" w:cs="Simplified Arabic"/>
          <w:lang w:bidi="ar-MA"/>
        </w:rPr>
        <w:t>%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 منها تحسنها مقابل </w:t>
      </w:r>
      <w:r w:rsidR="00E57524" w:rsidRPr="00E57524">
        <w:rPr>
          <w:rFonts w:ascii="Times New Roman" w:hAnsi="Times New Roman" w:cs="Simplified Arabic"/>
          <w:rtl/>
          <w:lang w:bidi="ar-MA"/>
        </w:rPr>
        <w:t>16,3</w:t>
      </w:r>
      <w:r w:rsidRPr="00E335F4">
        <w:rPr>
          <w:rFonts w:ascii="Times New Roman" w:hAnsi="Times New Roman" w:cs="Simplified Arabic"/>
          <w:lang w:bidi="ar-MA"/>
        </w:rPr>
        <w:t>%</w:t>
      </w:r>
      <w:r w:rsidR="00362483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التي تنتظر تدهورها. </w:t>
      </w:r>
      <w:r w:rsidR="00A84E54" w:rsidRPr="00E335F4">
        <w:rPr>
          <w:rFonts w:ascii="Times New Roman" w:hAnsi="Times New Roman" w:cs="Simplified Arabic" w:hint="cs"/>
          <w:rtl/>
          <w:lang w:bidi="ar-MA"/>
        </w:rPr>
        <w:t xml:space="preserve">وهكذا، سجل رصيد هذا المؤشر </w:t>
      </w:r>
      <w:r w:rsidR="00A84E54">
        <w:rPr>
          <w:rFonts w:ascii="Times New Roman" w:hAnsi="Times New Roman" w:cs="Simplified Arabic" w:hint="cs"/>
          <w:rtl/>
          <w:lang w:bidi="ar-MA"/>
        </w:rPr>
        <w:t xml:space="preserve">أدنى مستوى له مند الفصل الأول من سنة 2017 مستقرا 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في </w:t>
      </w:r>
      <w:r w:rsidR="00F45366" w:rsidRPr="00F45366">
        <w:rPr>
          <w:rFonts w:ascii="Times New Roman" w:hAnsi="Times New Roman" w:cs="Simplified Arabic"/>
          <w:lang w:bidi="ar-MA"/>
        </w:rPr>
        <w:t>8,5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 نقطة مقابل </w:t>
      </w:r>
      <w:r w:rsidR="00634D0A" w:rsidRPr="00634D0A">
        <w:rPr>
          <w:rFonts w:ascii="Times New Roman" w:hAnsi="Times New Roman" w:cs="Simplified Arabic"/>
          <w:lang w:bidi="ar-MA"/>
        </w:rPr>
        <w:t>15,9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 نقطة خلال الفصل السابق و</w:t>
      </w:r>
      <w:r w:rsidR="001F1B17" w:rsidRPr="001F1B17">
        <w:rPr>
          <w:rFonts w:ascii="Times New Roman" w:hAnsi="Times New Roman" w:cs="Simplified Arabic"/>
          <w:lang w:bidi="ar-MA"/>
        </w:rPr>
        <w:t>20,7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 نقطة خلال نفس الفصل من السنة الماضية. </w:t>
      </w:r>
    </w:p>
    <w:p w:rsidR="0047396E" w:rsidRPr="000F62DE" w:rsidRDefault="006D45F0" w:rsidP="00795089">
      <w:pPr>
        <w:bidi/>
        <w:spacing w:before="240" w:line="360" w:lineRule="auto"/>
        <w:ind w:left="-1"/>
        <w:jc w:val="center"/>
        <w:rPr>
          <w:rFonts w:ascii="Times New Roman" w:hAnsi="Times New Roman" w:cs="Simplified Arabic"/>
          <w:lang w:bidi="ar-MA"/>
        </w:rPr>
      </w:pPr>
      <w:r>
        <w:rPr>
          <w:noProof/>
        </w:rPr>
        <w:drawing>
          <wp:inline distT="0" distB="0" distL="0" distR="0">
            <wp:extent cx="5938740" cy="3721211"/>
            <wp:effectExtent l="19050" t="0" r="2391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C28E2" w:rsidRPr="000F62DE" w:rsidRDefault="00BC28E2" w:rsidP="00BC28E2">
      <w:pPr>
        <w:bidi/>
        <w:spacing w:before="240" w:line="360" w:lineRule="auto"/>
        <w:ind w:left="-1"/>
        <w:jc w:val="both"/>
        <w:rPr>
          <w:rFonts w:ascii="Times New Roman" w:hAnsi="Times New Roman" w:cs="Simplified Arabic"/>
          <w:rtl/>
          <w:lang w:bidi="ar-MA"/>
        </w:rPr>
      </w:pPr>
    </w:p>
    <w:p w:rsidR="0047396E" w:rsidRPr="00D22424" w:rsidRDefault="0047396E" w:rsidP="00D22424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spacing w:line="360" w:lineRule="auto"/>
        <w:jc w:val="both"/>
        <w:rPr>
          <w:rFonts w:ascii="Times New Roman" w:hAnsi="Times New Roman" w:cs="Simplified Arabic"/>
          <w:b/>
          <w:bCs/>
          <w:sz w:val="30"/>
          <w:szCs w:val="30"/>
          <w:rtl/>
          <w:lang w:bidi="ar-MA"/>
        </w:rPr>
      </w:pPr>
      <w:r w:rsidRPr="00D22424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تطور مؤشرات فصلية أخرى لآراء الأسر حول الظرفية</w:t>
      </w:r>
    </w:p>
    <w:p w:rsidR="0047396E" w:rsidRPr="00E335F4" w:rsidRDefault="0047396E" w:rsidP="00E335F4">
      <w:pPr>
        <w:widowControl/>
        <w:autoSpaceDE/>
        <w:autoSpaceDN/>
        <w:bidi/>
        <w:adjustRightInd/>
        <w:spacing w:after="200"/>
        <w:ind w:left="142"/>
        <w:jc w:val="both"/>
        <w:rPr>
          <w:rFonts w:ascii="Times New Roman" w:hAnsi="Times New Roman" w:cs="Simplified Arabic"/>
          <w:rtl/>
          <w:lang w:bidi="ar-MA"/>
        </w:rPr>
      </w:pPr>
      <w:r w:rsidRPr="00E335F4">
        <w:rPr>
          <w:rFonts w:ascii="Times New Roman" w:hAnsi="Times New Roman" w:cs="Simplified Arabic" w:hint="cs"/>
          <w:rtl/>
          <w:lang w:bidi="ar-MA"/>
        </w:rPr>
        <w:t>إضافة إلى المؤشرات السابقة، يوفر هذا البحث معطيات فصلية عن تصورات الأسر بخصوص جوانب أخرى لظروف معيشتها، منها القدرة على الإدخار و تطور أثمنة المواد الغذائية.</w:t>
      </w:r>
    </w:p>
    <w:p w:rsidR="0047396E" w:rsidRPr="00D22424" w:rsidRDefault="0047396E" w:rsidP="00DA6011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 w:line="360" w:lineRule="auto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D22424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توقعات </w:t>
      </w:r>
      <w:r w:rsidR="0036248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أكثر </w:t>
      </w:r>
      <w:r w:rsidR="00DA6011" w:rsidRPr="00BC28E2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تشاؤم</w:t>
      </w:r>
      <w:r w:rsidR="00DA6011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</w:t>
      </w:r>
      <w:r w:rsidR="00BC28E2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Pr="00D22424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بخصوص قدرة الأسر على الادخار </w:t>
      </w:r>
    </w:p>
    <w:p w:rsidR="001C3663" w:rsidRDefault="00A11C67" w:rsidP="000B04E0">
      <w:pPr>
        <w:pStyle w:val="Paragraphedeliste"/>
        <w:widowControl/>
        <w:autoSpaceDE/>
        <w:autoSpaceDN/>
        <w:bidi/>
        <w:adjustRightInd/>
        <w:spacing w:after="200"/>
        <w:ind w:left="502"/>
        <w:jc w:val="both"/>
        <w:rPr>
          <w:rFonts w:ascii="Times New Roman" w:hAnsi="Times New Roman" w:cs="Simplified Arabic"/>
          <w:rtl/>
          <w:lang w:bidi="ar-MA"/>
        </w:rPr>
      </w:pPr>
      <w:r w:rsidRPr="00A11C67">
        <w:rPr>
          <w:rFonts w:ascii="Times New Roman" w:hAnsi="Times New Roman" w:cs="Simplified Arabic" w:hint="cs"/>
          <w:rtl/>
          <w:lang w:bidi="ar-MA"/>
        </w:rPr>
        <w:t>خلال الفصل الأول من سنة 2020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 xml:space="preserve">، صرحت </w:t>
      </w:r>
      <w:r w:rsidRPr="00A11C67">
        <w:rPr>
          <w:rFonts w:ascii="Times New Roman" w:hAnsi="Times New Roman" w:cs="Simplified Arabic"/>
          <w:rtl/>
          <w:lang w:bidi="ar-MA"/>
        </w:rPr>
        <w:t>17,1</w:t>
      </w:r>
      <w:r w:rsidR="0047396E" w:rsidRPr="00E335F4">
        <w:rPr>
          <w:rFonts w:ascii="Times New Roman" w:hAnsi="Times New Roman" w:cs="Simplified Arabic"/>
          <w:lang w:bidi="ar-MA"/>
        </w:rPr>
        <w:t xml:space="preserve">% 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 xml:space="preserve"> مقابل </w:t>
      </w:r>
      <w:r w:rsidRPr="00A11C67">
        <w:rPr>
          <w:rFonts w:ascii="Times New Roman" w:hAnsi="Times New Roman" w:cs="Simplified Arabic"/>
          <w:rtl/>
          <w:lang w:bidi="ar-MA"/>
        </w:rPr>
        <w:t>82,9</w:t>
      </w:r>
      <w:r w:rsidR="0047396E" w:rsidRPr="00E335F4">
        <w:rPr>
          <w:rFonts w:ascii="Times New Roman" w:hAnsi="Times New Roman" w:cs="Simplified Arabic"/>
          <w:lang w:bidi="ar-MA"/>
        </w:rPr>
        <w:t xml:space="preserve">% 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 xml:space="preserve"> من الأسر بقدرتها على </w:t>
      </w:r>
      <w:r w:rsidR="004C7F37" w:rsidRPr="00E335F4">
        <w:rPr>
          <w:rFonts w:ascii="Times New Roman" w:hAnsi="Times New Roman" w:cs="Simplified Arabic" w:hint="cs"/>
          <w:rtl/>
          <w:lang w:bidi="ar-MA"/>
        </w:rPr>
        <w:t>الادخار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 xml:space="preserve"> خلال 12 شهرا المقبلة، </w:t>
      </w:r>
      <w:r w:rsidR="00611F15" w:rsidRPr="00611F15">
        <w:rPr>
          <w:rFonts w:ascii="Times New Roman" w:hAnsi="Times New Roman" w:cs="Simplified Arabic" w:hint="cs"/>
          <w:rtl/>
          <w:lang w:bidi="ar-MA"/>
        </w:rPr>
        <w:t xml:space="preserve">وهكذا استقر رصيد هذا المؤشر في مستواه السلبي مسجلا ناقص </w:t>
      </w:r>
      <w:r w:rsidR="004C7F37" w:rsidRPr="004C7F37">
        <w:rPr>
          <w:rFonts w:ascii="Times New Roman" w:hAnsi="Times New Roman" w:cs="Simplified Arabic"/>
          <w:lang w:bidi="ar-MA"/>
        </w:rPr>
        <w:t>65,8</w:t>
      </w:r>
      <w:r w:rsidR="00611F15" w:rsidRPr="00611F15">
        <w:rPr>
          <w:rFonts w:ascii="Times New Roman" w:hAnsi="Times New Roman" w:cs="Simplified Arabic" w:hint="cs"/>
          <w:rtl/>
          <w:lang w:bidi="ar-MA"/>
        </w:rPr>
        <w:t xml:space="preserve"> نقطة مقابل ناقص </w:t>
      </w:r>
      <w:r w:rsidR="004C7F37" w:rsidRPr="004C7F37">
        <w:rPr>
          <w:rFonts w:ascii="Times New Roman" w:hAnsi="Times New Roman" w:cs="Simplified Arabic"/>
          <w:rtl/>
          <w:lang w:bidi="ar-MA"/>
        </w:rPr>
        <w:t>64,</w:t>
      </w:r>
      <w:r w:rsidR="000B04E0">
        <w:rPr>
          <w:rFonts w:ascii="Times New Roman" w:hAnsi="Times New Roman" w:cs="Simplified Arabic" w:hint="cs"/>
          <w:rtl/>
          <w:lang w:bidi="ar-MA"/>
        </w:rPr>
        <w:t>6</w:t>
      </w:r>
      <w:r w:rsidR="00362483">
        <w:rPr>
          <w:rFonts w:ascii="Times New Roman" w:hAnsi="Times New Roman" w:cs="Simplified Arabic" w:hint="cs"/>
          <w:rtl/>
          <w:lang w:bidi="ar-MA"/>
        </w:rPr>
        <w:t xml:space="preserve"> </w:t>
      </w:r>
      <w:r w:rsidR="00611F15" w:rsidRPr="00611F15">
        <w:rPr>
          <w:rFonts w:ascii="Times New Roman" w:hAnsi="Times New Roman" w:cs="Simplified Arabic" w:hint="cs"/>
          <w:rtl/>
          <w:lang w:bidi="ar-MA"/>
        </w:rPr>
        <w:t xml:space="preserve">نقطة خلال الفصل السابق وناقص </w:t>
      </w:r>
      <w:r w:rsidR="00F45F1F" w:rsidRPr="00F45F1F">
        <w:rPr>
          <w:rFonts w:ascii="Times New Roman" w:hAnsi="Times New Roman" w:cs="Simplified Arabic"/>
          <w:lang w:bidi="ar-MA"/>
        </w:rPr>
        <w:t>63,</w:t>
      </w:r>
      <w:r w:rsidR="000B04E0">
        <w:rPr>
          <w:rFonts w:ascii="Times New Roman" w:hAnsi="Times New Roman" w:cs="Simplified Arabic"/>
          <w:lang w:bidi="ar-MA"/>
        </w:rPr>
        <w:t>0</w:t>
      </w:r>
      <w:r w:rsidR="00611F15" w:rsidRPr="00611F15">
        <w:rPr>
          <w:rFonts w:ascii="Times New Roman" w:hAnsi="Times New Roman" w:cs="Simplified Arabic" w:hint="cs"/>
          <w:rtl/>
          <w:lang w:bidi="ar-MA"/>
        </w:rPr>
        <w:t xml:space="preserve">  نقطة خلال  الفصل </w:t>
      </w:r>
      <w:r w:rsidR="00F45F1F" w:rsidRPr="00F45F1F">
        <w:rPr>
          <w:rFonts w:ascii="Times New Roman" w:hAnsi="Times New Roman" w:cs="Simplified Arabic" w:hint="cs"/>
          <w:rtl/>
          <w:lang w:bidi="ar-MA"/>
        </w:rPr>
        <w:t>الأول</w:t>
      </w:r>
      <w:r w:rsidR="00611F15" w:rsidRPr="00611F15">
        <w:rPr>
          <w:rFonts w:ascii="Times New Roman" w:hAnsi="Times New Roman" w:cs="Simplified Arabic" w:hint="cs"/>
          <w:rtl/>
          <w:lang w:bidi="ar-MA"/>
        </w:rPr>
        <w:t xml:space="preserve"> من</w:t>
      </w:r>
      <w:r w:rsidR="00362483">
        <w:rPr>
          <w:rFonts w:ascii="Times New Roman" w:hAnsi="Times New Roman" w:cs="Simplified Arabic" w:hint="cs"/>
          <w:rtl/>
          <w:lang w:bidi="ar-MA"/>
        </w:rPr>
        <w:t xml:space="preserve"> سنة</w:t>
      </w:r>
      <w:r w:rsidR="00611F15" w:rsidRPr="00611F15">
        <w:rPr>
          <w:rFonts w:ascii="Times New Roman" w:hAnsi="Times New Roman" w:cs="Simplified Arabic" w:hint="cs"/>
          <w:rtl/>
          <w:lang w:bidi="ar-MA"/>
        </w:rPr>
        <w:t xml:space="preserve"> 201</w:t>
      </w:r>
      <w:r w:rsidR="00611F15">
        <w:rPr>
          <w:rFonts w:ascii="Times New Roman" w:hAnsi="Times New Roman" w:cs="Simplified Arabic" w:hint="cs"/>
          <w:rtl/>
          <w:lang w:bidi="ar-MA"/>
        </w:rPr>
        <w:t>9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>.</w:t>
      </w:r>
    </w:p>
    <w:p w:rsidR="000B04E0" w:rsidRDefault="000B04E0" w:rsidP="000B04E0">
      <w:pPr>
        <w:pStyle w:val="Paragraphedeliste"/>
        <w:widowControl/>
        <w:autoSpaceDE/>
        <w:autoSpaceDN/>
        <w:bidi/>
        <w:adjustRightInd/>
        <w:spacing w:after="200"/>
        <w:ind w:left="502"/>
        <w:jc w:val="both"/>
        <w:rPr>
          <w:rFonts w:ascii="Times New Roman" w:hAnsi="Times New Roman" w:cs="Simplified Arabic"/>
          <w:rtl/>
          <w:lang w:bidi="ar-MA"/>
        </w:rPr>
      </w:pPr>
    </w:p>
    <w:p w:rsidR="000B04E0" w:rsidRPr="00E57838" w:rsidRDefault="000B04E0" w:rsidP="000B04E0">
      <w:pPr>
        <w:pStyle w:val="Paragraphedeliste"/>
        <w:widowControl/>
        <w:autoSpaceDE/>
        <w:autoSpaceDN/>
        <w:bidi/>
        <w:adjustRightInd/>
        <w:spacing w:after="200"/>
        <w:ind w:left="502"/>
        <w:jc w:val="both"/>
        <w:rPr>
          <w:rFonts w:ascii="Times New Roman" w:hAnsi="Times New Roman" w:cs="Simplified Arabic"/>
          <w:rtl/>
          <w:lang w:bidi="ar-MA"/>
        </w:rPr>
      </w:pPr>
    </w:p>
    <w:p w:rsidR="0047396E" w:rsidRPr="00D22424" w:rsidRDefault="0047396E" w:rsidP="00D22424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 w:line="360" w:lineRule="auto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D22424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lastRenderedPageBreak/>
        <w:t xml:space="preserve">توقع الأسر </w:t>
      </w:r>
      <w:r w:rsidR="00FB0E1E" w:rsidRPr="00D22424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با</w:t>
      </w:r>
      <w:r w:rsidRPr="00D22424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رتفاع أثمنة المواد الغذائية</w:t>
      </w:r>
    </w:p>
    <w:p w:rsidR="0047396E" w:rsidRPr="00E335F4" w:rsidRDefault="00BE0366" w:rsidP="00362483">
      <w:pPr>
        <w:pStyle w:val="Paragraphedeliste"/>
        <w:widowControl/>
        <w:autoSpaceDE/>
        <w:autoSpaceDN/>
        <w:bidi/>
        <w:adjustRightInd/>
        <w:spacing w:after="200"/>
        <w:ind w:left="502"/>
        <w:jc w:val="both"/>
        <w:rPr>
          <w:rFonts w:ascii="Times New Roman" w:hAnsi="Times New Roman" w:cs="Simplified Arabic"/>
          <w:rtl/>
          <w:lang w:bidi="ar-MA"/>
        </w:rPr>
      </w:pPr>
      <w:r w:rsidRPr="00BE0366">
        <w:rPr>
          <w:rFonts w:ascii="Times New Roman" w:hAnsi="Times New Roman" w:cs="Simplified Arabic" w:hint="cs"/>
          <w:rtl/>
          <w:lang w:bidi="ar-MA"/>
        </w:rPr>
        <w:t>خلال الفصل الأول من سنة 2020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 xml:space="preserve">، صرحت </w:t>
      </w:r>
      <w:r w:rsidR="00362483" w:rsidRPr="00E335F4">
        <w:rPr>
          <w:rFonts w:ascii="Times New Roman" w:hAnsi="Times New Roman" w:cs="Simplified Arabic"/>
          <w:lang w:bidi="ar-MA"/>
        </w:rPr>
        <w:t>%</w:t>
      </w:r>
      <w:r w:rsidRPr="00BE0366">
        <w:rPr>
          <w:rFonts w:ascii="Times New Roman" w:hAnsi="Times New Roman" w:cs="Simplified Arabic"/>
          <w:lang w:bidi="ar-MA"/>
        </w:rPr>
        <w:t>82,9</w:t>
      </w:r>
      <w:r w:rsidR="0047396E" w:rsidRPr="00E335F4">
        <w:rPr>
          <w:rFonts w:ascii="Times New Roman" w:hAnsi="Times New Roman" w:cs="Simplified Arabic"/>
          <w:lang w:bidi="ar-MA"/>
        </w:rPr>
        <w:t xml:space="preserve"> 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 xml:space="preserve"> من الأسر</w:t>
      </w:r>
      <w:r w:rsidR="00E02045">
        <w:rPr>
          <w:rFonts w:ascii="Times New Roman" w:hAnsi="Times New Roman" w:cs="Simplified Arabic" w:hint="cs"/>
          <w:rtl/>
          <w:lang w:bidi="ar-MA"/>
        </w:rPr>
        <w:t xml:space="preserve"> 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 xml:space="preserve">بأن أسعار المواد الغذائية قد عرفت ارتفاعا خلال 12 شهرا الأخيرة، في حين رأت 0,1 </w:t>
      </w:r>
      <w:r w:rsidR="0047396E" w:rsidRPr="00E335F4">
        <w:rPr>
          <w:rFonts w:ascii="Times New Roman" w:hAnsi="Times New Roman" w:cs="Simplified Arabic"/>
          <w:lang w:bidi="ar-MA"/>
        </w:rPr>
        <w:t>%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 xml:space="preserve"> فقط عكس ذلك. وهكذا استقر رصيد هذا المؤشر في مستوى سلبي بلغ ناقص</w:t>
      </w:r>
      <w:r w:rsidRPr="00BE0366">
        <w:rPr>
          <w:rFonts w:ascii="Times New Roman" w:hAnsi="Times New Roman" w:cs="Simplified Arabic"/>
          <w:lang w:bidi="ar-MA"/>
        </w:rPr>
        <w:t xml:space="preserve">82,8 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 xml:space="preserve"> نقطة عوض ناقص 8</w:t>
      </w:r>
      <w:r w:rsidR="000B04E0">
        <w:rPr>
          <w:rFonts w:ascii="Times New Roman" w:hAnsi="Times New Roman" w:cs="Simplified Arabic" w:hint="cs"/>
          <w:rtl/>
          <w:lang w:bidi="ar-MA"/>
        </w:rPr>
        <w:t>5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>,</w:t>
      </w:r>
      <w:r w:rsidR="004B5F68">
        <w:rPr>
          <w:rFonts w:ascii="Times New Roman" w:hAnsi="Times New Roman" w:cs="Simplified Arabic" w:hint="cs"/>
          <w:rtl/>
          <w:lang w:bidi="ar-MA"/>
        </w:rPr>
        <w:t>1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 xml:space="preserve">  نقطة خلال الفصل السابق وناقص </w:t>
      </w:r>
      <w:r w:rsidR="004B5F68" w:rsidRPr="004B5F68">
        <w:rPr>
          <w:rFonts w:ascii="Times New Roman" w:hAnsi="Times New Roman" w:cs="Simplified Arabic"/>
          <w:lang w:bidi="ar-MA"/>
        </w:rPr>
        <w:t>88,1</w:t>
      </w:r>
      <w:r w:rsidR="0047396E" w:rsidRPr="00E335F4">
        <w:rPr>
          <w:rFonts w:ascii="Times New Roman" w:hAnsi="Times New Roman" w:cs="Simplified Arabic" w:hint="cs"/>
          <w:rtl/>
          <w:lang w:bidi="ar-MA"/>
        </w:rPr>
        <w:t xml:space="preserve"> نقطة خلال نفس الفترة من السنة الماضية. </w:t>
      </w:r>
    </w:p>
    <w:p w:rsidR="003C1FDE" w:rsidRPr="00E335F4" w:rsidRDefault="003C1FDE" w:rsidP="003C1FDE">
      <w:pPr>
        <w:pStyle w:val="Paragraphedeliste"/>
        <w:widowControl/>
        <w:autoSpaceDE/>
        <w:autoSpaceDN/>
        <w:bidi/>
        <w:adjustRightInd/>
        <w:spacing w:after="200" w:line="360" w:lineRule="auto"/>
        <w:ind w:left="502"/>
        <w:jc w:val="both"/>
        <w:rPr>
          <w:rFonts w:ascii="Times New Roman" w:hAnsi="Times New Roman" w:cs="Simplified Arabic"/>
          <w:lang w:bidi="ar-MA"/>
        </w:rPr>
      </w:pPr>
    </w:p>
    <w:p w:rsidR="003C1FDE" w:rsidRDefault="0047396E" w:rsidP="00E02045">
      <w:pPr>
        <w:pStyle w:val="Paragraphedeliste"/>
        <w:widowControl/>
        <w:autoSpaceDE/>
        <w:autoSpaceDN/>
        <w:bidi/>
        <w:adjustRightInd/>
        <w:spacing w:after="200"/>
        <w:ind w:left="502"/>
        <w:jc w:val="both"/>
        <w:rPr>
          <w:rFonts w:ascii="Times New Roman" w:hAnsi="Times New Roman" w:cs="Simplified Arabic"/>
          <w:rtl/>
          <w:lang w:bidi="ar-MA"/>
        </w:rPr>
      </w:pPr>
      <w:r w:rsidRPr="00E335F4">
        <w:rPr>
          <w:rFonts w:ascii="Times New Roman" w:hAnsi="Times New Roman" w:cs="Simplified Arabic" w:hint="cs"/>
          <w:rtl/>
          <w:lang w:bidi="ar-MA"/>
        </w:rPr>
        <w:t xml:space="preserve">أما بخصوص تطور أسعار المواد الغذائية خلال 12 شهرا المقبلة، فتتوقع </w:t>
      </w:r>
      <w:r w:rsidR="00E02045" w:rsidRPr="00E335F4">
        <w:rPr>
          <w:rFonts w:ascii="Times New Roman" w:hAnsi="Times New Roman" w:cs="Simplified Arabic"/>
          <w:lang w:bidi="ar-MA"/>
        </w:rPr>
        <w:t>%</w:t>
      </w:r>
      <w:r w:rsidR="00E57838" w:rsidRPr="00E57838">
        <w:rPr>
          <w:rFonts w:ascii="Times New Roman" w:hAnsi="Times New Roman" w:cs="Simplified Arabic"/>
          <w:lang w:bidi="ar-MA"/>
        </w:rPr>
        <w:t>82,8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 من الأسر استمرارها في الارتفاع في حين لا يتجاوز معدل الأسر التي تنتظر انخفاضها </w:t>
      </w:r>
      <w:r w:rsidR="00E57838" w:rsidRPr="00E57838">
        <w:rPr>
          <w:rFonts w:ascii="Times New Roman" w:hAnsi="Times New Roman" w:cs="Simplified Arabic"/>
          <w:lang w:bidi="ar-MA"/>
        </w:rPr>
        <w:t>0,2</w:t>
      </w:r>
      <w:r w:rsidRPr="00E335F4">
        <w:rPr>
          <w:rFonts w:ascii="Times New Roman" w:hAnsi="Times New Roman" w:cs="Simplified Arabic"/>
          <w:lang w:bidi="ar-MA"/>
        </w:rPr>
        <w:t>%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. وهكذا استقر رصيد هذه الآراء في مستوى سلبي بلغ ناقص </w:t>
      </w:r>
      <w:r w:rsidR="00E57838" w:rsidRPr="00E57838">
        <w:rPr>
          <w:rFonts w:ascii="Times New Roman" w:hAnsi="Times New Roman" w:cs="Simplified Arabic"/>
          <w:lang w:bidi="ar-MA"/>
        </w:rPr>
        <w:t>82,6</w:t>
      </w:r>
      <w:r w:rsidR="00E02045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E335F4">
        <w:rPr>
          <w:rFonts w:ascii="Times New Roman" w:hAnsi="Times New Roman" w:cs="Simplified Arabic"/>
          <w:rtl/>
          <w:lang w:bidi="ar-MA"/>
        </w:rPr>
        <w:t>نقطة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، عوض ناقص </w:t>
      </w:r>
      <w:r w:rsidR="00E57838" w:rsidRPr="00E57838">
        <w:rPr>
          <w:rFonts w:ascii="Times New Roman" w:hAnsi="Times New Roman" w:cs="Simplified Arabic"/>
          <w:rtl/>
          <w:lang w:bidi="ar-MA"/>
        </w:rPr>
        <w:t>82,2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 نقطة المسجلة خلال</w:t>
      </w:r>
      <w:r w:rsidR="00E02045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الفصل السابق و ناقص </w:t>
      </w:r>
      <w:r w:rsidR="00E57838" w:rsidRPr="00E57838">
        <w:rPr>
          <w:rFonts w:ascii="Times New Roman" w:hAnsi="Times New Roman" w:cs="Simplified Arabic"/>
          <w:lang w:bidi="ar-MA"/>
        </w:rPr>
        <w:t>87,5</w:t>
      </w:r>
      <w:r w:rsidRPr="00E335F4">
        <w:rPr>
          <w:rFonts w:ascii="Times New Roman" w:hAnsi="Times New Roman" w:cs="Simplified Arabic" w:hint="cs"/>
          <w:rtl/>
          <w:lang w:bidi="ar-MA"/>
        </w:rPr>
        <w:t xml:space="preserve"> نقطة </w:t>
      </w:r>
      <w:r w:rsidRPr="00E335F4">
        <w:rPr>
          <w:rFonts w:ascii="Times New Roman" w:hAnsi="Times New Roman" w:cs="Simplified Arabic"/>
          <w:rtl/>
          <w:lang w:bidi="ar-MA"/>
        </w:rPr>
        <w:t>المسجل</w:t>
      </w:r>
      <w:r w:rsidRPr="00E335F4">
        <w:rPr>
          <w:rFonts w:ascii="Times New Roman" w:hAnsi="Times New Roman" w:cs="Simplified Arabic" w:hint="cs"/>
          <w:rtl/>
          <w:lang w:bidi="ar-MA"/>
        </w:rPr>
        <w:t>ة خلال نفس الفصل من السنة الماضية.</w:t>
      </w:r>
    </w:p>
    <w:p w:rsidR="00E57838" w:rsidRPr="00E335F4" w:rsidRDefault="00E57838" w:rsidP="00E57838">
      <w:pPr>
        <w:pStyle w:val="Paragraphedeliste"/>
        <w:widowControl/>
        <w:autoSpaceDE/>
        <w:autoSpaceDN/>
        <w:bidi/>
        <w:adjustRightInd/>
        <w:spacing w:after="200"/>
        <w:ind w:left="502"/>
        <w:jc w:val="both"/>
        <w:rPr>
          <w:rFonts w:ascii="Times New Roman" w:hAnsi="Times New Roman" w:cs="Simplified Arabic"/>
          <w:rtl/>
          <w:lang w:bidi="ar-MA"/>
        </w:rPr>
      </w:pPr>
    </w:p>
    <w:p w:rsidR="0047396E" w:rsidRPr="000F62DE" w:rsidRDefault="006D45F0" w:rsidP="003C1FDE">
      <w:pPr>
        <w:pStyle w:val="Paragraphedeliste"/>
        <w:widowControl/>
        <w:autoSpaceDE/>
        <w:autoSpaceDN/>
        <w:bidi/>
        <w:adjustRightInd/>
        <w:spacing w:after="200" w:line="360" w:lineRule="auto"/>
        <w:ind w:left="502"/>
        <w:jc w:val="both"/>
        <w:rPr>
          <w:rFonts w:ascii="Times New Roman" w:hAnsi="Times New Roman" w:cs="Simplified Arabic"/>
          <w:rtl/>
          <w:lang w:bidi="ar-MA"/>
        </w:rPr>
      </w:pPr>
      <w:r>
        <w:rPr>
          <w:noProof/>
        </w:rPr>
        <w:drawing>
          <wp:inline distT="0" distB="0" distL="0" distR="0">
            <wp:extent cx="5941060" cy="3173095"/>
            <wp:effectExtent l="19050" t="0" r="21590" b="825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A6C74" w:rsidRDefault="00AA6C74" w:rsidP="00AA6C74">
      <w:pPr>
        <w:bidi/>
        <w:spacing w:line="360" w:lineRule="auto"/>
        <w:rPr>
          <w:rFonts w:ascii="Times New Roman" w:hAnsi="Times New Roman" w:cs="Simplified Arabic"/>
          <w:sz w:val="32"/>
          <w:szCs w:val="32"/>
          <w:rtl/>
          <w:lang w:bidi="ar-MA"/>
        </w:rPr>
      </w:pPr>
    </w:p>
    <w:p w:rsidR="00E02045" w:rsidRDefault="00E02045" w:rsidP="00E02045">
      <w:pPr>
        <w:bidi/>
        <w:spacing w:line="360" w:lineRule="auto"/>
        <w:rPr>
          <w:rFonts w:ascii="Times New Roman" w:hAnsi="Times New Roman" w:cs="Simplified Arabic"/>
          <w:sz w:val="32"/>
          <w:szCs w:val="32"/>
          <w:rtl/>
          <w:lang w:bidi="ar-MA"/>
        </w:rPr>
      </w:pPr>
    </w:p>
    <w:p w:rsidR="00E02045" w:rsidRDefault="00E02045" w:rsidP="00E02045">
      <w:pPr>
        <w:bidi/>
        <w:spacing w:line="360" w:lineRule="auto"/>
        <w:rPr>
          <w:rFonts w:ascii="Times New Roman" w:hAnsi="Times New Roman" w:cs="Simplified Arabic"/>
          <w:sz w:val="32"/>
          <w:szCs w:val="32"/>
          <w:rtl/>
          <w:lang w:bidi="ar-MA"/>
        </w:rPr>
      </w:pPr>
    </w:p>
    <w:p w:rsidR="00E02045" w:rsidRDefault="00E02045" w:rsidP="00E02045">
      <w:pPr>
        <w:bidi/>
        <w:spacing w:line="360" w:lineRule="auto"/>
        <w:rPr>
          <w:rFonts w:ascii="Times New Roman" w:hAnsi="Times New Roman" w:cs="Simplified Arabic"/>
          <w:sz w:val="32"/>
          <w:szCs w:val="32"/>
          <w:rtl/>
          <w:lang w:bidi="ar-MA"/>
        </w:rPr>
      </w:pPr>
    </w:p>
    <w:p w:rsidR="00E02045" w:rsidRPr="00C85C5D" w:rsidRDefault="00E02045" w:rsidP="00E02045">
      <w:pPr>
        <w:bidi/>
        <w:spacing w:line="360" w:lineRule="auto"/>
        <w:rPr>
          <w:rFonts w:ascii="Times New Roman" w:hAnsi="Times New Roman" w:cs="Simplified Arabic"/>
          <w:sz w:val="32"/>
          <w:szCs w:val="32"/>
          <w:rtl/>
          <w:lang w:bidi="ar-MA"/>
        </w:rPr>
      </w:pPr>
    </w:p>
    <w:p w:rsidR="0047396E" w:rsidRPr="00E335F4" w:rsidRDefault="0047396E" w:rsidP="00E335F4">
      <w:pPr>
        <w:bidi/>
        <w:spacing w:line="360" w:lineRule="auto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E335F4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lastRenderedPageBreak/>
        <w:t>فيما يلي تفصيل لنتائج مختلف المؤشرات و تذكير بأهم المفاهيم.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2"/>
      </w:tblGrid>
      <w:tr w:rsidR="0047396E" w:rsidRPr="00DC2D0E" w:rsidTr="00A1303D">
        <w:trPr>
          <w:trHeight w:val="6017"/>
          <w:jc w:val="center"/>
        </w:trPr>
        <w:tc>
          <w:tcPr>
            <w:tcW w:w="5000" w:type="pct"/>
          </w:tcPr>
          <w:p w:rsidR="0047396E" w:rsidRDefault="0047396E" w:rsidP="00795089">
            <w:pPr>
              <w:bidi/>
              <w:spacing w:line="360" w:lineRule="auto"/>
              <w:ind w:left="360"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</w:p>
          <w:p w:rsidR="0047396E" w:rsidRDefault="0047396E" w:rsidP="00E335F4">
            <w:pPr>
              <w:bidi/>
              <w:spacing w:line="360" w:lineRule="auto"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يتم التعبير في الرسوم البيانية عن </w:t>
            </w:r>
            <w:r w:rsidRPr="00872E0D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تطور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مكونات</w:t>
            </w:r>
            <w:r w:rsidR="00DA6011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مؤشر ثقة الأسر والمؤشرات الأخرى للبحث بأرصدة الآراء </w:t>
            </w:r>
          </w:p>
          <w:p w:rsidR="0047396E" w:rsidRPr="00E335F4" w:rsidRDefault="0047396E" w:rsidP="00795089">
            <w:pPr>
              <w:bidi/>
              <w:spacing w:line="360" w:lineRule="auto"/>
              <w:ind w:left="360"/>
              <w:jc w:val="both"/>
              <w:rPr>
                <w:rFonts w:ascii="Times New Roman" w:hAnsi="Times New Roman" w:cs="Simplified Arabic"/>
                <w:b/>
                <w:bCs/>
                <w:sz w:val="20"/>
                <w:szCs w:val="20"/>
                <w:rtl/>
                <w:lang w:bidi="ar-MA"/>
              </w:rPr>
            </w:pPr>
            <w:r w:rsidRPr="00E335F4">
              <w:rPr>
                <w:rFonts w:ascii="Times New Roman" w:hAnsi="Times New Roman" w:cs="Simplified Arabic" w:hint="cs"/>
                <w:b/>
                <w:bCs/>
                <w:sz w:val="20"/>
                <w:szCs w:val="20"/>
                <w:rtl/>
                <w:lang w:bidi="ar-MA"/>
              </w:rPr>
              <w:t>للتذكير فإن:</w:t>
            </w:r>
          </w:p>
          <w:p w:rsidR="0047396E" w:rsidRDefault="0047396E" w:rsidP="00795089">
            <w:pPr>
              <w:pStyle w:val="Paragraphedeliste"/>
              <w:numPr>
                <w:ilvl w:val="0"/>
                <w:numId w:val="4"/>
              </w:numPr>
              <w:bidi/>
              <w:spacing w:line="360" w:lineRule="auto"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الأسئلة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المطروحة تعتبر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كيفية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تتم الأجوبة عليها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بثلاث خيارات (تحسن، استقرار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أو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تدهور).تتعلق التغييرات بـ 12 شهرا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تقدم النتائج على شكل أرصدة (الفرق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بين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نسب 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تحسن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"تدهو</w:t>
            </w:r>
            <w:r w:rsidRPr="004B7848">
              <w:rPr>
                <w:rFonts w:ascii="Times New Roman" w:hAnsi="Times New Roman" w:cs="Simplified Arabic" w:hint="eastAsia"/>
                <w:sz w:val="20"/>
                <w:szCs w:val="20"/>
                <w:rtl/>
                <w:lang w:bidi="ar-MA"/>
              </w:rPr>
              <w:t>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لا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يحلل مستوى الأرصدة مباشرة بل أن تطورها هو المعتمد في التحليل.</w:t>
            </w:r>
          </w:p>
          <w:p w:rsidR="0047396E" w:rsidRPr="004B7848" w:rsidRDefault="0047396E" w:rsidP="00795089">
            <w:pPr>
              <w:pStyle w:val="Paragraphedeliste"/>
              <w:numPr>
                <w:ilvl w:val="0"/>
                <w:numId w:val="4"/>
              </w:numPr>
              <w:bidi/>
              <w:spacing w:line="360" w:lineRule="auto"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مؤشر ثقة الأسر على أساس 7 مؤشرات تتعلق أربعة منها بالوضعية العامة في حين تخص الباقية الوضعية الخاصة بالأسرة وهي كالتالي :</w:t>
            </w:r>
          </w:p>
          <w:p w:rsidR="0047396E" w:rsidRPr="004B7848" w:rsidRDefault="0047396E" w:rsidP="00795089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التطورات السابقة لمستوى المعيشة ؛</w:t>
            </w:r>
          </w:p>
          <w:p w:rsidR="0047396E" w:rsidRPr="004B7848" w:rsidRDefault="0047396E" w:rsidP="00795089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آفاق تطور مستوى المعيشة ؛</w:t>
            </w:r>
          </w:p>
          <w:p w:rsidR="0047396E" w:rsidRPr="004B7848" w:rsidRDefault="0047396E" w:rsidP="00795089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آفاق تطور أعداد العاطلين ؛</w:t>
            </w:r>
          </w:p>
          <w:p w:rsidR="0047396E" w:rsidRPr="004B7848" w:rsidRDefault="0047396E" w:rsidP="00795089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فرص اقتناء السلع المستديمة ؛</w:t>
            </w:r>
          </w:p>
          <w:p w:rsidR="0047396E" w:rsidRPr="004B7848" w:rsidRDefault="0047396E" w:rsidP="00795089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الوضعية المالية الراهنة للأسر ؛</w:t>
            </w:r>
          </w:p>
          <w:p w:rsidR="0047396E" w:rsidRPr="004B7848" w:rsidRDefault="0047396E" w:rsidP="00795089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spacing w:line="360" w:lineRule="auto"/>
              <w:ind w:left="1434" w:hanging="357"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السابق للوضعية المالية للأسر ؛</w:t>
            </w:r>
          </w:p>
          <w:p w:rsidR="0047396E" w:rsidRPr="004B7848" w:rsidRDefault="0047396E" w:rsidP="00795089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spacing w:line="360" w:lineRule="auto"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المستقبلي للوضعية المالية للأسر.</w:t>
            </w:r>
          </w:p>
          <w:p w:rsidR="0047396E" w:rsidRDefault="0047396E" w:rsidP="00795089">
            <w:pPr>
              <w:pStyle w:val="Paragraphedeliste"/>
              <w:numPr>
                <w:ilvl w:val="0"/>
                <w:numId w:val="6"/>
              </w:numPr>
              <w:bidi/>
              <w:spacing w:line="360" w:lineRule="auto"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هذا المؤشر التركيبي باعتماد المعدل الحسابي لأرصدة المؤشرات السبعة المكونة له مع إضافة 100 وبالتالي تتأرجح قيمته بين 0 و 200.</w:t>
            </w:r>
          </w:p>
          <w:p w:rsidR="0047396E" w:rsidRDefault="0047396E" w:rsidP="00795089">
            <w:pPr>
              <w:pStyle w:val="Paragraphedeliste"/>
              <w:numPr>
                <w:ilvl w:val="0"/>
                <w:numId w:val="6"/>
              </w:numPr>
              <w:bidi/>
              <w:spacing w:line="360" w:lineRule="auto"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لقد مكنت اختبارات إحصائية</w:t>
            </w:r>
            <w:r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(test de Fisher) 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على سلسلة مؤشر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ثقة الأسر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خلال الفترة الممتدة من 2008 إلى2018 من تأكيد غياب التغييرات الموسمية سواء الثابتة أو المتحركة.</w:t>
            </w:r>
          </w:p>
          <w:p w:rsidR="0047396E" w:rsidRPr="001F1EA8" w:rsidRDefault="0047396E" w:rsidP="00795089">
            <w:pPr>
              <w:bidi/>
              <w:spacing w:line="360" w:lineRule="auto"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</w:p>
          <w:p w:rsidR="0047396E" w:rsidRPr="004B7848" w:rsidRDefault="0047396E" w:rsidP="00795089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cs="Simplified Arabic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للمزيد من المعلومات حول الجوانب المنهجية لهذا البحث: زوروا الموقع الإلكتروني للمندوبية السامية للتخطيط   </w:t>
            </w:r>
            <w:hyperlink r:id="rId14" w:history="1">
              <w:r w:rsidRPr="004B7848">
                <w:rPr>
                  <w:rStyle w:val="Lienhypertexte"/>
                  <w:rFonts w:ascii="Times New Roman" w:hAnsi="Times New Roman" w:cs="Simplified Arabic"/>
                  <w:sz w:val="20"/>
                  <w:szCs w:val="20"/>
                  <w:lang w:bidi="ar-MA"/>
                </w:rPr>
                <w:t>www.hcp.ma</w:t>
              </w:r>
            </w:hyperlink>
          </w:p>
        </w:tc>
      </w:tr>
    </w:tbl>
    <w:p w:rsidR="0047396E" w:rsidRDefault="0047396E" w:rsidP="00795089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Simplified Arabic"/>
          <w:sz w:val="28"/>
          <w:szCs w:val="28"/>
          <w:lang w:bidi="ar-MA"/>
        </w:rPr>
        <w:sectPr w:rsidR="0047396E" w:rsidSect="0047396E">
          <w:footerReference w:type="default" r:id="rId15"/>
          <w:pgSz w:w="11906" w:h="16838"/>
          <w:pgMar w:top="1247" w:right="1274" w:bottom="1191" w:left="1276" w:header="567" w:footer="567" w:gutter="0"/>
          <w:cols w:space="708"/>
          <w:docGrid w:linePitch="360"/>
        </w:sectPr>
      </w:pPr>
    </w:p>
    <w:p w:rsidR="0047396E" w:rsidRDefault="0047396E" w:rsidP="00795089">
      <w:pPr>
        <w:widowControl/>
        <w:autoSpaceDE/>
        <w:autoSpaceDN/>
        <w:bidi/>
        <w:adjustRightInd/>
        <w:spacing w:after="200" w:line="360" w:lineRule="auto"/>
        <w:ind w:firstLine="360"/>
        <w:jc w:val="center"/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lastRenderedPageBreak/>
        <w:t>ت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 xml:space="preserve">طور مؤشر الثقة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لدى ا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>لأسر المغربية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ومكوناته</w:t>
      </w:r>
    </w:p>
    <w:tbl>
      <w:tblPr>
        <w:tblW w:w="16614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988"/>
        <w:gridCol w:w="988"/>
        <w:gridCol w:w="850"/>
        <w:gridCol w:w="615"/>
        <w:gridCol w:w="682"/>
        <w:gridCol w:w="638"/>
        <w:gridCol w:w="638"/>
        <w:gridCol w:w="639"/>
        <w:gridCol w:w="799"/>
        <w:gridCol w:w="797"/>
        <w:gridCol w:w="639"/>
        <w:gridCol w:w="639"/>
        <w:gridCol w:w="641"/>
        <w:gridCol w:w="639"/>
        <w:gridCol w:w="601"/>
        <w:gridCol w:w="675"/>
        <w:gridCol w:w="761"/>
        <w:gridCol w:w="639"/>
        <w:gridCol w:w="639"/>
        <w:gridCol w:w="639"/>
        <w:gridCol w:w="646"/>
        <w:gridCol w:w="1803"/>
        <w:gridCol w:w="19"/>
      </w:tblGrid>
      <w:tr w:rsidR="00885D76" w:rsidRPr="005407A5" w:rsidTr="00885D76">
        <w:trPr>
          <w:trHeight w:val="1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5D76" w:rsidRDefault="00885D76" w:rsidP="007950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2020</w:t>
            </w:r>
          </w:p>
          <w:p w:rsidR="00885D76" w:rsidRPr="005407A5" w:rsidRDefault="00885D76" w:rsidP="00885D7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5D76" w:rsidRPr="005407A5" w:rsidRDefault="00885D76" w:rsidP="007950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5D76" w:rsidRPr="005407A5" w:rsidRDefault="00885D76" w:rsidP="007950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5D76" w:rsidRPr="005407A5" w:rsidRDefault="00885D76" w:rsidP="007950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201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7</w:t>
            </w:r>
          </w:p>
        </w:tc>
        <w:tc>
          <w:tcPr>
            <w:tcW w:w="2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5D76" w:rsidRPr="005407A5" w:rsidRDefault="00885D76" w:rsidP="007950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5D76" w:rsidRPr="005407A5" w:rsidRDefault="00885D76" w:rsidP="007950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76" w:rsidRPr="00652E79" w:rsidRDefault="00885D76" w:rsidP="007950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  <w:p w:rsidR="00885D76" w:rsidRPr="00652E79" w:rsidRDefault="00885D76" w:rsidP="007950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المؤشر</w:t>
            </w:r>
            <w:r w:rsidRPr="00652E79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ات</w:t>
            </w:r>
          </w:p>
        </w:tc>
      </w:tr>
      <w:tr w:rsidR="00885D76" w:rsidRPr="005407A5" w:rsidTr="00885D76">
        <w:trPr>
          <w:trHeight w:val="34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652E79" w:rsidRDefault="00885D76" w:rsidP="007950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MA"/>
              </w:rPr>
            </w:pPr>
            <w:r w:rsidRPr="00652E79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ف 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7950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MA"/>
              </w:rPr>
            </w:pPr>
            <w:r w:rsidRPr="00652E79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  <w:lang w:bidi="ar-MA"/>
              </w:rPr>
              <w:t>ف4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7950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MA"/>
              </w:rPr>
            </w:pPr>
            <w:r w:rsidRPr="00652E79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  <w:lang w:bidi="ar-MA"/>
              </w:rPr>
              <w:t>ف 3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7950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rtl/>
                <w:lang w:bidi="ar-MA"/>
              </w:rPr>
            </w:pPr>
            <w:r w:rsidRPr="00652E79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  <w:lang w:bidi="ar-MA"/>
              </w:rPr>
              <w:t>ف</w:t>
            </w:r>
            <w:r w:rsidRPr="00652E7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  <w:t>2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7950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MA"/>
              </w:rPr>
            </w:pPr>
            <w:r w:rsidRPr="00652E79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  <w:lang w:bidi="ar-MA"/>
              </w:rPr>
              <w:t>ف1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7950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MA"/>
              </w:rPr>
            </w:pPr>
            <w:r w:rsidRPr="00652E79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  <w:lang w:bidi="ar-MA"/>
              </w:rPr>
              <w:t>ف4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7950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652E79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ف3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7950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652E79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ف 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7950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652E79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ف 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7950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652E79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ف 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7950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652E79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ف 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7950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652E79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ف 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7950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652E79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ف 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7950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652E79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ف 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7950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652E79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ف 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7950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652E7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ف 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7950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652E7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ف 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7950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652E7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 xml:space="preserve">ف </w:t>
            </w:r>
            <w:r w:rsidRPr="00652E7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76" w:rsidRPr="00652E79" w:rsidRDefault="00885D76" w:rsidP="007950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652E7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ف 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76" w:rsidRPr="00652E79" w:rsidRDefault="00885D76" w:rsidP="007950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652E7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ف 2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76" w:rsidRPr="00652E79" w:rsidRDefault="00885D76" w:rsidP="007950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652E7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ف 1</w:t>
            </w:r>
          </w:p>
        </w:tc>
        <w:tc>
          <w:tcPr>
            <w:tcW w:w="1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D76" w:rsidRPr="00652E79" w:rsidRDefault="00885D76" w:rsidP="007950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85D76" w:rsidRPr="005407A5" w:rsidTr="00A1303D">
        <w:trPr>
          <w:trHeight w:val="69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Default="00885D76" w:rsidP="00885D7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 w:rsidRPr="00885D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1E55D0" w:rsidRDefault="00885D76" w:rsidP="00885D76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E55D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EE7527" w:rsidRDefault="00885D76" w:rsidP="00885D76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E752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74,8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EE7527" w:rsidRDefault="00885D76" w:rsidP="00885D76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E752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74,9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EE7527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5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79,1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EE7527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5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79,8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EE7527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5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82,5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EE7527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5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EE7527" w:rsidRDefault="00885D76" w:rsidP="00885D7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752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87,3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EE7527" w:rsidRDefault="00885D76" w:rsidP="00885D7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EE752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85,</w:t>
            </w:r>
            <w:r w:rsidRPr="00EE7527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EE7527" w:rsidRDefault="00885D76" w:rsidP="00885D7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EE752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85,5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EE7527" w:rsidRDefault="00885D76" w:rsidP="00885D7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EE752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85,8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EE7527" w:rsidRDefault="00885D76" w:rsidP="00885D7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EE752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EE7527" w:rsidRDefault="00885D76" w:rsidP="00885D7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EE752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EE7527" w:rsidRDefault="00885D76" w:rsidP="00885D7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EE752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73,8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EE7527" w:rsidRDefault="00885D76" w:rsidP="00885D76">
            <w:pPr>
              <w:spacing w:line="360" w:lineRule="auto"/>
              <w:ind w:left="-68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EE752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75,7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EE7527" w:rsidRDefault="00885D76" w:rsidP="00885D76">
            <w:pPr>
              <w:spacing w:line="360" w:lineRule="auto"/>
              <w:ind w:left="-68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EE752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71,6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EE7527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75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77,1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D76" w:rsidRPr="00EE7527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EE75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76,3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D76" w:rsidRPr="00EE7527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75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76,1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D76" w:rsidRPr="00EE7527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75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73,7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D76" w:rsidRPr="00652E79" w:rsidRDefault="00885D76" w:rsidP="00885D76">
            <w:pPr>
              <w:bidi/>
              <w:spacing w:line="360" w:lineRule="auto"/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bCs/>
                <w:color w:val="000000"/>
                <w:sz w:val="18"/>
                <w:szCs w:val="18"/>
                <w:rtl/>
              </w:rPr>
              <w:t>مؤشر</w:t>
            </w:r>
            <w:r w:rsidR="00DA6011">
              <w:rPr>
                <w:rFonts w:asciiTheme="majorBidi" w:hAnsiTheme="majorBidi" w:cstheme="majorBidi" w:hint="cs"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52E79">
              <w:rPr>
                <w:rFonts w:asciiTheme="majorBidi" w:hAnsiTheme="majorBidi" w:cstheme="majorBidi"/>
                <w:bCs/>
                <w:color w:val="000000"/>
                <w:sz w:val="18"/>
                <w:szCs w:val="18"/>
                <w:rtl/>
              </w:rPr>
              <w:t>ثقة الأسر المغربية</w:t>
            </w:r>
          </w:p>
        </w:tc>
      </w:tr>
      <w:tr w:rsidR="00885D76" w:rsidRPr="005407A5" w:rsidTr="00A1303D">
        <w:trPr>
          <w:trHeight w:val="769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885D76" w:rsidRDefault="00885D76" w:rsidP="00885D76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85D7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-70,8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52E7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-71,6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652E79">
              <w:rPr>
                <w:rFonts w:ascii="Calibri" w:hAnsi="Calibri"/>
                <w:bCs/>
                <w:color w:val="000000"/>
                <w:sz w:val="18"/>
                <w:szCs w:val="18"/>
              </w:rPr>
              <w:t>-71,8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52E79">
              <w:rPr>
                <w:rFonts w:ascii="Calibri" w:hAnsi="Calibri"/>
                <w:color w:val="000000"/>
                <w:sz w:val="18"/>
                <w:szCs w:val="18"/>
              </w:rPr>
              <w:t>-76,9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bCs/>
                <w:sz w:val="18"/>
                <w:szCs w:val="18"/>
              </w:rPr>
              <w:t>-75,6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-70,0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-65,2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-61,7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-54,5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-58,5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-59,9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-54,3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widowControl/>
              <w:autoSpaceDE/>
              <w:autoSpaceDN/>
              <w:adjustRightInd/>
              <w:spacing w:line="360" w:lineRule="auto"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-64,9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-66,8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-70,6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-69,0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-67,7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-64,1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-66,2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-67,1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-65,2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D76" w:rsidRPr="00652E79" w:rsidRDefault="00885D76" w:rsidP="00885D76">
            <w:pPr>
              <w:bidi/>
              <w:spacing w:line="360" w:lineRule="auto"/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bCs/>
                <w:color w:val="000000"/>
                <w:sz w:val="18"/>
                <w:szCs w:val="18"/>
                <w:rtl/>
              </w:rPr>
              <w:t>التطور المستقبلي للبطالة</w:t>
            </w:r>
          </w:p>
        </w:tc>
      </w:tr>
      <w:tr w:rsidR="00885D76" w:rsidRPr="005407A5" w:rsidTr="00A1303D">
        <w:trPr>
          <w:trHeight w:val="77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885D76" w:rsidRDefault="00885D76" w:rsidP="00885D76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85D7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-19,8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52E7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652E79">
              <w:rPr>
                <w:rFonts w:ascii="Calibri" w:hAnsi="Calibri"/>
                <w:bCs/>
                <w:color w:val="000000"/>
                <w:sz w:val="18"/>
                <w:szCs w:val="18"/>
              </w:rPr>
              <w:t>-20,2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52E79">
              <w:rPr>
                <w:rFonts w:ascii="Calibri" w:hAnsi="Calibri"/>
                <w:color w:val="000000"/>
                <w:sz w:val="18"/>
                <w:szCs w:val="18"/>
              </w:rPr>
              <w:t>-25,4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bCs/>
                <w:sz w:val="18"/>
                <w:szCs w:val="18"/>
              </w:rPr>
              <w:t>-15,0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-13,3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-9,5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-5,4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-6,2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-3,8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-3,1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-8,</w:t>
            </w:r>
            <w:r w:rsidRPr="00652E79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widowControl/>
              <w:autoSpaceDE/>
              <w:autoSpaceDN/>
              <w:adjustRightInd/>
              <w:spacing w:line="360" w:lineRule="auto"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-12,0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-17,5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-17,4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-15,2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-22,9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-13,8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-15,1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-12,8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-14,1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D76" w:rsidRPr="00652E79" w:rsidRDefault="00885D76" w:rsidP="00885D76">
            <w:pPr>
              <w:bidi/>
              <w:spacing w:line="360" w:lineRule="auto"/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bCs/>
                <w:color w:val="000000"/>
                <w:sz w:val="18"/>
                <w:szCs w:val="18"/>
                <w:rtl/>
              </w:rPr>
              <w:t>التطور السابق لمستوى المعيشة بصفة عامة</w:t>
            </w:r>
          </w:p>
        </w:tc>
      </w:tr>
      <w:tr w:rsidR="00885D76" w:rsidRPr="005407A5" w:rsidTr="00A1303D">
        <w:trPr>
          <w:trHeight w:val="74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885D76" w:rsidRDefault="00885D76" w:rsidP="00885D76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85D7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-4,6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52E7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652E79">
              <w:rPr>
                <w:rFonts w:ascii="Calibri" w:hAnsi="Calibri"/>
                <w:bCs/>
                <w:color w:val="000000"/>
                <w:sz w:val="18"/>
                <w:szCs w:val="18"/>
              </w:rPr>
              <w:t>-3,7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52E79">
              <w:rPr>
                <w:rFonts w:ascii="Calibri" w:hAnsi="Calibri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11,9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widowControl/>
              <w:autoSpaceDE/>
              <w:autoSpaceDN/>
              <w:adjustRightInd/>
              <w:spacing w:line="360" w:lineRule="auto"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-2,4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-7,1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-7,6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-14,2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-8,1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-7,7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-7,3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-8,9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D76" w:rsidRPr="00652E79" w:rsidRDefault="00885D76" w:rsidP="00885D76">
            <w:pPr>
              <w:bidi/>
              <w:spacing w:line="360" w:lineRule="auto"/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bCs/>
                <w:color w:val="000000"/>
                <w:sz w:val="18"/>
                <w:szCs w:val="18"/>
                <w:rtl/>
              </w:rPr>
              <w:t>آفاق تطور مستوى المعيشة بصفة عامة</w:t>
            </w:r>
          </w:p>
        </w:tc>
      </w:tr>
      <w:tr w:rsidR="00885D76" w:rsidRPr="005407A5" w:rsidTr="00A1303D">
        <w:trPr>
          <w:trHeight w:val="67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885D76" w:rsidRDefault="00885D76" w:rsidP="00885D76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85D7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-32,6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52E7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-29,2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652E79">
              <w:rPr>
                <w:rFonts w:ascii="Calibri" w:hAnsi="Calibri"/>
                <w:bCs/>
                <w:color w:val="000000"/>
                <w:sz w:val="18"/>
                <w:szCs w:val="18"/>
              </w:rPr>
              <w:t>-37,7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52E79">
              <w:rPr>
                <w:rFonts w:ascii="Calibri" w:hAnsi="Calibri"/>
                <w:color w:val="000000"/>
                <w:sz w:val="18"/>
                <w:szCs w:val="18"/>
              </w:rPr>
              <w:t>-41,4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bCs/>
                <w:sz w:val="18"/>
                <w:szCs w:val="18"/>
              </w:rPr>
              <w:t>-36,3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-36,7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-30,2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-25,8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-27,2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-25,6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-31,5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-28,2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widowControl/>
              <w:autoSpaceDE/>
              <w:autoSpaceDN/>
              <w:adjustRightInd/>
              <w:spacing w:line="360" w:lineRule="auto"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-40,0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-43,0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-40,5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-34,8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-40,2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-37,5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-34,2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-36,0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-37,0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D76" w:rsidRPr="00652E79" w:rsidRDefault="00885D76" w:rsidP="00885D76">
            <w:pPr>
              <w:bidi/>
              <w:spacing w:line="360" w:lineRule="auto"/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bCs/>
                <w:color w:val="000000"/>
                <w:sz w:val="18"/>
                <w:szCs w:val="18"/>
                <w:rtl/>
              </w:rPr>
              <w:t>فرص اقتناء السلع المستديمة</w:t>
            </w:r>
          </w:p>
        </w:tc>
      </w:tr>
      <w:tr w:rsidR="00885D76" w:rsidRPr="005407A5" w:rsidTr="00A1303D">
        <w:trPr>
          <w:trHeight w:val="619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885D76" w:rsidRDefault="00885D76" w:rsidP="00885D76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85D7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-27,7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52E7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-26,4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652E79">
              <w:rPr>
                <w:rFonts w:ascii="Calibri" w:hAnsi="Calibri"/>
                <w:bCs/>
                <w:color w:val="000000"/>
                <w:sz w:val="18"/>
                <w:szCs w:val="18"/>
              </w:rPr>
              <w:t>-29,5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52E79">
              <w:rPr>
                <w:rFonts w:ascii="Calibri" w:hAnsi="Calibri"/>
                <w:color w:val="000000"/>
                <w:sz w:val="18"/>
                <w:szCs w:val="18"/>
              </w:rPr>
              <w:t>-30,8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bCs/>
                <w:sz w:val="18"/>
                <w:szCs w:val="18"/>
              </w:rPr>
              <w:t>-28,9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-28,4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-29,7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-24,1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-25,2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-24,4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-22,6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-25,3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widowControl/>
              <w:autoSpaceDE/>
              <w:autoSpaceDN/>
              <w:adjustRightInd/>
              <w:spacing w:line="360" w:lineRule="auto"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-27,8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-28,7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-25,8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-23,0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-27,2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-25,7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-25,1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-28,0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-32,4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D76" w:rsidRPr="00652E79" w:rsidRDefault="00885D76" w:rsidP="00885D76">
            <w:pPr>
              <w:bidi/>
              <w:spacing w:line="360" w:lineRule="auto"/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bCs/>
                <w:color w:val="000000"/>
                <w:sz w:val="18"/>
                <w:szCs w:val="18"/>
                <w:rtl/>
              </w:rPr>
              <w:t>الوضعية المالية الحالية للأسرة</w:t>
            </w:r>
          </w:p>
        </w:tc>
      </w:tr>
      <w:tr w:rsidR="00885D76" w:rsidRPr="005407A5" w:rsidTr="00A1303D">
        <w:trPr>
          <w:trHeight w:val="6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885D76" w:rsidRDefault="00885D76" w:rsidP="00885D76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85D7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-22,9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52E7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-22,1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652E79">
              <w:rPr>
                <w:rFonts w:ascii="Calibri" w:hAnsi="Calibri"/>
                <w:bCs/>
                <w:color w:val="000000"/>
                <w:sz w:val="18"/>
                <w:szCs w:val="18"/>
              </w:rPr>
              <w:t>-26,0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52E79">
              <w:rPr>
                <w:rFonts w:ascii="Calibri" w:hAnsi="Calibri"/>
                <w:color w:val="000000"/>
                <w:sz w:val="18"/>
                <w:szCs w:val="18"/>
              </w:rPr>
              <w:t>-24,2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bCs/>
                <w:sz w:val="18"/>
                <w:szCs w:val="18"/>
              </w:rPr>
              <w:t>-21,2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-20,7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-18,2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-15,2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-18,1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-16,7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-14,5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-16,6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widowControl/>
              <w:autoSpaceDE/>
              <w:autoSpaceDN/>
              <w:adjustRightInd/>
              <w:spacing w:line="360" w:lineRule="auto"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-26,8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-33,3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-27,0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-22,8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-27,4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-18,5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-20,8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-20.2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-27,0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D76" w:rsidRPr="00652E79" w:rsidRDefault="00885D76" w:rsidP="00885D76">
            <w:pPr>
              <w:bidi/>
              <w:spacing w:line="360" w:lineRule="auto"/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bCs/>
                <w:color w:val="000000"/>
                <w:sz w:val="18"/>
                <w:szCs w:val="18"/>
                <w:rtl/>
              </w:rPr>
              <w:t>التطور السابق للوضعية المالية للأسرة</w:t>
            </w:r>
          </w:p>
        </w:tc>
      </w:tr>
      <w:tr w:rsidR="00885D76" w:rsidRPr="005407A5" w:rsidTr="00A1303D">
        <w:trPr>
          <w:trHeight w:val="6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885D76" w:rsidRDefault="00885D76" w:rsidP="00885D76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85D7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52E7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652E79">
              <w:rPr>
                <w:rFonts w:ascii="Calibri" w:hAnsi="Calibri"/>
                <w:bCs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52E79">
              <w:rPr>
                <w:rFonts w:ascii="Calibri" w:hAnsi="Calibri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bCs/>
                <w:sz w:val="18"/>
                <w:szCs w:val="18"/>
              </w:rPr>
              <w:t>20,7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18,2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28,1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widowControl/>
              <w:autoSpaceDE/>
              <w:autoSpaceDN/>
              <w:adjustRightInd/>
              <w:spacing w:line="360" w:lineRule="auto"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13,4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5,0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2,3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1,2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7,6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3,3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4,2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0,1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D76" w:rsidRPr="00652E79" w:rsidRDefault="00885D76" w:rsidP="00885D76">
            <w:pPr>
              <w:bidi/>
              <w:spacing w:line="360" w:lineRule="auto"/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bCs/>
                <w:color w:val="000000"/>
                <w:sz w:val="18"/>
                <w:szCs w:val="18"/>
                <w:rtl/>
              </w:rPr>
              <w:t>التطور المرتقب للوضعية المالية للأسرة</w:t>
            </w:r>
          </w:p>
        </w:tc>
      </w:tr>
      <w:tr w:rsidR="00885D76" w:rsidRPr="00652E79" w:rsidTr="00A1303D">
        <w:trPr>
          <w:gridAfter w:val="1"/>
          <w:wAfter w:w="19" w:type="dxa"/>
          <w:trHeight w:val="314"/>
          <w:jc w:val="center"/>
        </w:trPr>
        <w:tc>
          <w:tcPr>
            <w:tcW w:w="16595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652E79" w:rsidRDefault="00885D76" w:rsidP="007950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 w:val="18"/>
                <w:szCs w:val="18"/>
                <w:rtl/>
              </w:rPr>
            </w:pPr>
            <w:r w:rsidRPr="00652E79">
              <w:rPr>
                <w:rFonts w:asciiTheme="majorBidi" w:hAnsiTheme="majorBidi" w:cstheme="majorBidi" w:hint="cs"/>
                <w:bCs/>
                <w:color w:val="000000"/>
                <w:sz w:val="18"/>
                <w:szCs w:val="18"/>
                <w:rtl/>
              </w:rPr>
              <w:t>مؤشرات أخرى</w:t>
            </w:r>
          </w:p>
        </w:tc>
      </w:tr>
      <w:tr w:rsidR="00885D76" w:rsidRPr="005407A5" w:rsidTr="00A1303D">
        <w:trPr>
          <w:trHeight w:val="63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885D76" w:rsidRDefault="00885D76" w:rsidP="00885D76">
            <w:pPr>
              <w:spacing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85D76">
              <w:rPr>
                <w:rFonts w:ascii="Calibri" w:hAnsi="Calibri"/>
                <w:color w:val="000000"/>
                <w:sz w:val="18"/>
                <w:szCs w:val="18"/>
              </w:rPr>
              <w:t>-82,6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52E79">
              <w:rPr>
                <w:rFonts w:ascii="Calibri" w:hAnsi="Calibri"/>
                <w:color w:val="000000"/>
                <w:sz w:val="18"/>
                <w:szCs w:val="18"/>
              </w:rPr>
              <w:t>-82,2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52E79">
              <w:rPr>
                <w:rFonts w:ascii="Calibri" w:hAnsi="Calibri"/>
                <w:color w:val="000000"/>
                <w:sz w:val="18"/>
                <w:szCs w:val="18"/>
              </w:rPr>
              <w:t>-83,3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52E79">
              <w:rPr>
                <w:rFonts w:ascii="Calibri" w:hAnsi="Calibri"/>
                <w:color w:val="000000"/>
                <w:sz w:val="18"/>
                <w:szCs w:val="18"/>
              </w:rPr>
              <w:t>-86,5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-87,5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-86,6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-82,1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-84,0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-82,9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-79,6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-74,0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-74,5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-77,7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-77,3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-77,9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-77,3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-79,3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-75,2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-75,3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-75.6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652E79">
              <w:rPr>
                <w:rFonts w:asciiTheme="minorHAnsi" w:hAnsiTheme="minorHAnsi" w:cstheme="minorHAnsi"/>
                <w:sz w:val="18"/>
                <w:szCs w:val="18"/>
                <w:rtl/>
              </w:rPr>
              <w:t>77.2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D76" w:rsidRPr="00652E79" w:rsidRDefault="00885D76" w:rsidP="00885D76">
            <w:pPr>
              <w:bidi/>
              <w:spacing w:line="360" w:lineRule="auto"/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bCs/>
                <w:color w:val="000000"/>
                <w:sz w:val="18"/>
                <w:szCs w:val="18"/>
                <w:rtl/>
              </w:rPr>
              <w:t xml:space="preserve">التطور المرتقب </w:t>
            </w:r>
            <w:r w:rsidRPr="00652E79">
              <w:rPr>
                <w:rFonts w:asciiTheme="majorBidi" w:hAnsiTheme="majorBidi" w:cstheme="majorBidi" w:hint="cs"/>
                <w:bCs/>
                <w:color w:val="000000"/>
                <w:sz w:val="18"/>
                <w:szCs w:val="18"/>
                <w:rtl/>
              </w:rPr>
              <w:t>لأسعار</w:t>
            </w:r>
            <w:r w:rsidRPr="00652E79">
              <w:rPr>
                <w:rFonts w:asciiTheme="majorBidi" w:hAnsiTheme="majorBidi" w:cstheme="majorBidi"/>
                <w:bCs/>
                <w:color w:val="000000"/>
                <w:sz w:val="18"/>
                <w:szCs w:val="18"/>
                <w:rtl/>
              </w:rPr>
              <w:t xml:space="preserve"> المواد الغذائية</w:t>
            </w:r>
          </w:p>
        </w:tc>
      </w:tr>
      <w:tr w:rsidR="00885D76" w:rsidRPr="005407A5" w:rsidTr="00A1303D">
        <w:trPr>
          <w:trHeight w:val="6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885D76" w:rsidRDefault="00885D76" w:rsidP="00885D76">
            <w:pPr>
              <w:spacing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85D76">
              <w:rPr>
                <w:rFonts w:ascii="Calibri" w:hAnsi="Calibri"/>
                <w:color w:val="000000"/>
                <w:sz w:val="18"/>
                <w:szCs w:val="18"/>
              </w:rPr>
              <w:t>-82,8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52E79">
              <w:rPr>
                <w:rFonts w:ascii="Calibri" w:hAnsi="Calibri"/>
                <w:color w:val="000000"/>
                <w:sz w:val="18"/>
                <w:szCs w:val="18"/>
              </w:rPr>
              <w:t>-85,1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52E79">
              <w:rPr>
                <w:rFonts w:ascii="Calibri" w:hAnsi="Calibri"/>
                <w:color w:val="000000"/>
                <w:sz w:val="18"/>
                <w:szCs w:val="18"/>
              </w:rPr>
              <w:t>-83,7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52E79">
              <w:rPr>
                <w:rFonts w:ascii="Calibri" w:hAnsi="Calibri"/>
                <w:color w:val="000000"/>
                <w:sz w:val="18"/>
                <w:szCs w:val="18"/>
              </w:rPr>
              <w:t>-88,9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-88,1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-90,3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-88,1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-88,2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-86,7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-88,5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-82,8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-86,4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-86,8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-87,3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-87,7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-87,9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-85,5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-85,4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-84,3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-85,3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652E79">
              <w:rPr>
                <w:rFonts w:asciiTheme="minorHAnsi" w:hAnsiTheme="minorHAnsi" w:cstheme="minorHAnsi"/>
                <w:sz w:val="18"/>
                <w:szCs w:val="18"/>
                <w:rtl/>
              </w:rPr>
              <w:t>87.</w:t>
            </w: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D76" w:rsidRPr="00652E79" w:rsidRDefault="00885D76" w:rsidP="00885D76">
            <w:pPr>
              <w:bidi/>
              <w:spacing w:line="360" w:lineRule="auto"/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bCs/>
                <w:color w:val="000000"/>
                <w:sz w:val="18"/>
                <w:szCs w:val="18"/>
                <w:rtl/>
              </w:rPr>
              <w:t xml:space="preserve">التطور السابق </w:t>
            </w:r>
            <w:r w:rsidRPr="00652E79">
              <w:rPr>
                <w:rFonts w:asciiTheme="majorBidi" w:hAnsiTheme="majorBidi" w:cstheme="majorBidi" w:hint="cs"/>
                <w:bCs/>
                <w:color w:val="000000"/>
                <w:sz w:val="18"/>
                <w:szCs w:val="18"/>
                <w:rtl/>
              </w:rPr>
              <w:t>لأسعار</w:t>
            </w:r>
            <w:r w:rsidRPr="00652E79">
              <w:rPr>
                <w:rFonts w:asciiTheme="majorBidi" w:hAnsiTheme="majorBidi" w:cstheme="majorBidi"/>
                <w:bCs/>
                <w:color w:val="000000"/>
                <w:sz w:val="18"/>
                <w:szCs w:val="18"/>
                <w:rtl/>
              </w:rPr>
              <w:t xml:space="preserve"> المواد الغذائية</w:t>
            </w:r>
          </w:p>
        </w:tc>
      </w:tr>
      <w:tr w:rsidR="00885D76" w:rsidRPr="005407A5" w:rsidTr="00A1303D">
        <w:trPr>
          <w:trHeight w:val="92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885D76" w:rsidRDefault="00885D76" w:rsidP="00885D76">
            <w:pPr>
              <w:spacing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85D76">
              <w:rPr>
                <w:rFonts w:ascii="Calibri" w:hAnsi="Calibri"/>
                <w:color w:val="000000"/>
                <w:sz w:val="18"/>
                <w:szCs w:val="18"/>
              </w:rPr>
              <w:t>-65,8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52E79">
              <w:rPr>
                <w:rFonts w:ascii="Calibri" w:hAnsi="Calibri"/>
                <w:color w:val="000000"/>
                <w:sz w:val="18"/>
                <w:szCs w:val="18"/>
              </w:rPr>
              <w:t>-64,6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52E79">
              <w:rPr>
                <w:rFonts w:ascii="Calibri" w:hAnsi="Calibri"/>
                <w:color w:val="000000"/>
                <w:sz w:val="18"/>
                <w:szCs w:val="18"/>
              </w:rPr>
              <w:t>-64,4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52E79">
              <w:rPr>
                <w:rFonts w:ascii="Calibri" w:hAnsi="Calibri"/>
                <w:color w:val="000000"/>
                <w:sz w:val="18"/>
                <w:szCs w:val="18"/>
              </w:rPr>
              <w:t>-66,6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-6</w:t>
            </w:r>
            <w:r w:rsidRPr="00652E79">
              <w:rPr>
                <w:rFonts w:ascii="Times New Roman" w:hAnsi="Times New Roman" w:cs="Times New Roman" w:hint="cs"/>
                <w:sz w:val="18"/>
                <w:szCs w:val="18"/>
                <w:rtl/>
              </w:rPr>
              <w:t>3</w:t>
            </w: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2E79">
              <w:rPr>
                <w:rFonts w:ascii="Times New Roman" w:hAnsi="Times New Roman" w:cs="Times New Roman" w:hint="cs"/>
                <w:sz w:val="18"/>
                <w:szCs w:val="18"/>
                <w:rtl/>
              </w:rPr>
              <w:t>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-63,0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-64,6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-57,9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-54,5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-58,6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-55,7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52E7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-59,1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-64,1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E79">
              <w:rPr>
                <w:rFonts w:ascii="Times New Roman" w:hAnsi="Times New Roman" w:cs="Times New Roman"/>
                <w:sz w:val="18"/>
                <w:szCs w:val="18"/>
              </w:rPr>
              <w:t>-68,7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-67,9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-66,6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-69,7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</w:p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-69,2</w:t>
            </w:r>
          </w:p>
          <w:p w:rsidR="00885D76" w:rsidRPr="00652E79" w:rsidRDefault="00885D76" w:rsidP="00885D76">
            <w:pPr>
              <w:widowControl/>
              <w:autoSpaceDE/>
              <w:autoSpaceDN/>
              <w:adjustRightInd/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-70,</w:t>
            </w:r>
            <w:r w:rsidRPr="00652E79">
              <w:rPr>
                <w:rFonts w:asciiTheme="minorHAnsi" w:hAnsiTheme="minorHAnsi" w:cstheme="minorHAnsi"/>
                <w:sz w:val="18"/>
                <w:szCs w:val="18"/>
                <w:rtl/>
              </w:rPr>
              <w:t>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-67,4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76" w:rsidRPr="00652E79" w:rsidRDefault="00885D76" w:rsidP="00885D76">
            <w:pPr>
              <w:spacing w:line="360" w:lineRule="auto"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2E7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652E79">
              <w:rPr>
                <w:rFonts w:asciiTheme="minorHAnsi" w:hAnsiTheme="minorHAnsi" w:cstheme="minorHAnsi"/>
                <w:sz w:val="18"/>
                <w:szCs w:val="18"/>
                <w:rtl/>
              </w:rPr>
              <w:t>69,8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D76" w:rsidRPr="00652E79" w:rsidRDefault="00885D76" w:rsidP="00885D76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  <w:p w:rsidR="00885D76" w:rsidRPr="00652E79" w:rsidRDefault="00885D76" w:rsidP="00885D76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652E79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قدرة الأسر على الادخار خلال الأشهر المقبلة</w:t>
            </w:r>
          </w:p>
          <w:p w:rsidR="00885D76" w:rsidRPr="00652E79" w:rsidRDefault="00885D76" w:rsidP="00885D76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B51E40" w:rsidRPr="0047396E" w:rsidRDefault="00B51E40" w:rsidP="00795089">
      <w:pPr>
        <w:bidi/>
        <w:spacing w:line="360" w:lineRule="auto"/>
        <w:jc w:val="both"/>
        <w:rPr>
          <w:lang w:bidi="ar-MA"/>
        </w:rPr>
      </w:pPr>
    </w:p>
    <w:sectPr w:rsidR="00B51E40" w:rsidRPr="0047396E" w:rsidSect="00E335F4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73A" w:rsidRDefault="00DC373A" w:rsidP="00FB5154">
      <w:r>
        <w:separator/>
      </w:r>
    </w:p>
  </w:endnote>
  <w:endnote w:type="continuationSeparator" w:id="0">
    <w:p w:rsidR="00DC373A" w:rsidRDefault="00DC373A" w:rsidP="00FB5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03D" w:rsidRDefault="00003AD0">
    <w:pPr>
      <w:pStyle w:val="Pieddepage"/>
      <w:jc w:val="center"/>
    </w:pPr>
    <w:r>
      <w:fldChar w:fldCharType="begin"/>
    </w:r>
    <w:r w:rsidR="00A1303D">
      <w:instrText xml:space="preserve"> PAGE   \* MERGEFORMAT </w:instrText>
    </w:r>
    <w:r>
      <w:fldChar w:fldCharType="separate"/>
    </w:r>
    <w:r w:rsidR="007378C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73A" w:rsidRDefault="00DC373A" w:rsidP="00FB5154">
      <w:r>
        <w:separator/>
      </w:r>
    </w:p>
  </w:footnote>
  <w:footnote w:type="continuationSeparator" w:id="0">
    <w:p w:rsidR="00DC373A" w:rsidRDefault="00DC373A" w:rsidP="00FB5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FEE"/>
    <w:multiLevelType w:val="hybridMultilevel"/>
    <w:tmpl w:val="D5B400E4"/>
    <w:lvl w:ilvl="0" w:tplc="3B72FCD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040C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18B50F6"/>
    <w:multiLevelType w:val="hybridMultilevel"/>
    <w:tmpl w:val="7B2834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E7449C"/>
    <w:multiLevelType w:val="hybridMultilevel"/>
    <w:tmpl w:val="F3EE99E2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352B3"/>
    <w:multiLevelType w:val="hybridMultilevel"/>
    <w:tmpl w:val="835265B6"/>
    <w:lvl w:ilvl="0" w:tplc="64BC1742">
      <w:start w:val="1"/>
      <w:numFmt w:val="decimal"/>
      <w:lvlText w:val="(%1)"/>
      <w:lvlJc w:val="left"/>
      <w:pPr>
        <w:ind w:left="785" w:hanging="360"/>
      </w:pPr>
      <w:rPr>
        <w:rFonts w:ascii="Times New Roman" w:hAnsi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51335564"/>
    <w:multiLevelType w:val="hybridMultilevel"/>
    <w:tmpl w:val="40FEE506"/>
    <w:lvl w:ilvl="0" w:tplc="040C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5">
    <w:nsid w:val="64BB2837"/>
    <w:multiLevelType w:val="hybridMultilevel"/>
    <w:tmpl w:val="21A8AF70"/>
    <w:lvl w:ilvl="0" w:tplc="6D2CC2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81E16"/>
    <w:multiLevelType w:val="hybridMultilevel"/>
    <w:tmpl w:val="57CA4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56717"/>
    <w:multiLevelType w:val="hybridMultilevel"/>
    <w:tmpl w:val="75165EB6"/>
    <w:lvl w:ilvl="0" w:tplc="FA5E9E30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sz w:val="32"/>
      </w:rPr>
    </w:lvl>
    <w:lvl w:ilvl="1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>
    <w:nsid w:val="796616BC"/>
    <w:multiLevelType w:val="hybridMultilevel"/>
    <w:tmpl w:val="BC187EFC"/>
    <w:lvl w:ilvl="0" w:tplc="56428D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AF6C0A"/>
    <w:multiLevelType w:val="hybridMultilevel"/>
    <w:tmpl w:val="2020F5B6"/>
    <w:lvl w:ilvl="0" w:tplc="6D2CC28E">
      <w:start w:val="1"/>
      <w:numFmt w:val="decimal"/>
      <w:lvlText w:val="%1"/>
      <w:lvlJc w:val="left"/>
      <w:pPr>
        <w:ind w:left="358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303" w:hanging="360"/>
      </w:pPr>
    </w:lvl>
    <w:lvl w:ilvl="2" w:tplc="040C001B" w:tentative="1">
      <w:start w:val="1"/>
      <w:numFmt w:val="lowerRoman"/>
      <w:lvlText w:val="%3."/>
      <w:lvlJc w:val="right"/>
      <w:pPr>
        <w:ind w:left="5023" w:hanging="180"/>
      </w:pPr>
    </w:lvl>
    <w:lvl w:ilvl="3" w:tplc="040C000F" w:tentative="1">
      <w:start w:val="1"/>
      <w:numFmt w:val="decimal"/>
      <w:lvlText w:val="%4."/>
      <w:lvlJc w:val="left"/>
      <w:pPr>
        <w:ind w:left="5743" w:hanging="360"/>
      </w:pPr>
    </w:lvl>
    <w:lvl w:ilvl="4" w:tplc="040C0019" w:tentative="1">
      <w:start w:val="1"/>
      <w:numFmt w:val="lowerLetter"/>
      <w:lvlText w:val="%5."/>
      <w:lvlJc w:val="left"/>
      <w:pPr>
        <w:ind w:left="6463" w:hanging="360"/>
      </w:pPr>
    </w:lvl>
    <w:lvl w:ilvl="5" w:tplc="040C001B" w:tentative="1">
      <w:start w:val="1"/>
      <w:numFmt w:val="lowerRoman"/>
      <w:lvlText w:val="%6."/>
      <w:lvlJc w:val="right"/>
      <w:pPr>
        <w:ind w:left="7183" w:hanging="180"/>
      </w:pPr>
    </w:lvl>
    <w:lvl w:ilvl="6" w:tplc="040C000F" w:tentative="1">
      <w:start w:val="1"/>
      <w:numFmt w:val="decimal"/>
      <w:lvlText w:val="%7."/>
      <w:lvlJc w:val="left"/>
      <w:pPr>
        <w:ind w:left="7903" w:hanging="360"/>
      </w:pPr>
    </w:lvl>
    <w:lvl w:ilvl="7" w:tplc="040C0019" w:tentative="1">
      <w:start w:val="1"/>
      <w:numFmt w:val="lowerLetter"/>
      <w:lvlText w:val="%8."/>
      <w:lvlJc w:val="left"/>
      <w:pPr>
        <w:ind w:left="8623" w:hanging="360"/>
      </w:pPr>
    </w:lvl>
    <w:lvl w:ilvl="8" w:tplc="040C001B" w:tentative="1">
      <w:start w:val="1"/>
      <w:numFmt w:val="lowerRoman"/>
      <w:lvlText w:val="%9."/>
      <w:lvlJc w:val="right"/>
      <w:pPr>
        <w:ind w:left="9343" w:hanging="180"/>
      </w:pPr>
    </w:lvl>
  </w:abstractNum>
  <w:abstractNum w:abstractNumId="10">
    <w:nsid w:val="7DD520AB"/>
    <w:multiLevelType w:val="hybridMultilevel"/>
    <w:tmpl w:val="7728B6E4"/>
    <w:lvl w:ilvl="0" w:tplc="FA5E9E3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32"/>
      </w:rPr>
    </w:lvl>
    <w:lvl w:ilvl="1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154"/>
    <w:rsid w:val="00001CFD"/>
    <w:rsid w:val="0000277D"/>
    <w:rsid w:val="00002C4D"/>
    <w:rsid w:val="00003AD0"/>
    <w:rsid w:val="00005383"/>
    <w:rsid w:val="000053B0"/>
    <w:rsid w:val="000055C9"/>
    <w:rsid w:val="00007DB8"/>
    <w:rsid w:val="0001056E"/>
    <w:rsid w:val="00012214"/>
    <w:rsid w:val="000124FB"/>
    <w:rsid w:val="00012F59"/>
    <w:rsid w:val="00013F2C"/>
    <w:rsid w:val="00014615"/>
    <w:rsid w:val="000158E5"/>
    <w:rsid w:val="00015CC3"/>
    <w:rsid w:val="0001642B"/>
    <w:rsid w:val="00016667"/>
    <w:rsid w:val="00017D49"/>
    <w:rsid w:val="00017F39"/>
    <w:rsid w:val="00020B80"/>
    <w:rsid w:val="000210BB"/>
    <w:rsid w:val="00023B39"/>
    <w:rsid w:val="00023D51"/>
    <w:rsid w:val="00023DE3"/>
    <w:rsid w:val="00023FCD"/>
    <w:rsid w:val="00024034"/>
    <w:rsid w:val="00027878"/>
    <w:rsid w:val="00027CE8"/>
    <w:rsid w:val="0003089A"/>
    <w:rsid w:val="000316DF"/>
    <w:rsid w:val="00031A44"/>
    <w:rsid w:val="00032A33"/>
    <w:rsid w:val="00034D7A"/>
    <w:rsid w:val="000356AC"/>
    <w:rsid w:val="00037417"/>
    <w:rsid w:val="000377F1"/>
    <w:rsid w:val="00040601"/>
    <w:rsid w:val="00040872"/>
    <w:rsid w:val="00040A0F"/>
    <w:rsid w:val="0004224D"/>
    <w:rsid w:val="00042B74"/>
    <w:rsid w:val="00043971"/>
    <w:rsid w:val="0004405A"/>
    <w:rsid w:val="000468D3"/>
    <w:rsid w:val="00046B93"/>
    <w:rsid w:val="000501D5"/>
    <w:rsid w:val="000501F3"/>
    <w:rsid w:val="00050D46"/>
    <w:rsid w:val="00051406"/>
    <w:rsid w:val="00051FEC"/>
    <w:rsid w:val="00052202"/>
    <w:rsid w:val="000527EB"/>
    <w:rsid w:val="000534A5"/>
    <w:rsid w:val="000548F9"/>
    <w:rsid w:val="00055217"/>
    <w:rsid w:val="0006156A"/>
    <w:rsid w:val="00062597"/>
    <w:rsid w:val="00063E19"/>
    <w:rsid w:val="00063F28"/>
    <w:rsid w:val="000647FE"/>
    <w:rsid w:val="00064F12"/>
    <w:rsid w:val="00065EBF"/>
    <w:rsid w:val="00066D16"/>
    <w:rsid w:val="0006750F"/>
    <w:rsid w:val="00067D74"/>
    <w:rsid w:val="000708EE"/>
    <w:rsid w:val="00073B26"/>
    <w:rsid w:val="00074577"/>
    <w:rsid w:val="0007598E"/>
    <w:rsid w:val="00075E5A"/>
    <w:rsid w:val="00076021"/>
    <w:rsid w:val="000800CE"/>
    <w:rsid w:val="000818E4"/>
    <w:rsid w:val="00081D50"/>
    <w:rsid w:val="00084B8A"/>
    <w:rsid w:val="000874A8"/>
    <w:rsid w:val="000901AE"/>
    <w:rsid w:val="000919FA"/>
    <w:rsid w:val="00092ADE"/>
    <w:rsid w:val="00092D42"/>
    <w:rsid w:val="000933BD"/>
    <w:rsid w:val="00093A05"/>
    <w:rsid w:val="00093CD0"/>
    <w:rsid w:val="00093D6B"/>
    <w:rsid w:val="00093FB7"/>
    <w:rsid w:val="000943DF"/>
    <w:rsid w:val="0009466F"/>
    <w:rsid w:val="00094954"/>
    <w:rsid w:val="00094FF2"/>
    <w:rsid w:val="00095E84"/>
    <w:rsid w:val="00096DF6"/>
    <w:rsid w:val="000A0912"/>
    <w:rsid w:val="000A0F7B"/>
    <w:rsid w:val="000A1AFF"/>
    <w:rsid w:val="000A258B"/>
    <w:rsid w:val="000A2BE2"/>
    <w:rsid w:val="000A43AB"/>
    <w:rsid w:val="000A456E"/>
    <w:rsid w:val="000A46A4"/>
    <w:rsid w:val="000A60CC"/>
    <w:rsid w:val="000A6343"/>
    <w:rsid w:val="000A7773"/>
    <w:rsid w:val="000A77B0"/>
    <w:rsid w:val="000A7DEF"/>
    <w:rsid w:val="000B00E5"/>
    <w:rsid w:val="000B03B2"/>
    <w:rsid w:val="000B04E0"/>
    <w:rsid w:val="000B170F"/>
    <w:rsid w:val="000B1D9C"/>
    <w:rsid w:val="000B3E0B"/>
    <w:rsid w:val="000B548C"/>
    <w:rsid w:val="000B783E"/>
    <w:rsid w:val="000B7A23"/>
    <w:rsid w:val="000C0C36"/>
    <w:rsid w:val="000C17AC"/>
    <w:rsid w:val="000C1FD6"/>
    <w:rsid w:val="000C24F1"/>
    <w:rsid w:val="000C39A4"/>
    <w:rsid w:val="000C4188"/>
    <w:rsid w:val="000C4CDC"/>
    <w:rsid w:val="000C542A"/>
    <w:rsid w:val="000C59A2"/>
    <w:rsid w:val="000C7397"/>
    <w:rsid w:val="000C7854"/>
    <w:rsid w:val="000D25E7"/>
    <w:rsid w:val="000D34AE"/>
    <w:rsid w:val="000D5E19"/>
    <w:rsid w:val="000D5FAB"/>
    <w:rsid w:val="000D626F"/>
    <w:rsid w:val="000D62D2"/>
    <w:rsid w:val="000D79A1"/>
    <w:rsid w:val="000E0292"/>
    <w:rsid w:val="000E1043"/>
    <w:rsid w:val="000E21B3"/>
    <w:rsid w:val="000E3A3B"/>
    <w:rsid w:val="000E4043"/>
    <w:rsid w:val="000E4965"/>
    <w:rsid w:val="000E4DB6"/>
    <w:rsid w:val="000E598D"/>
    <w:rsid w:val="000F02BA"/>
    <w:rsid w:val="000F0CAB"/>
    <w:rsid w:val="000F1AFE"/>
    <w:rsid w:val="000F2F41"/>
    <w:rsid w:val="000F3B8E"/>
    <w:rsid w:val="000F499D"/>
    <w:rsid w:val="000F5D92"/>
    <w:rsid w:val="000F62DE"/>
    <w:rsid w:val="000F7102"/>
    <w:rsid w:val="000F7A6C"/>
    <w:rsid w:val="001001D9"/>
    <w:rsid w:val="00101EF8"/>
    <w:rsid w:val="001022C1"/>
    <w:rsid w:val="00102A83"/>
    <w:rsid w:val="0010398A"/>
    <w:rsid w:val="001039B0"/>
    <w:rsid w:val="00105111"/>
    <w:rsid w:val="00105F6E"/>
    <w:rsid w:val="0011034A"/>
    <w:rsid w:val="00111B44"/>
    <w:rsid w:val="00111E47"/>
    <w:rsid w:val="0011409B"/>
    <w:rsid w:val="00116CCA"/>
    <w:rsid w:val="001200B6"/>
    <w:rsid w:val="001203F7"/>
    <w:rsid w:val="001214F9"/>
    <w:rsid w:val="00121FE4"/>
    <w:rsid w:val="001222CC"/>
    <w:rsid w:val="00122369"/>
    <w:rsid w:val="00122474"/>
    <w:rsid w:val="00122BBD"/>
    <w:rsid w:val="00123D58"/>
    <w:rsid w:val="00123E30"/>
    <w:rsid w:val="00127E48"/>
    <w:rsid w:val="00131625"/>
    <w:rsid w:val="00132C76"/>
    <w:rsid w:val="00135734"/>
    <w:rsid w:val="00135C3A"/>
    <w:rsid w:val="00136CFC"/>
    <w:rsid w:val="00136F4E"/>
    <w:rsid w:val="00137B43"/>
    <w:rsid w:val="001417AD"/>
    <w:rsid w:val="00141E9B"/>
    <w:rsid w:val="00143BF2"/>
    <w:rsid w:val="00143D45"/>
    <w:rsid w:val="001451F9"/>
    <w:rsid w:val="001469D2"/>
    <w:rsid w:val="00147008"/>
    <w:rsid w:val="00147AAF"/>
    <w:rsid w:val="00150840"/>
    <w:rsid w:val="00151435"/>
    <w:rsid w:val="001527A3"/>
    <w:rsid w:val="001529FF"/>
    <w:rsid w:val="00153603"/>
    <w:rsid w:val="00155E7E"/>
    <w:rsid w:val="00156FDB"/>
    <w:rsid w:val="001604B1"/>
    <w:rsid w:val="00160CD6"/>
    <w:rsid w:val="001615E7"/>
    <w:rsid w:val="00162F0B"/>
    <w:rsid w:val="00163573"/>
    <w:rsid w:val="00163A7D"/>
    <w:rsid w:val="0016457A"/>
    <w:rsid w:val="001650C7"/>
    <w:rsid w:val="00165B54"/>
    <w:rsid w:val="001669E6"/>
    <w:rsid w:val="00167E60"/>
    <w:rsid w:val="00167E87"/>
    <w:rsid w:val="00170761"/>
    <w:rsid w:val="001708BF"/>
    <w:rsid w:val="0017103A"/>
    <w:rsid w:val="00171AFC"/>
    <w:rsid w:val="001730A1"/>
    <w:rsid w:val="00173E32"/>
    <w:rsid w:val="0017460D"/>
    <w:rsid w:val="001747ED"/>
    <w:rsid w:val="00174AA2"/>
    <w:rsid w:val="00176575"/>
    <w:rsid w:val="00176658"/>
    <w:rsid w:val="001767CD"/>
    <w:rsid w:val="00177108"/>
    <w:rsid w:val="0017770A"/>
    <w:rsid w:val="0018075C"/>
    <w:rsid w:val="0018282E"/>
    <w:rsid w:val="00183556"/>
    <w:rsid w:val="001839B1"/>
    <w:rsid w:val="00183A85"/>
    <w:rsid w:val="00184F9F"/>
    <w:rsid w:val="00185C38"/>
    <w:rsid w:val="00190362"/>
    <w:rsid w:val="00190B98"/>
    <w:rsid w:val="00192084"/>
    <w:rsid w:val="00192991"/>
    <w:rsid w:val="0019443D"/>
    <w:rsid w:val="00194803"/>
    <w:rsid w:val="00195748"/>
    <w:rsid w:val="00196E61"/>
    <w:rsid w:val="00197537"/>
    <w:rsid w:val="00197E28"/>
    <w:rsid w:val="001A02EE"/>
    <w:rsid w:val="001A06F6"/>
    <w:rsid w:val="001A0B0C"/>
    <w:rsid w:val="001A0B75"/>
    <w:rsid w:val="001A0F67"/>
    <w:rsid w:val="001A12E0"/>
    <w:rsid w:val="001A1FBB"/>
    <w:rsid w:val="001A2E0F"/>
    <w:rsid w:val="001A50AC"/>
    <w:rsid w:val="001A6534"/>
    <w:rsid w:val="001A6DC0"/>
    <w:rsid w:val="001B0A37"/>
    <w:rsid w:val="001B288F"/>
    <w:rsid w:val="001B57AE"/>
    <w:rsid w:val="001B5E1A"/>
    <w:rsid w:val="001B69E0"/>
    <w:rsid w:val="001B775D"/>
    <w:rsid w:val="001B7FB6"/>
    <w:rsid w:val="001C068B"/>
    <w:rsid w:val="001C1DC7"/>
    <w:rsid w:val="001C1ECC"/>
    <w:rsid w:val="001C2E48"/>
    <w:rsid w:val="001C3663"/>
    <w:rsid w:val="001C36A0"/>
    <w:rsid w:val="001C4A0B"/>
    <w:rsid w:val="001C544F"/>
    <w:rsid w:val="001C58AD"/>
    <w:rsid w:val="001C7614"/>
    <w:rsid w:val="001D0ADA"/>
    <w:rsid w:val="001D0B9C"/>
    <w:rsid w:val="001D0D6A"/>
    <w:rsid w:val="001D25F8"/>
    <w:rsid w:val="001D278A"/>
    <w:rsid w:val="001D288C"/>
    <w:rsid w:val="001D2C5D"/>
    <w:rsid w:val="001D2FA1"/>
    <w:rsid w:val="001D3B53"/>
    <w:rsid w:val="001D6107"/>
    <w:rsid w:val="001D6480"/>
    <w:rsid w:val="001D7239"/>
    <w:rsid w:val="001D7572"/>
    <w:rsid w:val="001E1ECA"/>
    <w:rsid w:val="001E329A"/>
    <w:rsid w:val="001E55D0"/>
    <w:rsid w:val="001E583F"/>
    <w:rsid w:val="001E664F"/>
    <w:rsid w:val="001F08FC"/>
    <w:rsid w:val="001F0A87"/>
    <w:rsid w:val="001F1014"/>
    <w:rsid w:val="001F1A58"/>
    <w:rsid w:val="001F1B17"/>
    <w:rsid w:val="001F1EA8"/>
    <w:rsid w:val="001F729D"/>
    <w:rsid w:val="002004DC"/>
    <w:rsid w:val="00202646"/>
    <w:rsid w:val="002041DE"/>
    <w:rsid w:val="00204E3E"/>
    <w:rsid w:val="00206CBA"/>
    <w:rsid w:val="00207B77"/>
    <w:rsid w:val="00211597"/>
    <w:rsid w:val="002122D0"/>
    <w:rsid w:val="0021249E"/>
    <w:rsid w:val="00213F1E"/>
    <w:rsid w:val="0021515F"/>
    <w:rsid w:val="00215F90"/>
    <w:rsid w:val="0022035B"/>
    <w:rsid w:val="00220BFD"/>
    <w:rsid w:val="00222633"/>
    <w:rsid w:val="00223DD2"/>
    <w:rsid w:val="002244C9"/>
    <w:rsid w:val="00224CF5"/>
    <w:rsid w:val="00225ADC"/>
    <w:rsid w:val="00225CC8"/>
    <w:rsid w:val="00225D94"/>
    <w:rsid w:val="00227A99"/>
    <w:rsid w:val="0023068B"/>
    <w:rsid w:val="00232F37"/>
    <w:rsid w:val="002336B9"/>
    <w:rsid w:val="00233FDB"/>
    <w:rsid w:val="0023549A"/>
    <w:rsid w:val="002367BA"/>
    <w:rsid w:val="00237549"/>
    <w:rsid w:val="002405A5"/>
    <w:rsid w:val="002419EE"/>
    <w:rsid w:val="002441C7"/>
    <w:rsid w:val="002447B7"/>
    <w:rsid w:val="0024594C"/>
    <w:rsid w:val="0024601E"/>
    <w:rsid w:val="00246AB5"/>
    <w:rsid w:val="002501E1"/>
    <w:rsid w:val="002518F7"/>
    <w:rsid w:val="0025256E"/>
    <w:rsid w:val="00253930"/>
    <w:rsid w:val="002539F4"/>
    <w:rsid w:val="00254A47"/>
    <w:rsid w:val="00254D8C"/>
    <w:rsid w:val="00254F5D"/>
    <w:rsid w:val="002550E6"/>
    <w:rsid w:val="00255827"/>
    <w:rsid w:val="00256064"/>
    <w:rsid w:val="00257304"/>
    <w:rsid w:val="002610CC"/>
    <w:rsid w:val="002617FA"/>
    <w:rsid w:val="00262199"/>
    <w:rsid w:val="0026342E"/>
    <w:rsid w:val="00264143"/>
    <w:rsid w:val="0026423C"/>
    <w:rsid w:val="00264823"/>
    <w:rsid w:val="00264A1F"/>
    <w:rsid w:val="00264AAC"/>
    <w:rsid w:val="002655BD"/>
    <w:rsid w:val="00267246"/>
    <w:rsid w:val="00267C04"/>
    <w:rsid w:val="00271AD5"/>
    <w:rsid w:val="00271D13"/>
    <w:rsid w:val="002730D2"/>
    <w:rsid w:val="002731D5"/>
    <w:rsid w:val="0027335D"/>
    <w:rsid w:val="002738F1"/>
    <w:rsid w:val="00274C15"/>
    <w:rsid w:val="00276571"/>
    <w:rsid w:val="002804A3"/>
    <w:rsid w:val="002816DB"/>
    <w:rsid w:val="0028283C"/>
    <w:rsid w:val="00282A76"/>
    <w:rsid w:val="00283F52"/>
    <w:rsid w:val="002844D8"/>
    <w:rsid w:val="0028577F"/>
    <w:rsid w:val="00287AB0"/>
    <w:rsid w:val="002908FC"/>
    <w:rsid w:val="002909C0"/>
    <w:rsid w:val="00290D24"/>
    <w:rsid w:val="00294A82"/>
    <w:rsid w:val="00294D15"/>
    <w:rsid w:val="00295120"/>
    <w:rsid w:val="002A02EA"/>
    <w:rsid w:val="002A07F0"/>
    <w:rsid w:val="002A080C"/>
    <w:rsid w:val="002A0E57"/>
    <w:rsid w:val="002A2468"/>
    <w:rsid w:val="002A2576"/>
    <w:rsid w:val="002A369A"/>
    <w:rsid w:val="002A44F9"/>
    <w:rsid w:val="002A71C9"/>
    <w:rsid w:val="002B0885"/>
    <w:rsid w:val="002B1780"/>
    <w:rsid w:val="002B2F02"/>
    <w:rsid w:val="002B3B14"/>
    <w:rsid w:val="002B43C5"/>
    <w:rsid w:val="002B4CA1"/>
    <w:rsid w:val="002B56E7"/>
    <w:rsid w:val="002B5D5E"/>
    <w:rsid w:val="002B6282"/>
    <w:rsid w:val="002B668B"/>
    <w:rsid w:val="002B6E48"/>
    <w:rsid w:val="002B72F5"/>
    <w:rsid w:val="002B7CB7"/>
    <w:rsid w:val="002C315C"/>
    <w:rsid w:val="002C3B75"/>
    <w:rsid w:val="002C3DF6"/>
    <w:rsid w:val="002C41F9"/>
    <w:rsid w:val="002C44BF"/>
    <w:rsid w:val="002C5D78"/>
    <w:rsid w:val="002C7745"/>
    <w:rsid w:val="002D1876"/>
    <w:rsid w:val="002D39D6"/>
    <w:rsid w:val="002D3D04"/>
    <w:rsid w:val="002D4F45"/>
    <w:rsid w:val="002D58E3"/>
    <w:rsid w:val="002D59E5"/>
    <w:rsid w:val="002D649E"/>
    <w:rsid w:val="002D7086"/>
    <w:rsid w:val="002E0ADB"/>
    <w:rsid w:val="002E2CB3"/>
    <w:rsid w:val="002E5376"/>
    <w:rsid w:val="002E6635"/>
    <w:rsid w:val="002E7A4A"/>
    <w:rsid w:val="002F0FB7"/>
    <w:rsid w:val="002F3305"/>
    <w:rsid w:val="002F39AB"/>
    <w:rsid w:val="002F6C71"/>
    <w:rsid w:val="0030041D"/>
    <w:rsid w:val="00301D35"/>
    <w:rsid w:val="00303111"/>
    <w:rsid w:val="00304271"/>
    <w:rsid w:val="00304C66"/>
    <w:rsid w:val="00304F41"/>
    <w:rsid w:val="003054DA"/>
    <w:rsid w:val="00305621"/>
    <w:rsid w:val="00305668"/>
    <w:rsid w:val="00306A01"/>
    <w:rsid w:val="00306B5B"/>
    <w:rsid w:val="0030712F"/>
    <w:rsid w:val="0030785C"/>
    <w:rsid w:val="00307A5B"/>
    <w:rsid w:val="00310353"/>
    <w:rsid w:val="003123A4"/>
    <w:rsid w:val="003129C4"/>
    <w:rsid w:val="0031379F"/>
    <w:rsid w:val="00313AB9"/>
    <w:rsid w:val="00313D8D"/>
    <w:rsid w:val="00313DAF"/>
    <w:rsid w:val="0031641F"/>
    <w:rsid w:val="00316A54"/>
    <w:rsid w:val="0032032C"/>
    <w:rsid w:val="003211BC"/>
    <w:rsid w:val="00321810"/>
    <w:rsid w:val="00323553"/>
    <w:rsid w:val="00323EF8"/>
    <w:rsid w:val="0032715A"/>
    <w:rsid w:val="0033012D"/>
    <w:rsid w:val="003304BC"/>
    <w:rsid w:val="00330B2D"/>
    <w:rsid w:val="00331F00"/>
    <w:rsid w:val="003321E4"/>
    <w:rsid w:val="003325D6"/>
    <w:rsid w:val="003327D6"/>
    <w:rsid w:val="0033483C"/>
    <w:rsid w:val="00334865"/>
    <w:rsid w:val="00334D0F"/>
    <w:rsid w:val="0033541B"/>
    <w:rsid w:val="00335964"/>
    <w:rsid w:val="00336AC7"/>
    <w:rsid w:val="00340446"/>
    <w:rsid w:val="00340AA6"/>
    <w:rsid w:val="0034158E"/>
    <w:rsid w:val="00341A12"/>
    <w:rsid w:val="00342122"/>
    <w:rsid w:val="00342635"/>
    <w:rsid w:val="00342898"/>
    <w:rsid w:val="00343D5A"/>
    <w:rsid w:val="003441CD"/>
    <w:rsid w:val="00346369"/>
    <w:rsid w:val="00346F4B"/>
    <w:rsid w:val="003505A4"/>
    <w:rsid w:val="0035206B"/>
    <w:rsid w:val="003526E0"/>
    <w:rsid w:val="0035293A"/>
    <w:rsid w:val="00353952"/>
    <w:rsid w:val="003549B7"/>
    <w:rsid w:val="00355DE2"/>
    <w:rsid w:val="00356465"/>
    <w:rsid w:val="00357020"/>
    <w:rsid w:val="00360807"/>
    <w:rsid w:val="00361074"/>
    <w:rsid w:val="00362483"/>
    <w:rsid w:val="0036388B"/>
    <w:rsid w:val="003639B6"/>
    <w:rsid w:val="00363FED"/>
    <w:rsid w:val="00365421"/>
    <w:rsid w:val="0036634B"/>
    <w:rsid w:val="0036643E"/>
    <w:rsid w:val="0036683F"/>
    <w:rsid w:val="0036731F"/>
    <w:rsid w:val="003708C3"/>
    <w:rsid w:val="003731F3"/>
    <w:rsid w:val="00373CA1"/>
    <w:rsid w:val="003748E7"/>
    <w:rsid w:val="003764DE"/>
    <w:rsid w:val="00377363"/>
    <w:rsid w:val="003774FD"/>
    <w:rsid w:val="0037790B"/>
    <w:rsid w:val="003810D0"/>
    <w:rsid w:val="00381B13"/>
    <w:rsid w:val="003832F7"/>
    <w:rsid w:val="00385EA8"/>
    <w:rsid w:val="003866C9"/>
    <w:rsid w:val="003875BA"/>
    <w:rsid w:val="00387B6D"/>
    <w:rsid w:val="0039103E"/>
    <w:rsid w:val="003915CF"/>
    <w:rsid w:val="00392A21"/>
    <w:rsid w:val="0039544A"/>
    <w:rsid w:val="00397340"/>
    <w:rsid w:val="0039764C"/>
    <w:rsid w:val="00397951"/>
    <w:rsid w:val="003A008A"/>
    <w:rsid w:val="003A1537"/>
    <w:rsid w:val="003A2E50"/>
    <w:rsid w:val="003A5AEE"/>
    <w:rsid w:val="003A6AAA"/>
    <w:rsid w:val="003B0304"/>
    <w:rsid w:val="003B48EE"/>
    <w:rsid w:val="003B50A3"/>
    <w:rsid w:val="003B658A"/>
    <w:rsid w:val="003B6952"/>
    <w:rsid w:val="003B758F"/>
    <w:rsid w:val="003C03A4"/>
    <w:rsid w:val="003C08DE"/>
    <w:rsid w:val="003C18CC"/>
    <w:rsid w:val="003C1BB4"/>
    <w:rsid w:val="003C1E02"/>
    <w:rsid w:val="003C1FDE"/>
    <w:rsid w:val="003C3C0C"/>
    <w:rsid w:val="003C41F4"/>
    <w:rsid w:val="003C525A"/>
    <w:rsid w:val="003C5A97"/>
    <w:rsid w:val="003C6FDB"/>
    <w:rsid w:val="003D2472"/>
    <w:rsid w:val="003D2F3E"/>
    <w:rsid w:val="003D6572"/>
    <w:rsid w:val="003D76CB"/>
    <w:rsid w:val="003D7AF5"/>
    <w:rsid w:val="003E0407"/>
    <w:rsid w:val="003E0E5B"/>
    <w:rsid w:val="003E2375"/>
    <w:rsid w:val="003E2DE1"/>
    <w:rsid w:val="003E37B6"/>
    <w:rsid w:val="003E4E24"/>
    <w:rsid w:val="003E7980"/>
    <w:rsid w:val="003F0041"/>
    <w:rsid w:val="003F10A2"/>
    <w:rsid w:val="003F16A4"/>
    <w:rsid w:val="003F2F10"/>
    <w:rsid w:val="003F35F7"/>
    <w:rsid w:val="003F4456"/>
    <w:rsid w:val="003F4E59"/>
    <w:rsid w:val="004002BC"/>
    <w:rsid w:val="00401AE2"/>
    <w:rsid w:val="00403792"/>
    <w:rsid w:val="00406DA7"/>
    <w:rsid w:val="0040708A"/>
    <w:rsid w:val="0041124B"/>
    <w:rsid w:val="0041230B"/>
    <w:rsid w:val="00412C17"/>
    <w:rsid w:val="004137F0"/>
    <w:rsid w:val="00413913"/>
    <w:rsid w:val="00414F76"/>
    <w:rsid w:val="00416B31"/>
    <w:rsid w:val="00417038"/>
    <w:rsid w:val="00417BC7"/>
    <w:rsid w:val="004221A9"/>
    <w:rsid w:val="00422C2D"/>
    <w:rsid w:val="00424701"/>
    <w:rsid w:val="00424A6C"/>
    <w:rsid w:val="004259DA"/>
    <w:rsid w:val="00426888"/>
    <w:rsid w:val="00430329"/>
    <w:rsid w:val="00430D3F"/>
    <w:rsid w:val="004317A2"/>
    <w:rsid w:val="00432805"/>
    <w:rsid w:val="004335D4"/>
    <w:rsid w:val="00434B75"/>
    <w:rsid w:val="00435F3C"/>
    <w:rsid w:val="00436324"/>
    <w:rsid w:val="004367B3"/>
    <w:rsid w:val="00440B2C"/>
    <w:rsid w:val="004414E7"/>
    <w:rsid w:val="00441C14"/>
    <w:rsid w:val="004426C4"/>
    <w:rsid w:val="004451EA"/>
    <w:rsid w:val="00446004"/>
    <w:rsid w:val="004479A1"/>
    <w:rsid w:val="00447F5A"/>
    <w:rsid w:val="00453689"/>
    <w:rsid w:val="00453863"/>
    <w:rsid w:val="0045623F"/>
    <w:rsid w:val="00456931"/>
    <w:rsid w:val="0045696E"/>
    <w:rsid w:val="00456B08"/>
    <w:rsid w:val="00457685"/>
    <w:rsid w:val="0046035D"/>
    <w:rsid w:val="004627A2"/>
    <w:rsid w:val="00462C5B"/>
    <w:rsid w:val="00464BE4"/>
    <w:rsid w:val="004662C1"/>
    <w:rsid w:val="0046693A"/>
    <w:rsid w:val="00466D3A"/>
    <w:rsid w:val="00467660"/>
    <w:rsid w:val="004708FB"/>
    <w:rsid w:val="0047185F"/>
    <w:rsid w:val="004719B5"/>
    <w:rsid w:val="00472DBD"/>
    <w:rsid w:val="00472F8A"/>
    <w:rsid w:val="004733A6"/>
    <w:rsid w:val="0047396E"/>
    <w:rsid w:val="00473FD4"/>
    <w:rsid w:val="004744D0"/>
    <w:rsid w:val="004749DE"/>
    <w:rsid w:val="004762FA"/>
    <w:rsid w:val="00476366"/>
    <w:rsid w:val="004766CA"/>
    <w:rsid w:val="00476C9E"/>
    <w:rsid w:val="00476E69"/>
    <w:rsid w:val="004776ED"/>
    <w:rsid w:val="0048029E"/>
    <w:rsid w:val="00480CA5"/>
    <w:rsid w:val="0048182B"/>
    <w:rsid w:val="00481EFE"/>
    <w:rsid w:val="00482067"/>
    <w:rsid w:val="00483BE9"/>
    <w:rsid w:val="00485521"/>
    <w:rsid w:val="00485763"/>
    <w:rsid w:val="00486B84"/>
    <w:rsid w:val="00491FC0"/>
    <w:rsid w:val="00496B43"/>
    <w:rsid w:val="0049768C"/>
    <w:rsid w:val="00497946"/>
    <w:rsid w:val="004A0337"/>
    <w:rsid w:val="004A0A68"/>
    <w:rsid w:val="004A0D10"/>
    <w:rsid w:val="004A0F0D"/>
    <w:rsid w:val="004A1A98"/>
    <w:rsid w:val="004A1D3D"/>
    <w:rsid w:val="004A2939"/>
    <w:rsid w:val="004A300A"/>
    <w:rsid w:val="004A321B"/>
    <w:rsid w:val="004A5633"/>
    <w:rsid w:val="004A5752"/>
    <w:rsid w:val="004A5F8A"/>
    <w:rsid w:val="004B10C3"/>
    <w:rsid w:val="004B2B17"/>
    <w:rsid w:val="004B2CF6"/>
    <w:rsid w:val="004B448E"/>
    <w:rsid w:val="004B47BC"/>
    <w:rsid w:val="004B5740"/>
    <w:rsid w:val="004B5F68"/>
    <w:rsid w:val="004B6AF1"/>
    <w:rsid w:val="004B79A9"/>
    <w:rsid w:val="004C1865"/>
    <w:rsid w:val="004C2E15"/>
    <w:rsid w:val="004C2E3C"/>
    <w:rsid w:val="004C3136"/>
    <w:rsid w:val="004C5AD7"/>
    <w:rsid w:val="004C7F37"/>
    <w:rsid w:val="004C7FE4"/>
    <w:rsid w:val="004D0015"/>
    <w:rsid w:val="004D03B3"/>
    <w:rsid w:val="004D0C77"/>
    <w:rsid w:val="004D10A3"/>
    <w:rsid w:val="004D2C07"/>
    <w:rsid w:val="004D3675"/>
    <w:rsid w:val="004D3AC3"/>
    <w:rsid w:val="004D4F3C"/>
    <w:rsid w:val="004D5745"/>
    <w:rsid w:val="004D5AEC"/>
    <w:rsid w:val="004E0811"/>
    <w:rsid w:val="004E3A59"/>
    <w:rsid w:val="004E426A"/>
    <w:rsid w:val="004E4DF1"/>
    <w:rsid w:val="004E5F17"/>
    <w:rsid w:val="004E6D10"/>
    <w:rsid w:val="004E6F49"/>
    <w:rsid w:val="004E7AA1"/>
    <w:rsid w:val="004F094D"/>
    <w:rsid w:val="004F1F8A"/>
    <w:rsid w:val="004F6E4F"/>
    <w:rsid w:val="00500767"/>
    <w:rsid w:val="00500AA9"/>
    <w:rsid w:val="005011E5"/>
    <w:rsid w:val="00502046"/>
    <w:rsid w:val="005034E0"/>
    <w:rsid w:val="00504DDB"/>
    <w:rsid w:val="005059EA"/>
    <w:rsid w:val="00506AE4"/>
    <w:rsid w:val="00510209"/>
    <w:rsid w:val="00510502"/>
    <w:rsid w:val="005116B4"/>
    <w:rsid w:val="00512D03"/>
    <w:rsid w:val="00513331"/>
    <w:rsid w:val="00513A07"/>
    <w:rsid w:val="00513CDE"/>
    <w:rsid w:val="00514628"/>
    <w:rsid w:val="005148C5"/>
    <w:rsid w:val="00515511"/>
    <w:rsid w:val="00516647"/>
    <w:rsid w:val="0051667C"/>
    <w:rsid w:val="0051752F"/>
    <w:rsid w:val="00517538"/>
    <w:rsid w:val="005226E3"/>
    <w:rsid w:val="00524451"/>
    <w:rsid w:val="005249D8"/>
    <w:rsid w:val="005268BB"/>
    <w:rsid w:val="00526C1E"/>
    <w:rsid w:val="0052708E"/>
    <w:rsid w:val="00527F86"/>
    <w:rsid w:val="00530DA5"/>
    <w:rsid w:val="00530FFD"/>
    <w:rsid w:val="005332F6"/>
    <w:rsid w:val="00533E6F"/>
    <w:rsid w:val="005361FA"/>
    <w:rsid w:val="005370AD"/>
    <w:rsid w:val="00537B2F"/>
    <w:rsid w:val="005407A5"/>
    <w:rsid w:val="0054173D"/>
    <w:rsid w:val="005417F0"/>
    <w:rsid w:val="00542E22"/>
    <w:rsid w:val="00542E8A"/>
    <w:rsid w:val="0054372D"/>
    <w:rsid w:val="0054396F"/>
    <w:rsid w:val="00543D43"/>
    <w:rsid w:val="00544648"/>
    <w:rsid w:val="00545871"/>
    <w:rsid w:val="005461C7"/>
    <w:rsid w:val="0054625D"/>
    <w:rsid w:val="00546BFA"/>
    <w:rsid w:val="00546F50"/>
    <w:rsid w:val="00551BD7"/>
    <w:rsid w:val="0055413F"/>
    <w:rsid w:val="00554D00"/>
    <w:rsid w:val="0055746E"/>
    <w:rsid w:val="00557807"/>
    <w:rsid w:val="005607B0"/>
    <w:rsid w:val="00561537"/>
    <w:rsid w:val="00561C13"/>
    <w:rsid w:val="0056293A"/>
    <w:rsid w:val="00563D30"/>
    <w:rsid w:val="00564C62"/>
    <w:rsid w:val="00566189"/>
    <w:rsid w:val="005668CF"/>
    <w:rsid w:val="00567F91"/>
    <w:rsid w:val="0057089E"/>
    <w:rsid w:val="00570A60"/>
    <w:rsid w:val="0057415A"/>
    <w:rsid w:val="00576788"/>
    <w:rsid w:val="005768CE"/>
    <w:rsid w:val="005776A9"/>
    <w:rsid w:val="005810E2"/>
    <w:rsid w:val="00581E57"/>
    <w:rsid w:val="00586DD9"/>
    <w:rsid w:val="00586FD6"/>
    <w:rsid w:val="00587280"/>
    <w:rsid w:val="00587D10"/>
    <w:rsid w:val="00587DC3"/>
    <w:rsid w:val="0059004C"/>
    <w:rsid w:val="005901D8"/>
    <w:rsid w:val="00591390"/>
    <w:rsid w:val="0059222A"/>
    <w:rsid w:val="0059278D"/>
    <w:rsid w:val="00592D04"/>
    <w:rsid w:val="00594830"/>
    <w:rsid w:val="00596AB7"/>
    <w:rsid w:val="0059711C"/>
    <w:rsid w:val="00597787"/>
    <w:rsid w:val="00597C7F"/>
    <w:rsid w:val="005A0430"/>
    <w:rsid w:val="005A142C"/>
    <w:rsid w:val="005A1B82"/>
    <w:rsid w:val="005A1CB8"/>
    <w:rsid w:val="005A21E2"/>
    <w:rsid w:val="005A2385"/>
    <w:rsid w:val="005A2D0A"/>
    <w:rsid w:val="005A45B7"/>
    <w:rsid w:val="005A4C7C"/>
    <w:rsid w:val="005A640C"/>
    <w:rsid w:val="005A7C02"/>
    <w:rsid w:val="005B1C7E"/>
    <w:rsid w:val="005B30C2"/>
    <w:rsid w:val="005B475A"/>
    <w:rsid w:val="005B5D9B"/>
    <w:rsid w:val="005B6985"/>
    <w:rsid w:val="005B69FE"/>
    <w:rsid w:val="005C100E"/>
    <w:rsid w:val="005C1C08"/>
    <w:rsid w:val="005C23D9"/>
    <w:rsid w:val="005C24BD"/>
    <w:rsid w:val="005C311A"/>
    <w:rsid w:val="005C36E7"/>
    <w:rsid w:val="005C3C2D"/>
    <w:rsid w:val="005C3E33"/>
    <w:rsid w:val="005C4E3B"/>
    <w:rsid w:val="005C7210"/>
    <w:rsid w:val="005C7953"/>
    <w:rsid w:val="005C79C5"/>
    <w:rsid w:val="005D21DC"/>
    <w:rsid w:val="005D2CBE"/>
    <w:rsid w:val="005D3E17"/>
    <w:rsid w:val="005D51CA"/>
    <w:rsid w:val="005E2333"/>
    <w:rsid w:val="005E30B1"/>
    <w:rsid w:val="005E4263"/>
    <w:rsid w:val="005E53EE"/>
    <w:rsid w:val="005E75B8"/>
    <w:rsid w:val="005E7DB3"/>
    <w:rsid w:val="005F04D0"/>
    <w:rsid w:val="005F0E53"/>
    <w:rsid w:val="005F0E73"/>
    <w:rsid w:val="005F0ED8"/>
    <w:rsid w:val="005F4016"/>
    <w:rsid w:val="005F42BA"/>
    <w:rsid w:val="005F4C0B"/>
    <w:rsid w:val="005F5895"/>
    <w:rsid w:val="005F6D36"/>
    <w:rsid w:val="005F704D"/>
    <w:rsid w:val="005F7B80"/>
    <w:rsid w:val="005F7F29"/>
    <w:rsid w:val="0060024A"/>
    <w:rsid w:val="00601E92"/>
    <w:rsid w:val="006024F0"/>
    <w:rsid w:val="00602E19"/>
    <w:rsid w:val="00607B45"/>
    <w:rsid w:val="00611033"/>
    <w:rsid w:val="00611AA3"/>
    <w:rsid w:val="00611F15"/>
    <w:rsid w:val="006128D5"/>
    <w:rsid w:val="00612F7A"/>
    <w:rsid w:val="00614661"/>
    <w:rsid w:val="00615993"/>
    <w:rsid w:val="00620802"/>
    <w:rsid w:val="00621804"/>
    <w:rsid w:val="006225D1"/>
    <w:rsid w:val="00622A3A"/>
    <w:rsid w:val="00622D42"/>
    <w:rsid w:val="0062655E"/>
    <w:rsid w:val="00627259"/>
    <w:rsid w:val="00630E9E"/>
    <w:rsid w:val="00631571"/>
    <w:rsid w:val="00632165"/>
    <w:rsid w:val="0063275B"/>
    <w:rsid w:val="00632A0D"/>
    <w:rsid w:val="00632BA8"/>
    <w:rsid w:val="00634D0A"/>
    <w:rsid w:val="00636446"/>
    <w:rsid w:val="0063796C"/>
    <w:rsid w:val="00642F6E"/>
    <w:rsid w:val="0064366A"/>
    <w:rsid w:val="00643DBC"/>
    <w:rsid w:val="006463D8"/>
    <w:rsid w:val="006500BA"/>
    <w:rsid w:val="00652E79"/>
    <w:rsid w:val="00657AAF"/>
    <w:rsid w:val="00660179"/>
    <w:rsid w:val="006620AA"/>
    <w:rsid w:val="00663D65"/>
    <w:rsid w:val="00664B34"/>
    <w:rsid w:val="00665595"/>
    <w:rsid w:val="006656D8"/>
    <w:rsid w:val="00667AB1"/>
    <w:rsid w:val="00667F70"/>
    <w:rsid w:val="00670340"/>
    <w:rsid w:val="006705DD"/>
    <w:rsid w:val="0067071E"/>
    <w:rsid w:val="00680044"/>
    <w:rsid w:val="0068038B"/>
    <w:rsid w:val="006809E3"/>
    <w:rsid w:val="00681042"/>
    <w:rsid w:val="0068132A"/>
    <w:rsid w:val="00682679"/>
    <w:rsid w:val="00682F97"/>
    <w:rsid w:val="00685317"/>
    <w:rsid w:val="00687E05"/>
    <w:rsid w:val="00693796"/>
    <w:rsid w:val="006937A8"/>
    <w:rsid w:val="006938A6"/>
    <w:rsid w:val="00694905"/>
    <w:rsid w:val="0069557F"/>
    <w:rsid w:val="00695597"/>
    <w:rsid w:val="00696CBF"/>
    <w:rsid w:val="00697BCD"/>
    <w:rsid w:val="006A019B"/>
    <w:rsid w:val="006A0FD3"/>
    <w:rsid w:val="006A1177"/>
    <w:rsid w:val="006A17DF"/>
    <w:rsid w:val="006A600B"/>
    <w:rsid w:val="006A64D4"/>
    <w:rsid w:val="006A6DA5"/>
    <w:rsid w:val="006A752D"/>
    <w:rsid w:val="006B076D"/>
    <w:rsid w:val="006B1374"/>
    <w:rsid w:val="006B15AB"/>
    <w:rsid w:val="006B1887"/>
    <w:rsid w:val="006B1F26"/>
    <w:rsid w:val="006B2192"/>
    <w:rsid w:val="006B5175"/>
    <w:rsid w:val="006B6034"/>
    <w:rsid w:val="006B7121"/>
    <w:rsid w:val="006B7D9F"/>
    <w:rsid w:val="006C2E02"/>
    <w:rsid w:val="006C6538"/>
    <w:rsid w:val="006C6950"/>
    <w:rsid w:val="006C6C31"/>
    <w:rsid w:val="006D03A6"/>
    <w:rsid w:val="006D060F"/>
    <w:rsid w:val="006D1A39"/>
    <w:rsid w:val="006D2622"/>
    <w:rsid w:val="006D32C4"/>
    <w:rsid w:val="006D449E"/>
    <w:rsid w:val="006D45F0"/>
    <w:rsid w:val="006D54BD"/>
    <w:rsid w:val="006D5E23"/>
    <w:rsid w:val="006D61DB"/>
    <w:rsid w:val="006D7C61"/>
    <w:rsid w:val="006E0B7B"/>
    <w:rsid w:val="006E351F"/>
    <w:rsid w:val="006E4001"/>
    <w:rsid w:val="006E4D83"/>
    <w:rsid w:val="006E4F29"/>
    <w:rsid w:val="006E5675"/>
    <w:rsid w:val="006F11AF"/>
    <w:rsid w:val="006F2166"/>
    <w:rsid w:val="006F2FF4"/>
    <w:rsid w:val="006F6164"/>
    <w:rsid w:val="006F7FF2"/>
    <w:rsid w:val="00700AC9"/>
    <w:rsid w:val="00701282"/>
    <w:rsid w:val="00701722"/>
    <w:rsid w:val="00703299"/>
    <w:rsid w:val="00703C64"/>
    <w:rsid w:val="00704B0E"/>
    <w:rsid w:val="00707C3E"/>
    <w:rsid w:val="0071072C"/>
    <w:rsid w:val="00711669"/>
    <w:rsid w:val="00711A50"/>
    <w:rsid w:val="00712CE2"/>
    <w:rsid w:val="007133AB"/>
    <w:rsid w:val="0071371E"/>
    <w:rsid w:val="00713AEA"/>
    <w:rsid w:val="00714F2C"/>
    <w:rsid w:val="00716460"/>
    <w:rsid w:val="0072041A"/>
    <w:rsid w:val="00720D19"/>
    <w:rsid w:val="00721002"/>
    <w:rsid w:val="00722111"/>
    <w:rsid w:val="00722495"/>
    <w:rsid w:val="00722B36"/>
    <w:rsid w:val="007249BA"/>
    <w:rsid w:val="00725118"/>
    <w:rsid w:val="00726AA8"/>
    <w:rsid w:val="00727EE4"/>
    <w:rsid w:val="0073188D"/>
    <w:rsid w:val="00731C5E"/>
    <w:rsid w:val="00732540"/>
    <w:rsid w:val="00732867"/>
    <w:rsid w:val="00732DCF"/>
    <w:rsid w:val="00733628"/>
    <w:rsid w:val="00735E42"/>
    <w:rsid w:val="007378C8"/>
    <w:rsid w:val="0074287F"/>
    <w:rsid w:val="0074437E"/>
    <w:rsid w:val="00745BD3"/>
    <w:rsid w:val="0074631B"/>
    <w:rsid w:val="007464E3"/>
    <w:rsid w:val="00750142"/>
    <w:rsid w:val="00750690"/>
    <w:rsid w:val="0075104C"/>
    <w:rsid w:val="0075170A"/>
    <w:rsid w:val="00751DD8"/>
    <w:rsid w:val="00751E8B"/>
    <w:rsid w:val="00755B45"/>
    <w:rsid w:val="00757C27"/>
    <w:rsid w:val="0076084A"/>
    <w:rsid w:val="00761563"/>
    <w:rsid w:val="0076230F"/>
    <w:rsid w:val="007639BE"/>
    <w:rsid w:val="00763AE8"/>
    <w:rsid w:val="0076463C"/>
    <w:rsid w:val="00765C12"/>
    <w:rsid w:val="00766D96"/>
    <w:rsid w:val="00767BD9"/>
    <w:rsid w:val="00770467"/>
    <w:rsid w:val="00770A6D"/>
    <w:rsid w:val="0077217F"/>
    <w:rsid w:val="0077288B"/>
    <w:rsid w:val="0077354D"/>
    <w:rsid w:val="00775D3A"/>
    <w:rsid w:val="00777103"/>
    <w:rsid w:val="00780289"/>
    <w:rsid w:val="00782A39"/>
    <w:rsid w:val="00782FD5"/>
    <w:rsid w:val="0078374D"/>
    <w:rsid w:val="00786765"/>
    <w:rsid w:val="00787065"/>
    <w:rsid w:val="0079294D"/>
    <w:rsid w:val="007931A2"/>
    <w:rsid w:val="00793D4F"/>
    <w:rsid w:val="00795089"/>
    <w:rsid w:val="00795EDD"/>
    <w:rsid w:val="00796424"/>
    <w:rsid w:val="00796A15"/>
    <w:rsid w:val="00796ABF"/>
    <w:rsid w:val="00797092"/>
    <w:rsid w:val="007A1F39"/>
    <w:rsid w:val="007A2963"/>
    <w:rsid w:val="007A5E82"/>
    <w:rsid w:val="007A5ECA"/>
    <w:rsid w:val="007A6005"/>
    <w:rsid w:val="007A6EC8"/>
    <w:rsid w:val="007A7B5F"/>
    <w:rsid w:val="007B06C6"/>
    <w:rsid w:val="007B105D"/>
    <w:rsid w:val="007B1BB0"/>
    <w:rsid w:val="007B2624"/>
    <w:rsid w:val="007B278D"/>
    <w:rsid w:val="007B3646"/>
    <w:rsid w:val="007B47F2"/>
    <w:rsid w:val="007B5275"/>
    <w:rsid w:val="007B6797"/>
    <w:rsid w:val="007B6F00"/>
    <w:rsid w:val="007B70C4"/>
    <w:rsid w:val="007B784C"/>
    <w:rsid w:val="007B7C63"/>
    <w:rsid w:val="007B7F8C"/>
    <w:rsid w:val="007C11A7"/>
    <w:rsid w:val="007C152B"/>
    <w:rsid w:val="007C157E"/>
    <w:rsid w:val="007C2046"/>
    <w:rsid w:val="007C28A3"/>
    <w:rsid w:val="007C3399"/>
    <w:rsid w:val="007C5535"/>
    <w:rsid w:val="007C5D40"/>
    <w:rsid w:val="007C676A"/>
    <w:rsid w:val="007C69D8"/>
    <w:rsid w:val="007C7072"/>
    <w:rsid w:val="007D1CF0"/>
    <w:rsid w:val="007D2155"/>
    <w:rsid w:val="007D2924"/>
    <w:rsid w:val="007D35E5"/>
    <w:rsid w:val="007D36F3"/>
    <w:rsid w:val="007D45FF"/>
    <w:rsid w:val="007D6A8A"/>
    <w:rsid w:val="007D7613"/>
    <w:rsid w:val="007D77CF"/>
    <w:rsid w:val="007E05E2"/>
    <w:rsid w:val="007E1D09"/>
    <w:rsid w:val="007E21CC"/>
    <w:rsid w:val="007E2893"/>
    <w:rsid w:val="007E3974"/>
    <w:rsid w:val="007E52A5"/>
    <w:rsid w:val="007E61A5"/>
    <w:rsid w:val="007E754C"/>
    <w:rsid w:val="007E766D"/>
    <w:rsid w:val="007F086C"/>
    <w:rsid w:val="007F2BF7"/>
    <w:rsid w:val="007F2D66"/>
    <w:rsid w:val="007F3BFD"/>
    <w:rsid w:val="007F3DEA"/>
    <w:rsid w:val="007F508E"/>
    <w:rsid w:val="007F50A8"/>
    <w:rsid w:val="007F57C6"/>
    <w:rsid w:val="007F5826"/>
    <w:rsid w:val="007F5D2C"/>
    <w:rsid w:val="007F6595"/>
    <w:rsid w:val="007F7404"/>
    <w:rsid w:val="007F75D2"/>
    <w:rsid w:val="00800A1E"/>
    <w:rsid w:val="00800F93"/>
    <w:rsid w:val="00804146"/>
    <w:rsid w:val="00804AB7"/>
    <w:rsid w:val="008051C3"/>
    <w:rsid w:val="008052A4"/>
    <w:rsid w:val="008052DF"/>
    <w:rsid w:val="008058DA"/>
    <w:rsid w:val="008069D2"/>
    <w:rsid w:val="00812BA1"/>
    <w:rsid w:val="00812BFB"/>
    <w:rsid w:val="008131B4"/>
    <w:rsid w:val="00813D72"/>
    <w:rsid w:val="00817133"/>
    <w:rsid w:val="00821C57"/>
    <w:rsid w:val="00822166"/>
    <w:rsid w:val="00822CE8"/>
    <w:rsid w:val="00823034"/>
    <w:rsid w:val="008230D7"/>
    <w:rsid w:val="00823743"/>
    <w:rsid w:val="00824ED9"/>
    <w:rsid w:val="0082589D"/>
    <w:rsid w:val="00825FBF"/>
    <w:rsid w:val="008320BE"/>
    <w:rsid w:val="008333EA"/>
    <w:rsid w:val="00833CD1"/>
    <w:rsid w:val="00836B1D"/>
    <w:rsid w:val="00840121"/>
    <w:rsid w:val="00840471"/>
    <w:rsid w:val="0084363B"/>
    <w:rsid w:val="00845A53"/>
    <w:rsid w:val="00846137"/>
    <w:rsid w:val="00846E2F"/>
    <w:rsid w:val="00850227"/>
    <w:rsid w:val="00851E7C"/>
    <w:rsid w:val="00853458"/>
    <w:rsid w:val="00853A3B"/>
    <w:rsid w:val="00854F89"/>
    <w:rsid w:val="00855574"/>
    <w:rsid w:val="00856DF0"/>
    <w:rsid w:val="0085717B"/>
    <w:rsid w:val="008604C9"/>
    <w:rsid w:val="00860DE7"/>
    <w:rsid w:val="008662A8"/>
    <w:rsid w:val="00867624"/>
    <w:rsid w:val="00870CFD"/>
    <w:rsid w:val="00870DB1"/>
    <w:rsid w:val="00872E0D"/>
    <w:rsid w:val="00873EFF"/>
    <w:rsid w:val="00874E58"/>
    <w:rsid w:val="00875735"/>
    <w:rsid w:val="00875A69"/>
    <w:rsid w:val="00875E6F"/>
    <w:rsid w:val="0087625F"/>
    <w:rsid w:val="008765D9"/>
    <w:rsid w:val="00877253"/>
    <w:rsid w:val="00877472"/>
    <w:rsid w:val="00877F28"/>
    <w:rsid w:val="00877F48"/>
    <w:rsid w:val="00880A10"/>
    <w:rsid w:val="00881423"/>
    <w:rsid w:val="0088321D"/>
    <w:rsid w:val="0088397A"/>
    <w:rsid w:val="00884267"/>
    <w:rsid w:val="00884C67"/>
    <w:rsid w:val="00885A82"/>
    <w:rsid w:val="00885D76"/>
    <w:rsid w:val="0088623B"/>
    <w:rsid w:val="0088672F"/>
    <w:rsid w:val="00886E9F"/>
    <w:rsid w:val="0088706B"/>
    <w:rsid w:val="0088789A"/>
    <w:rsid w:val="00887947"/>
    <w:rsid w:val="0089053D"/>
    <w:rsid w:val="00891D95"/>
    <w:rsid w:val="008933AB"/>
    <w:rsid w:val="00897A03"/>
    <w:rsid w:val="008A00BF"/>
    <w:rsid w:val="008A1445"/>
    <w:rsid w:val="008A21C5"/>
    <w:rsid w:val="008A2D3E"/>
    <w:rsid w:val="008A3BA3"/>
    <w:rsid w:val="008A415C"/>
    <w:rsid w:val="008A5081"/>
    <w:rsid w:val="008B0E5B"/>
    <w:rsid w:val="008B179E"/>
    <w:rsid w:val="008B1C9B"/>
    <w:rsid w:val="008B3016"/>
    <w:rsid w:val="008B3A54"/>
    <w:rsid w:val="008B3A9C"/>
    <w:rsid w:val="008B3E93"/>
    <w:rsid w:val="008B4C9A"/>
    <w:rsid w:val="008B7357"/>
    <w:rsid w:val="008B799B"/>
    <w:rsid w:val="008C3315"/>
    <w:rsid w:val="008C3943"/>
    <w:rsid w:val="008C396C"/>
    <w:rsid w:val="008C4C0F"/>
    <w:rsid w:val="008C6B06"/>
    <w:rsid w:val="008D13EB"/>
    <w:rsid w:val="008D5C27"/>
    <w:rsid w:val="008E0585"/>
    <w:rsid w:val="008E0881"/>
    <w:rsid w:val="008E176C"/>
    <w:rsid w:val="008E4AB6"/>
    <w:rsid w:val="008E684B"/>
    <w:rsid w:val="008E6AB7"/>
    <w:rsid w:val="008E70C9"/>
    <w:rsid w:val="008F03B0"/>
    <w:rsid w:val="008F1441"/>
    <w:rsid w:val="008F1754"/>
    <w:rsid w:val="008F1B23"/>
    <w:rsid w:val="008F1FE8"/>
    <w:rsid w:val="008F25FA"/>
    <w:rsid w:val="008F2E66"/>
    <w:rsid w:val="008F30A9"/>
    <w:rsid w:val="008F471D"/>
    <w:rsid w:val="008F6075"/>
    <w:rsid w:val="008F7CE5"/>
    <w:rsid w:val="00903583"/>
    <w:rsid w:val="0090370D"/>
    <w:rsid w:val="0090540A"/>
    <w:rsid w:val="0090595D"/>
    <w:rsid w:val="00905974"/>
    <w:rsid w:val="00910A78"/>
    <w:rsid w:val="0091175D"/>
    <w:rsid w:val="00912432"/>
    <w:rsid w:val="0091447E"/>
    <w:rsid w:val="00914781"/>
    <w:rsid w:val="009153B0"/>
    <w:rsid w:val="009161CE"/>
    <w:rsid w:val="0091665C"/>
    <w:rsid w:val="00917745"/>
    <w:rsid w:val="0091774E"/>
    <w:rsid w:val="00917EC0"/>
    <w:rsid w:val="009200E9"/>
    <w:rsid w:val="0092037B"/>
    <w:rsid w:val="00920811"/>
    <w:rsid w:val="0092383F"/>
    <w:rsid w:val="00924566"/>
    <w:rsid w:val="00924964"/>
    <w:rsid w:val="00925993"/>
    <w:rsid w:val="00925C29"/>
    <w:rsid w:val="00926EE2"/>
    <w:rsid w:val="0093011F"/>
    <w:rsid w:val="00930662"/>
    <w:rsid w:val="00930D40"/>
    <w:rsid w:val="009324EB"/>
    <w:rsid w:val="00932827"/>
    <w:rsid w:val="00933226"/>
    <w:rsid w:val="00933B37"/>
    <w:rsid w:val="00934055"/>
    <w:rsid w:val="00936ABF"/>
    <w:rsid w:val="00936BAB"/>
    <w:rsid w:val="00940EB5"/>
    <w:rsid w:val="00941744"/>
    <w:rsid w:val="00941ADA"/>
    <w:rsid w:val="00941EA3"/>
    <w:rsid w:val="009425D1"/>
    <w:rsid w:val="009439C3"/>
    <w:rsid w:val="00944BCB"/>
    <w:rsid w:val="00945689"/>
    <w:rsid w:val="00946208"/>
    <w:rsid w:val="00947C44"/>
    <w:rsid w:val="00947DCF"/>
    <w:rsid w:val="00951643"/>
    <w:rsid w:val="00953D97"/>
    <w:rsid w:val="00955BC4"/>
    <w:rsid w:val="009569BA"/>
    <w:rsid w:val="00956A57"/>
    <w:rsid w:val="009571DB"/>
    <w:rsid w:val="00957E9E"/>
    <w:rsid w:val="0096041D"/>
    <w:rsid w:val="00960573"/>
    <w:rsid w:val="00961F83"/>
    <w:rsid w:val="00963708"/>
    <w:rsid w:val="00966260"/>
    <w:rsid w:val="00967406"/>
    <w:rsid w:val="00971E00"/>
    <w:rsid w:val="0097270B"/>
    <w:rsid w:val="00972777"/>
    <w:rsid w:val="00972BD5"/>
    <w:rsid w:val="009738D3"/>
    <w:rsid w:val="0097498A"/>
    <w:rsid w:val="00974DF7"/>
    <w:rsid w:val="00976102"/>
    <w:rsid w:val="009763FB"/>
    <w:rsid w:val="00977848"/>
    <w:rsid w:val="0098148E"/>
    <w:rsid w:val="00981DEA"/>
    <w:rsid w:val="00985534"/>
    <w:rsid w:val="00985F3C"/>
    <w:rsid w:val="0098605A"/>
    <w:rsid w:val="00986B14"/>
    <w:rsid w:val="00987220"/>
    <w:rsid w:val="0098747B"/>
    <w:rsid w:val="00987FAA"/>
    <w:rsid w:val="009920C3"/>
    <w:rsid w:val="0099280D"/>
    <w:rsid w:val="009928BB"/>
    <w:rsid w:val="00993736"/>
    <w:rsid w:val="00996A25"/>
    <w:rsid w:val="0099755F"/>
    <w:rsid w:val="009A05B6"/>
    <w:rsid w:val="009A080B"/>
    <w:rsid w:val="009A0CE1"/>
    <w:rsid w:val="009A19BD"/>
    <w:rsid w:val="009A1F07"/>
    <w:rsid w:val="009A27DE"/>
    <w:rsid w:val="009A3032"/>
    <w:rsid w:val="009A32B7"/>
    <w:rsid w:val="009A32C7"/>
    <w:rsid w:val="009A4896"/>
    <w:rsid w:val="009B0E38"/>
    <w:rsid w:val="009B2202"/>
    <w:rsid w:val="009B3F6C"/>
    <w:rsid w:val="009B4A5D"/>
    <w:rsid w:val="009B53C6"/>
    <w:rsid w:val="009B5B17"/>
    <w:rsid w:val="009B5BC3"/>
    <w:rsid w:val="009B66EF"/>
    <w:rsid w:val="009B7782"/>
    <w:rsid w:val="009C0B86"/>
    <w:rsid w:val="009C11F4"/>
    <w:rsid w:val="009C15BC"/>
    <w:rsid w:val="009C1BDC"/>
    <w:rsid w:val="009C47EB"/>
    <w:rsid w:val="009C6459"/>
    <w:rsid w:val="009C77F2"/>
    <w:rsid w:val="009D00C3"/>
    <w:rsid w:val="009D049E"/>
    <w:rsid w:val="009D0E58"/>
    <w:rsid w:val="009D2F82"/>
    <w:rsid w:val="009D7DC2"/>
    <w:rsid w:val="009E0E01"/>
    <w:rsid w:val="009E0E2A"/>
    <w:rsid w:val="009E158B"/>
    <w:rsid w:val="009E1623"/>
    <w:rsid w:val="009E35F3"/>
    <w:rsid w:val="009E67CB"/>
    <w:rsid w:val="009F00A5"/>
    <w:rsid w:val="009F1CF6"/>
    <w:rsid w:val="009F4A32"/>
    <w:rsid w:val="00A00E87"/>
    <w:rsid w:val="00A010B5"/>
    <w:rsid w:val="00A03786"/>
    <w:rsid w:val="00A03926"/>
    <w:rsid w:val="00A03ED5"/>
    <w:rsid w:val="00A04061"/>
    <w:rsid w:val="00A0641C"/>
    <w:rsid w:val="00A06CE7"/>
    <w:rsid w:val="00A072CC"/>
    <w:rsid w:val="00A10157"/>
    <w:rsid w:val="00A10B1A"/>
    <w:rsid w:val="00A11AA2"/>
    <w:rsid w:val="00A11C67"/>
    <w:rsid w:val="00A1303D"/>
    <w:rsid w:val="00A13DB3"/>
    <w:rsid w:val="00A14721"/>
    <w:rsid w:val="00A148D9"/>
    <w:rsid w:val="00A1671D"/>
    <w:rsid w:val="00A16DE0"/>
    <w:rsid w:val="00A17650"/>
    <w:rsid w:val="00A17857"/>
    <w:rsid w:val="00A206FE"/>
    <w:rsid w:val="00A209C7"/>
    <w:rsid w:val="00A20F48"/>
    <w:rsid w:val="00A214E5"/>
    <w:rsid w:val="00A21DD0"/>
    <w:rsid w:val="00A22020"/>
    <w:rsid w:val="00A22216"/>
    <w:rsid w:val="00A240FF"/>
    <w:rsid w:val="00A24465"/>
    <w:rsid w:val="00A2494B"/>
    <w:rsid w:val="00A27178"/>
    <w:rsid w:val="00A273CE"/>
    <w:rsid w:val="00A30EDE"/>
    <w:rsid w:val="00A3155D"/>
    <w:rsid w:val="00A32208"/>
    <w:rsid w:val="00A35F5C"/>
    <w:rsid w:val="00A367E6"/>
    <w:rsid w:val="00A374FC"/>
    <w:rsid w:val="00A4220D"/>
    <w:rsid w:val="00A4281E"/>
    <w:rsid w:val="00A4340C"/>
    <w:rsid w:val="00A43F86"/>
    <w:rsid w:val="00A44892"/>
    <w:rsid w:val="00A448BA"/>
    <w:rsid w:val="00A44914"/>
    <w:rsid w:val="00A46940"/>
    <w:rsid w:val="00A50A31"/>
    <w:rsid w:val="00A51077"/>
    <w:rsid w:val="00A52A6E"/>
    <w:rsid w:val="00A53216"/>
    <w:rsid w:val="00A54DBB"/>
    <w:rsid w:val="00A553E9"/>
    <w:rsid w:val="00A55AE3"/>
    <w:rsid w:val="00A57782"/>
    <w:rsid w:val="00A57FC8"/>
    <w:rsid w:val="00A60C6B"/>
    <w:rsid w:val="00A61CF9"/>
    <w:rsid w:val="00A62F66"/>
    <w:rsid w:val="00A6300E"/>
    <w:rsid w:val="00A64AE5"/>
    <w:rsid w:val="00A65BF3"/>
    <w:rsid w:val="00A7047C"/>
    <w:rsid w:val="00A72B59"/>
    <w:rsid w:val="00A73D72"/>
    <w:rsid w:val="00A73F09"/>
    <w:rsid w:val="00A74066"/>
    <w:rsid w:val="00A745BC"/>
    <w:rsid w:val="00A754EB"/>
    <w:rsid w:val="00A77179"/>
    <w:rsid w:val="00A8093A"/>
    <w:rsid w:val="00A82F0E"/>
    <w:rsid w:val="00A83C1A"/>
    <w:rsid w:val="00A843B7"/>
    <w:rsid w:val="00A84E54"/>
    <w:rsid w:val="00A8552D"/>
    <w:rsid w:val="00A865CE"/>
    <w:rsid w:val="00A86C91"/>
    <w:rsid w:val="00A87826"/>
    <w:rsid w:val="00A87B93"/>
    <w:rsid w:val="00A91526"/>
    <w:rsid w:val="00A92AD1"/>
    <w:rsid w:val="00A93739"/>
    <w:rsid w:val="00A964B8"/>
    <w:rsid w:val="00A97818"/>
    <w:rsid w:val="00A97848"/>
    <w:rsid w:val="00AA0101"/>
    <w:rsid w:val="00AA1E0E"/>
    <w:rsid w:val="00AA20CA"/>
    <w:rsid w:val="00AA3B9F"/>
    <w:rsid w:val="00AA4CB9"/>
    <w:rsid w:val="00AA4EB5"/>
    <w:rsid w:val="00AA50D0"/>
    <w:rsid w:val="00AA6437"/>
    <w:rsid w:val="00AA6C74"/>
    <w:rsid w:val="00AB0590"/>
    <w:rsid w:val="00AB2CF1"/>
    <w:rsid w:val="00AB31AC"/>
    <w:rsid w:val="00AB4028"/>
    <w:rsid w:val="00AB52CE"/>
    <w:rsid w:val="00AB7028"/>
    <w:rsid w:val="00AB7390"/>
    <w:rsid w:val="00AB7A01"/>
    <w:rsid w:val="00AC0047"/>
    <w:rsid w:val="00AC3383"/>
    <w:rsid w:val="00AC43FD"/>
    <w:rsid w:val="00AC630A"/>
    <w:rsid w:val="00AC7F2B"/>
    <w:rsid w:val="00AD0BEF"/>
    <w:rsid w:val="00AD27A3"/>
    <w:rsid w:val="00AD4B21"/>
    <w:rsid w:val="00AD65B8"/>
    <w:rsid w:val="00AE09D2"/>
    <w:rsid w:val="00AE270D"/>
    <w:rsid w:val="00AE2F32"/>
    <w:rsid w:val="00AF12DE"/>
    <w:rsid w:val="00AF1EE9"/>
    <w:rsid w:val="00AF2C6A"/>
    <w:rsid w:val="00AF3E93"/>
    <w:rsid w:val="00AF4A28"/>
    <w:rsid w:val="00AF69B7"/>
    <w:rsid w:val="00AF6CD7"/>
    <w:rsid w:val="00B0165C"/>
    <w:rsid w:val="00B01E1E"/>
    <w:rsid w:val="00B03094"/>
    <w:rsid w:val="00B054D3"/>
    <w:rsid w:val="00B05916"/>
    <w:rsid w:val="00B10412"/>
    <w:rsid w:val="00B107F4"/>
    <w:rsid w:val="00B10F14"/>
    <w:rsid w:val="00B12659"/>
    <w:rsid w:val="00B12E9D"/>
    <w:rsid w:val="00B1554E"/>
    <w:rsid w:val="00B156E3"/>
    <w:rsid w:val="00B1576B"/>
    <w:rsid w:val="00B1639D"/>
    <w:rsid w:val="00B1772B"/>
    <w:rsid w:val="00B17ABB"/>
    <w:rsid w:val="00B20EC1"/>
    <w:rsid w:val="00B2145A"/>
    <w:rsid w:val="00B21FE3"/>
    <w:rsid w:val="00B224E6"/>
    <w:rsid w:val="00B22776"/>
    <w:rsid w:val="00B230FC"/>
    <w:rsid w:val="00B23642"/>
    <w:rsid w:val="00B23C8C"/>
    <w:rsid w:val="00B30C1F"/>
    <w:rsid w:val="00B30EB1"/>
    <w:rsid w:val="00B31DF9"/>
    <w:rsid w:val="00B31EEF"/>
    <w:rsid w:val="00B337E0"/>
    <w:rsid w:val="00B346AE"/>
    <w:rsid w:val="00B35F02"/>
    <w:rsid w:val="00B36DCD"/>
    <w:rsid w:val="00B401EE"/>
    <w:rsid w:val="00B41C33"/>
    <w:rsid w:val="00B426C3"/>
    <w:rsid w:val="00B4355D"/>
    <w:rsid w:val="00B43F20"/>
    <w:rsid w:val="00B44317"/>
    <w:rsid w:val="00B44768"/>
    <w:rsid w:val="00B45958"/>
    <w:rsid w:val="00B46251"/>
    <w:rsid w:val="00B46A91"/>
    <w:rsid w:val="00B4744D"/>
    <w:rsid w:val="00B476B4"/>
    <w:rsid w:val="00B4789B"/>
    <w:rsid w:val="00B51C49"/>
    <w:rsid w:val="00B51E40"/>
    <w:rsid w:val="00B5280F"/>
    <w:rsid w:val="00B529DB"/>
    <w:rsid w:val="00B539BE"/>
    <w:rsid w:val="00B559B9"/>
    <w:rsid w:val="00B55B0F"/>
    <w:rsid w:val="00B55BE1"/>
    <w:rsid w:val="00B55DCA"/>
    <w:rsid w:val="00B56FE1"/>
    <w:rsid w:val="00B57373"/>
    <w:rsid w:val="00B60126"/>
    <w:rsid w:val="00B62445"/>
    <w:rsid w:val="00B6301D"/>
    <w:rsid w:val="00B631C4"/>
    <w:rsid w:val="00B63628"/>
    <w:rsid w:val="00B651D4"/>
    <w:rsid w:val="00B66797"/>
    <w:rsid w:val="00B731DD"/>
    <w:rsid w:val="00B73403"/>
    <w:rsid w:val="00B74353"/>
    <w:rsid w:val="00B76026"/>
    <w:rsid w:val="00B77F33"/>
    <w:rsid w:val="00B805D4"/>
    <w:rsid w:val="00B80E5A"/>
    <w:rsid w:val="00B81062"/>
    <w:rsid w:val="00B86C16"/>
    <w:rsid w:val="00B91E02"/>
    <w:rsid w:val="00B92466"/>
    <w:rsid w:val="00B927E3"/>
    <w:rsid w:val="00B9414B"/>
    <w:rsid w:val="00B94777"/>
    <w:rsid w:val="00B95643"/>
    <w:rsid w:val="00B95B8F"/>
    <w:rsid w:val="00B95D34"/>
    <w:rsid w:val="00B96052"/>
    <w:rsid w:val="00B9686D"/>
    <w:rsid w:val="00B97410"/>
    <w:rsid w:val="00B979A3"/>
    <w:rsid w:val="00BA03CE"/>
    <w:rsid w:val="00BA05B0"/>
    <w:rsid w:val="00BA32A3"/>
    <w:rsid w:val="00BA371E"/>
    <w:rsid w:val="00BA3B99"/>
    <w:rsid w:val="00BA517E"/>
    <w:rsid w:val="00BA537A"/>
    <w:rsid w:val="00BA70F2"/>
    <w:rsid w:val="00BB2CF3"/>
    <w:rsid w:val="00BB334D"/>
    <w:rsid w:val="00BB3B84"/>
    <w:rsid w:val="00BB5D7C"/>
    <w:rsid w:val="00BB6DDD"/>
    <w:rsid w:val="00BC03B1"/>
    <w:rsid w:val="00BC060E"/>
    <w:rsid w:val="00BC1D30"/>
    <w:rsid w:val="00BC235D"/>
    <w:rsid w:val="00BC28E2"/>
    <w:rsid w:val="00BC28F4"/>
    <w:rsid w:val="00BC2C3B"/>
    <w:rsid w:val="00BC5E73"/>
    <w:rsid w:val="00BC7302"/>
    <w:rsid w:val="00BD06CF"/>
    <w:rsid w:val="00BD3618"/>
    <w:rsid w:val="00BD3831"/>
    <w:rsid w:val="00BD6ECC"/>
    <w:rsid w:val="00BE0366"/>
    <w:rsid w:val="00BE0FF5"/>
    <w:rsid w:val="00BE2007"/>
    <w:rsid w:val="00BE2B94"/>
    <w:rsid w:val="00BE2FF6"/>
    <w:rsid w:val="00BE3573"/>
    <w:rsid w:val="00BE54AF"/>
    <w:rsid w:val="00BE6191"/>
    <w:rsid w:val="00BE78CD"/>
    <w:rsid w:val="00BF0C06"/>
    <w:rsid w:val="00BF0CAE"/>
    <w:rsid w:val="00BF5711"/>
    <w:rsid w:val="00BF5CFA"/>
    <w:rsid w:val="00C000EC"/>
    <w:rsid w:val="00C01778"/>
    <w:rsid w:val="00C01A85"/>
    <w:rsid w:val="00C01F79"/>
    <w:rsid w:val="00C03356"/>
    <w:rsid w:val="00C04909"/>
    <w:rsid w:val="00C05D64"/>
    <w:rsid w:val="00C062A5"/>
    <w:rsid w:val="00C07D36"/>
    <w:rsid w:val="00C1247B"/>
    <w:rsid w:val="00C1289A"/>
    <w:rsid w:val="00C12FD1"/>
    <w:rsid w:val="00C13245"/>
    <w:rsid w:val="00C13340"/>
    <w:rsid w:val="00C143EE"/>
    <w:rsid w:val="00C15BD5"/>
    <w:rsid w:val="00C17780"/>
    <w:rsid w:val="00C17D4A"/>
    <w:rsid w:val="00C22F52"/>
    <w:rsid w:val="00C254E5"/>
    <w:rsid w:val="00C30106"/>
    <w:rsid w:val="00C308B8"/>
    <w:rsid w:val="00C331F5"/>
    <w:rsid w:val="00C33816"/>
    <w:rsid w:val="00C33F61"/>
    <w:rsid w:val="00C35C32"/>
    <w:rsid w:val="00C367C6"/>
    <w:rsid w:val="00C3687F"/>
    <w:rsid w:val="00C36D30"/>
    <w:rsid w:val="00C3724B"/>
    <w:rsid w:val="00C37878"/>
    <w:rsid w:val="00C3791A"/>
    <w:rsid w:val="00C40181"/>
    <w:rsid w:val="00C40710"/>
    <w:rsid w:val="00C412DC"/>
    <w:rsid w:val="00C446EC"/>
    <w:rsid w:val="00C4484F"/>
    <w:rsid w:val="00C450FB"/>
    <w:rsid w:val="00C47946"/>
    <w:rsid w:val="00C501DE"/>
    <w:rsid w:val="00C50B8D"/>
    <w:rsid w:val="00C5234E"/>
    <w:rsid w:val="00C528B5"/>
    <w:rsid w:val="00C53082"/>
    <w:rsid w:val="00C55C52"/>
    <w:rsid w:val="00C5640E"/>
    <w:rsid w:val="00C57243"/>
    <w:rsid w:val="00C61F46"/>
    <w:rsid w:val="00C620B6"/>
    <w:rsid w:val="00C620FA"/>
    <w:rsid w:val="00C623F7"/>
    <w:rsid w:val="00C627C6"/>
    <w:rsid w:val="00C63D4E"/>
    <w:rsid w:val="00C64B20"/>
    <w:rsid w:val="00C650B9"/>
    <w:rsid w:val="00C711B5"/>
    <w:rsid w:val="00C711D6"/>
    <w:rsid w:val="00C7462B"/>
    <w:rsid w:val="00C77121"/>
    <w:rsid w:val="00C77367"/>
    <w:rsid w:val="00C77851"/>
    <w:rsid w:val="00C81DB3"/>
    <w:rsid w:val="00C82369"/>
    <w:rsid w:val="00C842EA"/>
    <w:rsid w:val="00C85C5D"/>
    <w:rsid w:val="00C85DEA"/>
    <w:rsid w:val="00C87607"/>
    <w:rsid w:val="00C87645"/>
    <w:rsid w:val="00C90F31"/>
    <w:rsid w:val="00C91537"/>
    <w:rsid w:val="00C91658"/>
    <w:rsid w:val="00C92969"/>
    <w:rsid w:val="00C92B1B"/>
    <w:rsid w:val="00C9379C"/>
    <w:rsid w:val="00C93AD6"/>
    <w:rsid w:val="00C94012"/>
    <w:rsid w:val="00C9429C"/>
    <w:rsid w:val="00C947BB"/>
    <w:rsid w:val="00C952F6"/>
    <w:rsid w:val="00C95317"/>
    <w:rsid w:val="00C9541E"/>
    <w:rsid w:val="00C95A86"/>
    <w:rsid w:val="00C97654"/>
    <w:rsid w:val="00C97A5C"/>
    <w:rsid w:val="00C97B35"/>
    <w:rsid w:val="00CA0478"/>
    <w:rsid w:val="00CA04C4"/>
    <w:rsid w:val="00CA1116"/>
    <w:rsid w:val="00CA31B0"/>
    <w:rsid w:val="00CA479E"/>
    <w:rsid w:val="00CA679E"/>
    <w:rsid w:val="00CA67D5"/>
    <w:rsid w:val="00CA6A4C"/>
    <w:rsid w:val="00CA6D7E"/>
    <w:rsid w:val="00CB1822"/>
    <w:rsid w:val="00CB2A34"/>
    <w:rsid w:val="00CB3F41"/>
    <w:rsid w:val="00CB44F0"/>
    <w:rsid w:val="00CB4FF4"/>
    <w:rsid w:val="00CB504D"/>
    <w:rsid w:val="00CB5D0D"/>
    <w:rsid w:val="00CB69B4"/>
    <w:rsid w:val="00CB6DA4"/>
    <w:rsid w:val="00CB7EF1"/>
    <w:rsid w:val="00CC0D2C"/>
    <w:rsid w:val="00CC12C4"/>
    <w:rsid w:val="00CC16E1"/>
    <w:rsid w:val="00CC481D"/>
    <w:rsid w:val="00CC5195"/>
    <w:rsid w:val="00CC529F"/>
    <w:rsid w:val="00CC55C3"/>
    <w:rsid w:val="00CC627E"/>
    <w:rsid w:val="00CC6815"/>
    <w:rsid w:val="00CC6944"/>
    <w:rsid w:val="00CC6D5B"/>
    <w:rsid w:val="00CD0C47"/>
    <w:rsid w:val="00CD0D27"/>
    <w:rsid w:val="00CD1544"/>
    <w:rsid w:val="00CD2562"/>
    <w:rsid w:val="00CD3444"/>
    <w:rsid w:val="00CD590D"/>
    <w:rsid w:val="00CD6EA6"/>
    <w:rsid w:val="00CD7023"/>
    <w:rsid w:val="00CE10AE"/>
    <w:rsid w:val="00CE3D8D"/>
    <w:rsid w:val="00CE52E9"/>
    <w:rsid w:val="00CE6D4B"/>
    <w:rsid w:val="00CF172D"/>
    <w:rsid w:val="00CF1A2E"/>
    <w:rsid w:val="00CF3B9B"/>
    <w:rsid w:val="00CF4B74"/>
    <w:rsid w:val="00CF4BC9"/>
    <w:rsid w:val="00CF5749"/>
    <w:rsid w:val="00CF5A1C"/>
    <w:rsid w:val="00D033E3"/>
    <w:rsid w:val="00D03FF9"/>
    <w:rsid w:val="00D07129"/>
    <w:rsid w:val="00D076C6"/>
    <w:rsid w:val="00D11296"/>
    <w:rsid w:val="00D1164E"/>
    <w:rsid w:val="00D12B7C"/>
    <w:rsid w:val="00D12EE3"/>
    <w:rsid w:val="00D12FE4"/>
    <w:rsid w:val="00D155CE"/>
    <w:rsid w:val="00D17912"/>
    <w:rsid w:val="00D201EF"/>
    <w:rsid w:val="00D20B1A"/>
    <w:rsid w:val="00D20D48"/>
    <w:rsid w:val="00D212C6"/>
    <w:rsid w:val="00D22424"/>
    <w:rsid w:val="00D2415E"/>
    <w:rsid w:val="00D25D18"/>
    <w:rsid w:val="00D26FC3"/>
    <w:rsid w:val="00D32293"/>
    <w:rsid w:val="00D324E4"/>
    <w:rsid w:val="00D339EB"/>
    <w:rsid w:val="00D33C8C"/>
    <w:rsid w:val="00D34672"/>
    <w:rsid w:val="00D358C0"/>
    <w:rsid w:val="00D36F19"/>
    <w:rsid w:val="00D37A13"/>
    <w:rsid w:val="00D40493"/>
    <w:rsid w:val="00D41B86"/>
    <w:rsid w:val="00D41EBC"/>
    <w:rsid w:val="00D427F1"/>
    <w:rsid w:val="00D44881"/>
    <w:rsid w:val="00D45319"/>
    <w:rsid w:val="00D45BD6"/>
    <w:rsid w:val="00D50E48"/>
    <w:rsid w:val="00D518A6"/>
    <w:rsid w:val="00D5352C"/>
    <w:rsid w:val="00D55496"/>
    <w:rsid w:val="00D554A9"/>
    <w:rsid w:val="00D55A0D"/>
    <w:rsid w:val="00D55AD0"/>
    <w:rsid w:val="00D56D2A"/>
    <w:rsid w:val="00D60873"/>
    <w:rsid w:val="00D609D6"/>
    <w:rsid w:val="00D621ED"/>
    <w:rsid w:val="00D64A57"/>
    <w:rsid w:val="00D65EA2"/>
    <w:rsid w:val="00D660DE"/>
    <w:rsid w:val="00D66C55"/>
    <w:rsid w:val="00D70A67"/>
    <w:rsid w:val="00D71962"/>
    <w:rsid w:val="00D72605"/>
    <w:rsid w:val="00D726FE"/>
    <w:rsid w:val="00D73127"/>
    <w:rsid w:val="00D7339B"/>
    <w:rsid w:val="00D734FE"/>
    <w:rsid w:val="00D73AC1"/>
    <w:rsid w:val="00D74796"/>
    <w:rsid w:val="00D74937"/>
    <w:rsid w:val="00D752A5"/>
    <w:rsid w:val="00D77207"/>
    <w:rsid w:val="00D80529"/>
    <w:rsid w:val="00D80851"/>
    <w:rsid w:val="00D84CC8"/>
    <w:rsid w:val="00D8657A"/>
    <w:rsid w:val="00D868EF"/>
    <w:rsid w:val="00D904A7"/>
    <w:rsid w:val="00D9208D"/>
    <w:rsid w:val="00D9327A"/>
    <w:rsid w:val="00D951F7"/>
    <w:rsid w:val="00D9528F"/>
    <w:rsid w:val="00D96375"/>
    <w:rsid w:val="00D968D1"/>
    <w:rsid w:val="00D970A1"/>
    <w:rsid w:val="00D97315"/>
    <w:rsid w:val="00D9799F"/>
    <w:rsid w:val="00DA0092"/>
    <w:rsid w:val="00DA015B"/>
    <w:rsid w:val="00DA0DBB"/>
    <w:rsid w:val="00DA1ABF"/>
    <w:rsid w:val="00DA2AC1"/>
    <w:rsid w:val="00DA3446"/>
    <w:rsid w:val="00DA3E5A"/>
    <w:rsid w:val="00DA522C"/>
    <w:rsid w:val="00DA5C1A"/>
    <w:rsid w:val="00DA6011"/>
    <w:rsid w:val="00DB0BF0"/>
    <w:rsid w:val="00DB10C4"/>
    <w:rsid w:val="00DB1264"/>
    <w:rsid w:val="00DB1308"/>
    <w:rsid w:val="00DB2DE8"/>
    <w:rsid w:val="00DB40DE"/>
    <w:rsid w:val="00DB4E15"/>
    <w:rsid w:val="00DB58F0"/>
    <w:rsid w:val="00DB59CC"/>
    <w:rsid w:val="00DB5D7C"/>
    <w:rsid w:val="00DC038B"/>
    <w:rsid w:val="00DC0EB7"/>
    <w:rsid w:val="00DC17BE"/>
    <w:rsid w:val="00DC2D96"/>
    <w:rsid w:val="00DC2EE9"/>
    <w:rsid w:val="00DC373A"/>
    <w:rsid w:val="00DC3BB6"/>
    <w:rsid w:val="00DD171D"/>
    <w:rsid w:val="00DD2977"/>
    <w:rsid w:val="00DD3553"/>
    <w:rsid w:val="00DD36DB"/>
    <w:rsid w:val="00DD38B5"/>
    <w:rsid w:val="00DD46CE"/>
    <w:rsid w:val="00DD5439"/>
    <w:rsid w:val="00DD56AE"/>
    <w:rsid w:val="00DD5CEF"/>
    <w:rsid w:val="00DD67FC"/>
    <w:rsid w:val="00DD7822"/>
    <w:rsid w:val="00DD79CD"/>
    <w:rsid w:val="00DD7AA5"/>
    <w:rsid w:val="00DE2A91"/>
    <w:rsid w:val="00DE55E3"/>
    <w:rsid w:val="00DE626B"/>
    <w:rsid w:val="00DE6981"/>
    <w:rsid w:val="00DE74C8"/>
    <w:rsid w:val="00DE7C8F"/>
    <w:rsid w:val="00DF08AE"/>
    <w:rsid w:val="00DF0E2A"/>
    <w:rsid w:val="00DF3348"/>
    <w:rsid w:val="00DF53CE"/>
    <w:rsid w:val="00DF5B36"/>
    <w:rsid w:val="00DF6A0F"/>
    <w:rsid w:val="00DF70DA"/>
    <w:rsid w:val="00DF74BA"/>
    <w:rsid w:val="00DF7C72"/>
    <w:rsid w:val="00E00762"/>
    <w:rsid w:val="00E01D03"/>
    <w:rsid w:val="00E02045"/>
    <w:rsid w:val="00E04073"/>
    <w:rsid w:val="00E0471C"/>
    <w:rsid w:val="00E0538F"/>
    <w:rsid w:val="00E076C0"/>
    <w:rsid w:val="00E1031F"/>
    <w:rsid w:val="00E104FB"/>
    <w:rsid w:val="00E11D9C"/>
    <w:rsid w:val="00E1227C"/>
    <w:rsid w:val="00E15311"/>
    <w:rsid w:val="00E1737A"/>
    <w:rsid w:val="00E20886"/>
    <w:rsid w:val="00E220D6"/>
    <w:rsid w:val="00E255F1"/>
    <w:rsid w:val="00E30073"/>
    <w:rsid w:val="00E306A8"/>
    <w:rsid w:val="00E326A4"/>
    <w:rsid w:val="00E329C0"/>
    <w:rsid w:val="00E33192"/>
    <w:rsid w:val="00E335F4"/>
    <w:rsid w:val="00E33D60"/>
    <w:rsid w:val="00E34DC8"/>
    <w:rsid w:val="00E351BD"/>
    <w:rsid w:val="00E36D6F"/>
    <w:rsid w:val="00E371C5"/>
    <w:rsid w:val="00E40CF6"/>
    <w:rsid w:val="00E41202"/>
    <w:rsid w:val="00E4121A"/>
    <w:rsid w:val="00E42E8F"/>
    <w:rsid w:val="00E430CF"/>
    <w:rsid w:val="00E4338F"/>
    <w:rsid w:val="00E439E8"/>
    <w:rsid w:val="00E43FA4"/>
    <w:rsid w:val="00E4487B"/>
    <w:rsid w:val="00E44D92"/>
    <w:rsid w:val="00E46EB0"/>
    <w:rsid w:val="00E52C37"/>
    <w:rsid w:val="00E53D38"/>
    <w:rsid w:val="00E54237"/>
    <w:rsid w:val="00E5675A"/>
    <w:rsid w:val="00E572F4"/>
    <w:rsid w:val="00E57524"/>
    <w:rsid w:val="00E57838"/>
    <w:rsid w:val="00E60897"/>
    <w:rsid w:val="00E614D9"/>
    <w:rsid w:val="00E6277D"/>
    <w:rsid w:val="00E63B9D"/>
    <w:rsid w:val="00E64B0A"/>
    <w:rsid w:val="00E6577F"/>
    <w:rsid w:val="00E65DC9"/>
    <w:rsid w:val="00E65F1B"/>
    <w:rsid w:val="00E6781F"/>
    <w:rsid w:val="00E7020F"/>
    <w:rsid w:val="00E72EC2"/>
    <w:rsid w:val="00E73EFF"/>
    <w:rsid w:val="00E77F57"/>
    <w:rsid w:val="00E814C5"/>
    <w:rsid w:val="00E815D5"/>
    <w:rsid w:val="00E81ADE"/>
    <w:rsid w:val="00E81B92"/>
    <w:rsid w:val="00E837A5"/>
    <w:rsid w:val="00E8429E"/>
    <w:rsid w:val="00E843F0"/>
    <w:rsid w:val="00E85157"/>
    <w:rsid w:val="00E862E4"/>
    <w:rsid w:val="00E8678C"/>
    <w:rsid w:val="00E90A95"/>
    <w:rsid w:val="00E92209"/>
    <w:rsid w:val="00E92EA5"/>
    <w:rsid w:val="00E96863"/>
    <w:rsid w:val="00E976D3"/>
    <w:rsid w:val="00EA06E8"/>
    <w:rsid w:val="00EA16EA"/>
    <w:rsid w:val="00EA1AA9"/>
    <w:rsid w:val="00EA2429"/>
    <w:rsid w:val="00EA3DF2"/>
    <w:rsid w:val="00EA61D5"/>
    <w:rsid w:val="00EA6EC9"/>
    <w:rsid w:val="00EA782F"/>
    <w:rsid w:val="00EB0310"/>
    <w:rsid w:val="00EB076B"/>
    <w:rsid w:val="00EB1053"/>
    <w:rsid w:val="00EB2E14"/>
    <w:rsid w:val="00EB48C6"/>
    <w:rsid w:val="00EB4AF5"/>
    <w:rsid w:val="00EB5102"/>
    <w:rsid w:val="00EB554C"/>
    <w:rsid w:val="00EB59FE"/>
    <w:rsid w:val="00EB60BF"/>
    <w:rsid w:val="00EB71AB"/>
    <w:rsid w:val="00EB7AA5"/>
    <w:rsid w:val="00EC1FFE"/>
    <w:rsid w:val="00EC56D7"/>
    <w:rsid w:val="00EC7802"/>
    <w:rsid w:val="00ED1E96"/>
    <w:rsid w:val="00ED318F"/>
    <w:rsid w:val="00ED4310"/>
    <w:rsid w:val="00ED4B5C"/>
    <w:rsid w:val="00ED4C79"/>
    <w:rsid w:val="00ED597B"/>
    <w:rsid w:val="00ED6482"/>
    <w:rsid w:val="00ED7D7F"/>
    <w:rsid w:val="00EE3D2C"/>
    <w:rsid w:val="00EE3F16"/>
    <w:rsid w:val="00EE4976"/>
    <w:rsid w:val="00EE4C28"/>
    <w:rsid w:val="00EE540B"/>
    <w:rsid w:val="00EE74B3"/>
    <w:rsid w:val="00EE7527"/>
    <w:rsid w:val="00EE7C1E"/>
    <w:rsid w:val="00EF09E5"/>
    <w:rsid w:val="00EF0BAE"/>
    <w:rsid w:val="00EF0DB8"/>
    <w:rsid w:val="00EF2001"/>
    <w:rsid w:val="00EF33BC"/>
    <w:rsid w:val="00EF3CE1"/>
    <w:rsid w:val="00EF40BC"/>
    <w:rsid w:val="00EF47AF"/>
    <w:rsid w:val="00EF621B"/>
    <w:rsid w:val="00EF656B"/>
    <w:rsid w:val="00EF6A6B"/>
    <w:rsid w:val="00EF75DF"/>
    <w:rsid w:val="00F00B8A"/>
    <w:rsid w:val="00F01269"/>
    <w:rsid w:val="00F02133"/>
    <w:rsid w:val="00F02141"/>
    <w:rsid w:val="00F04688"/>
    <w:rsid w:val="00F04DA1"/>
    <w:rsid w:val="00F108F0"/>
    <w:rsid w:val="00F10AC4"/>
    <w:rsid w:val="00F12585"/>
    <w:rsid w:val="00F13398"/>
    <w:rsid w:val="00F1499A"/>
    <w:rsid w:val="00F15496"/>
    <w:rsid w:val="00F1712B"/>
    <w:rsid w:val="00F17E30"/>
    <w:rsid w:val="00F2138E"/>
    <w:rsid w:val="00F22D86"/>
    <w:rsid w:val="00F2367E"/>
    <w:rsid w:val="00F24833"/>
    <w:rsid w:val="00F2492F"/>
    <w:rsid w:val="00F26F33"/>
    <w:rsid w:val="00F3120B"/>
    <w:rsid w:val="00F325B2"/>
    <w:rsid w:val="00F334F8"/>
    <w:rsid w:val="00F34E0F"/>
    <w:rsid w:val="00F350EB"/>
    <w:rsid w:val="00F355D8"/>
    <w:rsid w:val="00F366ED"/>
    <w:rsid w:val="00F3783F"/>
    <w:rsid w:val="00F4022A"/>
    <w:rsid w:val="00F410CD"/>
    <w:rsid w:val="00F41197"/>
    <w:rsid w:val="00F44A93"/>
    <w:rsid w:val="00F45366"/>
    <w:rsid w:val="00F45F1F"/>
    <w:rsid w:val="00F4706C"/>
    <w:rsid w:val="00F47A59"/>
    <w:rsid w:val="00F50BF6"/>
    <w:rsid w:val="00F5174D"/>
    <w:rsid w:val="00F5197F"/>
    <w:rsid w:val="00F5371E"/>
    <w:rsid w:val="00F548D2"/>
    <w:rsid w:val="00F56184"/>
    <w:rsid w:val="00F564F4"/>
    <w:rsid w:val="00F57B2B"/>
    <w:rsid w:val="00F603FA"/>
    <w:rsid w:val="00F60B37"/>
    <w:rsid w:val="00F614DD"/>
    <w:rsid w:val="00F62DE9"/>
    <w:rsid w:val="00F63974"/>
    <w:rsid w:val="00F64031"/>
    <w:rsid w:val="00F640F9"/>
    <w:rsid w:val="00F66075"/>
    <w:rsid w:val="00F66AB4"/>
    <w:rsid w:val="00F676A1"/>
    <w:rsid w:val="00F71A38"/>
    <w:rsid w:val="00F72019"/>
    <w:rsid w:val="00F72A84"/>
    <w:rsid w:val="00F75299"/>
    <w:rsid w:val="00F75EE3"/>
    <w:rsid w:val="00F82429"/>
    <w:rsid w:val="00F82BB8"/>
    <w:rsid w:val="00F831A0"/>
    <w:rsid w:val="00F83527"/>
    <w:rsid w:val="00F836A5"/>
    <w:rsid w:val="00F837A6"/>
    <w:rsid w:val="00F840C8"/>
    <w:rsid w:val="00F85589"/>
    <w:rsid w:val="00F85E7F"/>
    <w:rsid w:val="00F85FE1"/>
    <w:rsid w:val="00F8672B"/>
    <w:rsid w:val="00F86972"/>
    <w:rsid w:val="00F86A5D"/>
    <w:rsid w:val="00F916C8"/>
    <w:rsid w:val="00F92F53"/>
    <w:rsid w:val="00F93BFF"/>
    <w:rsid w:val="00F94706"/>
    <w:rsid w:val="00F9498D"/>
    <w:rsid w:val="00F94A64"/>
    <w:rsid w:val="00F96462"/>
    <w:rsid w:val="00F966F1"/>
    <w:rsid w:val="00FA0F2B"/>
    <w:rsid w:val="00FA12BF"/>
    <w:rsid w:val="00FA2A94"/>
    <w:rsid w:val="00FA3174"/>
    <w:rsid w:val="00FA324D"/>
    <w:rsid w:val="00FA5597"/>
    <w:rsid w:val="00FA60E1"/>
    <w:rsid w:val="00FA7D5C"/>
    <w:rsid w:val="00FB0C51"/>
    <w:rsid w:val="00FB0E1E"/>
    <w:rsid w:val="00FB2760"/>
    <w:rsid w:val="00FB2D41"/>
    <w:rsid w:val="00FB3BFE"/>
    <w:rsid w:val="00FB49EE"/>
    <w:rsid w:val="00FB5154"/>
    <w:rsid w:val="00FB51F4"/>
    <w:rsid w:val="00FB5E15"/>
    <w:rsid w:val="00FB764B"/>
    <w:rsid w:val="00FB7B87"/>
    <w:rsid w:val="00FB7F68"/>
    <w:rsid w:val="00FC0190"/>
    <w:rsid w:val="00FC14BB"/>
    <w:rsid w:val="00FC2E67"/>
    <w:rsid w:val="00FC5367"/>
    <w:rsid w:val="00FC5522"/>
    <w:rsid w:val="00FC797C"/>
    <w:rsid w:val="00FD1A12"/>
    <w:rsid w:val="00FD1ED5"/>
    <w:rsid w:val="00FD203C"/>
    <w:rsid w:val="00FD2C7E"/>
    <w:rsid w:val="00FD39CD"/>
    <w:rsid w:val="00FD43BF"/>
    <w:rsid w:val="00FD4560"/>
    <w:rsid w:val="00FD46D6"/>
    <w:rsid w:val="00FD5220"/>
    <w:rsid w:val="00FD54D1"/>
    <w:rsid w:val="00FD5C8A"/>
    <w:rsid w:val="00FD67AA"/>
    <w:rsid w:val="00FD6CAA"/>
    <w:rsid w:val="00FD6E14"/>
    <w:rsid w:val="00FE0324"/>
    <w:rsid w:val="00FE0C04"/>
    <w:rsid w:val="00FE2E6A"/>
    <w:rsid w:val="00FE4ED8"/>
    <w:rsid w:val="00FE6340"/>
    <w:rsid w:val="00FE7B37"/>
    <w:rsid w:val="00FF3142"/>
    <w:rsid w:val="00FF390B"/>
    <w:rsid w:val="00FF6791"/>
    <w:rsid w:val="00FF6C9D"/>
    <w:rsid w:val="00FF7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51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15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B51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B5154"/>
  </w:style>
  <w:style w:type="paragraph" w:styleId="Pieddepage">
    <w:name w:val="footer"/>
    <w:basedOn w:val="Normal"/>
    <w:link w:val="PieddepageCar"/>
    <w:uiPriority w:val="99"/>
    <w:unhideWhenUsed/>
    <w:rsid w:val="00FB51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5154"/>
  </w:style>
  <w:style w:type="paragraph" w:styleId="Paragraphedeliste">
    <w:name w:val="List Paragraph"/>
    <w:basedOn w:val="Normal"/>
    <w:uiPriority w:val="34"/>
    <w:qFormat/>
    <w:rsid w:val="00FB51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51E40"/>
    <w:rPr>
      <w:color w:val="0000FF"/>
      <w:u w:val="single"/>
    </w:rPr>
  </w:style>
  <w:style w:type="character" w:customStyle="1" w:styleId="hps">
    <w:name w:val="hps"/>
    <w:basedOn w:val="Policepardfaut"/>
    <w:rsid w:val="009569BA"/>
  </w:style>
  <w:style w:type="table" w:styleId="Grilledutableau">
    <w:name w:val="Table Grid"/>
    <w:basedOn w:val="TableauNormal"/>
    <w:uiPriority w:val="59"/>
    <w:rsid w:val="00751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ECM-2008-2020\2020\RESULTATS\resultatseECM(trim1-08-trim1-2020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ECM-2008-2020\2020\RESULTATS\resultatseECM(trim1-08-trim1-2020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ECM-2008-2020\2020\RESULTATS\resultatseECM(trim1-08-trim1-2020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ECM-2008-2020\2020\RESULTATS\resultatseECM(trim1-08-trim1-2020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ECM-2008-2020\2020\RESULTATS\resultatseECM(trim1-08-trim1-2020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ECM-2008-2020\2020\RESULTATS\resultatseECM(trim1-08-trim1-2020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lang="en-US" sz="1400"/>
            </a:pPr>
            <a:r>
              <a:rPr lang="ar-MA" sz="1800" b="1" i="0" baseline="0"/>
              <a:t>تطور مؤشر الثقة للأسر المغربية </a:t>
            </a:r>
            <a:endParaRPr lang="fr-FR" sz="14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'tableau note fr'!$A$4</c:f>
              <c:strCache>
                <c:ptCount val="1"/>
                <c:pt idx="0">
                  <c:v>Indice de Confiance des Ménages</c:v>
                </c:pt>
              </c:strCache>
            </c:strRef>
          </c:tx>
          <c:dPt>
            <c:idx val="44"/>
            <c:spPr>
              <a:solidFill>
                <a:schemeClr val="accent5">
                  <a:lumMod val="20000"/>
                  <a:lumOff val="80000"/>
                </a:schemeClr>
              </a:solidFill>
            </c:spPr>
          </c:dPt>
          <c:dPt>
            <c:idx val="47"/>
            <c:spPr>
              <a:solidFill>
                <a:schemeClr val="accent5">
                  <a:lumMod val="20000"/>
                  <a:lumOff val="80000"/>
                </a:schemeClr>
              </a:solidFill>
            </c:spPr>
          </c:dPt>
          <c:dPt>
            <c:idx val="48"/>
            <c:spPr>
              <a:solidFill>
                <a:schemeClr val="accent5">
                  <a:lumMod val="20000"/>
                  <a:lumOff val="80000"/>
                </a:schemeClr>
              </a:solidFill>
            </c:spPr>
          </c:dPt>
          <c:dLbls>
            <c:dLbl>
              <c:idx val="44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7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8"/>
              <c:showVal val="1"/>
              <c:extLst>
                <c:ext xmlns:c15="http://schemas.microsoft.com/office/drawing/2012/chart" uri="{CE6537A1-D6FC-4f65-9D91-7224C49458BB}"/>
              </c:extLst>
            </c:dLbl>
            <c:delete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'tableau note fr'!$B$3:$AX$3</c:f>
              <c:strCache>
                <c:ptCount val="4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</c:strCache>
            </c:strRef>
          </c:cat>
          <c:val>
            <c:numRef>
              <c:f>'tableau note fr'!$B$4:$AX$4</c:f>
              <c:numCache>
                <c:formatCode>0.0</c:formatCode>
                <c:ptCount val="49"/>
                <c:pt idx="0">
                  <c:v>85.866502294191648</c:v>
                </c:pt>
                <c:pt idx="1">
                  <c:v>77.678707955853156</c:v>
                </c:pt>
                <c:pt idx="2">
                  <c:v>75.552480635756439</c:v>
                </c:pt>
                <c:pt idx="3">
                  <c:v>80.13688403490454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80.136086093619184</c:v>
                </c:pt>
                <c:pt idx="9">
                  <c:v>78.833388330574323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78.406406130604864</c:v>
                </c:pt>
                <c:pt idx="13">
                  <c:v>85.789532632532598</c:v>
                </c:pt>
                <c:pt idx="14">
                  <c:v>86.506225251482533</c:v>
                </c:pt>
                <c:pt idx="15">
                  <c:v>84.477214694877006</c:v>
                </c:pt>
                <c:pt idx="16">
                  <c:v>82.880478542821621</c:v>
                </c:pt>
                <c:pt idx="17">
                  <c:v>80.673652783725359</c:v>
                </c:pt>
                <c:pt idx="18">
                  <c:v>77.553867036569429</c:v>
                </c:pt>
                <c:pt idx="19">
                  <c:v>78.4033536813495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74.110620959005971</c:v>
                </c:pt>
                <c:pt idx="25">
                  <c:v>74.014553099961589</c:v>
                </c:pt>
                <c:pt idx="26">
                  <c:v>73.148145370690258</c:v>
                </c:pt>
                <c:pt idx="27">
                  <c:v>71.583460003653755</c:v>
                </c:pt>
                <c:pt idx="28">
                  <c:v>73.659282965035374</c:v>
                </c:pt>
                <c:pt idx="29">
                  <c:v>76.125099572807926</c:v>
                </c:pt>
                <c:pt idx="30">
                  <c:v>76.315005733686036</c:v>
                </c:pt>
                <c:pt idx="31">
                  <c:v>77.131028825386352</c:v>
                </c:pt>
                <c:pt idx="32">
                  <c:v>71.648499016392478</c:v>
                </c:pt>
                <c:pt idx="33">
                  <c:v>75.703427371681059</c:v>
                </c:pt>
                <c:pt idx="34">
                  <c:v>73.804891243097046</c:v>
                </c:pt>
                <c:pt idx="35">
                  <c:v>73.539376287214708</c:v>
                </c:pt>
                <c:pt idx="36">
                  <c:v>78.230698468980961</c:v>
                </c:pt>
                <c:pt idx="37">
                  <c:v>85.8</c:v>
                </c:pt>
                <c:pt idx="38">
                  <c:v>85.5</c:v>
                </c:pt>
                <c:pt idx="39">
                  <c:v>85.9</c:v>
                </c:pt>
                <c:pt idx="40">
                  <c:v>87.317111388814197</c:v>
                </c:pt>
                <c:pt idx="41">
                  <c:v>87.279337774029315</c:v>
                </c:pt>
                <c:pt idx="42">
                  <c:v>82.473279380066572</c:v>
                </c:pt>
                <c:pt idx="43">
                  <c:v>79.8</c:v>
                </c:pt>
                <c:pt idx="44">
                  <c:v>79.104981863169826</c:v>
                </c:pt>
                <c:pt idx="45">
                  <c:v>74.905107002702309</c:v>
                </c:pt>
                <c:pt idx="46">
                  <c:v>74.821311833193974</c:v>
                </c:pt>
                <c:pt idx="47">
                  <c:v>77.783342120372509</c:v>
                </c:pt>
                <c:pt idx="48">
                  <c:v>75.733160637772443</c:v>
                </c:pt>
              </c:numCache>
            </c:numRef>
          </c:val>
        </c:ser>
        <c:axId val="91646976"/>
        <c:axId val="91648768"/>
      </c:barChart>
      <c:catAx>
        <c:axId val="9164697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lang="en-US" sz="700"/>
            </a:pPr>
            <a:endParaRPr lang="fr-FR"/>
          </a:p>
        </c:txPr>
        <c:crossAx val="91648768"/>
        <c:crosses val="autoZero"/>
        <c:auto val="1"/>
        <c:lblAlgn val="ctr"/>
        <c:lblOffset val="100"/>
      </c:catAx>
      <c:valAx>
        <c:axId val="91648768"/>
        <c:scaling>
          <c:orientation val="minMax"/>
          <c:min val="50"/>
        </c:scaling>
        <c:axPos val="l"/>
        <c:numFmt formatCode="#,##0" sourceLinked="0"/>
        <c:tickLblPos val="nextTo"/>
        <c:txPr>
          <a:bodyPr/>
          <a:lstStyle/>
          <a:p>
            <a:pPr>
              <a:defRPr lang="en-US" sz="900"/>
            </a:pPr>
            <a:endParaRPr lang="fr-FR"/>
          </a:p>
        </c:txPr>
        <c:crossAx val="91646976"/>
        <c:crosses val="autoZero"/>
        <c:crossBetween val="between"/>
      </c:valAx>
    </c:plotArea>
    <c:plotVisOnly val="1"/>
    <c:dispBlanksAs val="gap"/>
  </c:chart>
  <c:spPr>
    <a:ln w="3175"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400" b="1" i="0" baseline="0"/>
              <a:t>تصور الأسر للتطور السابق و المستقبلي للمستوى العام للمعيشة</a:t>
            </a:r>
            <a:r>
              <a:rPr lang="fr-FR" sz="1400" b="1" i="0" baseline="0"/>
              <a:t> </a:t>
            </a:r>
            <a:r>
              <a:rPr lang="ar-MA" sz="1400" b="1" i="0" baseline="0"/>
              <a:t>(أرصدة الآراء)</a:t>
            </a:r>
            <a:endParaRPr lang="fr-FR" sz="14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400" b="1" i="0" baseline="0"/>
          </a:p>
        </c:rich>
      </c:tx>
    </c:title>
    <c:plotArea>
      <c:layout>
        <c:manualLayout>
          <c:layoutTarget val="inner"/>
          <c:xMode val="edge"/>
          <c:yMode val="edge"/>
          <c:x val="6.9236021175992007E-2"/>
          <c:y val="0.30350298556406047"/>
          <c:w val="0.90676282704361133"/>
          <c:h val="0.52667294537523546"/>
        </c:manualLayout>
      </c:layout>
      <c:lineChart>
        <c:grouping val="standard"/>
        <c:ser>
          <c:idx val="0"/>
          <c:order val="0"/>
          <c:tx>
            <c:strRef>
              <c:f>'tableau note ar'!$A$4</c:f>
              <c:strCache>
                <c:ptCount val="1"/>
                <c:pt idx="0">
                  <c:v>التطور السابق لمستوى المعيشة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ar'!$B$1:$AX$1</c:f>
              <c:strCache>
                <c:ptCount val="4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</c:strCache>
            </c:strRef>
          </c:cat>
          <c:val>
            <c:numRef>
              <c:f>'tableau note ar'!$B$4:$AX$4</c:f>
              <c:numCache>
                <c:formatCode>#,##0.0</c:formatCode>
                <c:ptCount val="49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-31.141291421499709</c:v>
                </c:pt>
                <c:pt idx="3">
                  <c:v>-29.393844818665297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-26.546435956901792</c:v>
                </c:pt>
                <c:pt idx="8">
                  <c:v>-25.723634629573016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-37.236760344983367</c:v>
                </c:pt>
                <c:pt idx="12">
                  <c:v>-26.050959167650049</c:v>
                </c:pt>
                <c:pt idx="13">
                  <c:v>-16.961438303130901</c:v>
                </c:pt>
                <c:pt idx="14">
                  <c:v>-13.439142519852007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-28.088708351168684</c:v>
                </c:pt>
                <c:pt idx="20">
                  <c:v>-29.212341127418195</c:v>
                </c:pt>
                <c:pt idx="21">
                  <c:v>-23.10286448398206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-18.060219769201893</c:v>
                </c:pt>
                <c:pt idx="25">
                  <c:v>-17.740461010850293</c:v>
                </c:pt>
                <c:pt idx="26">
                  <c:v>-17.387590506775648</c:v>
                </c:pt>
                <c:pt idx="27">
                  <c:v>-16.459915505713987</c:v>
                </c:pt>
                <c:pt idx="28">
                  <c:v>-14.108179132101393</c:v>
                </c:pt>
                <c:pt idx="29">
                  <c:v>-12.785821926678448</c:v>
                </c:pt>
                <c:pt idx="30">
                  <c:v>-15.129825087046068</c:v>
                </c:pt>
                <c:pt idx="31">
                  <c:v>-13.828410383657548</c:v>
                </c:pt>
                <c:pt idx="32">
                  <c:v>-22.864633579953804</c:v>
                </c:pt>
                <c:pt idx="33">
                  <c:v>-15.196177330129153</c:v>
                </c:pt>
                <c:pt idx="34">
                  <c:v>-17.372021059071617</c:v>
                </c:pt>
                <c:pt idx="35">
                  <c:v>-17.464225574589356</c:v>
                </c:pt>
                <c:pt idx="36">
                  <c:v>-11.99022852050258</c:v>
                </c:pt>
                <c:pt idx="37">
                  <c:v>-8.1644944099805006</c:v>
                </c:pt>
                <c:pt idx="38">
                  <c:v>-3.1370023233621227</c:v>
                </c:pt>
                <c:pt idx="39">
                  <c:v>-3.7719246964283601</c:v>
                </c:pt>
                <c:pt idx="40">
                  <c:v>-6.24696090915109</c:v>
                </c:pt>
                <c:pt idx="41">
                  <c:v>-5.3830093381329069</c:v>
                </c:pt>
                <c:pt idx="42">
                  <c:v>-9.5049571220917919</c:v>
                </c:pt>
                <c:pt idx="43">
                  <c:v>-13.3</c:v>
                </c:pt>
                <c:pt idx="44">
                  <c:v>-14.967427927122971</c:v>
                </c:pt>
                <c:pt idx="45">
                  <c:v>-25.353008106891476</c:v>
                </c:pt>
                <c:pt idx="46" formatCode="0.0">
                  <c:v>-20.237097183526259</c:v>
                </c:pt>
                <c:pt idx="47" formatCode="0.0">
                  <c:v>-19.996896512157349</c:v>
                </c:pt>
                <c:pt idx="48" formatCode="0.0">
                  <c:v>-19.767991560587593</c:v>
                </c:pt>
              </c:numCache>
            </c:numRef>
          </c:val>
        </c:ser>
        <c:ser>
          <c:idx val="1"/>
          <c:order val="1"/>
          <c:tx>
            <c:strRef>
              <c:f>'tableau note ar'!$A$5</c:f>
              <c:strCache>
                <c:ptCount val="1"/>
                <c:pt idx="0">
                  <c:v>التطور المستقبلي لمستوى المعيشة</c:v>
                </c:pt>
              </c:strCache>
            </c:strRef>
          </c:tx>
          <c:cat>
            <c:strRef>
              <c:f>'tableau note ar'!$B$1:$AX$1</c:f>
              <c:strCache>
                <c:ptCount val="4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</c:strCache>
            </c:strRef>
          </c:cat>
          <c:val>
            <c:numRef>
              <c:f>'tableau note ar'!$B$5:$AX$5</c:f>
              <c:numCache>
                <c:formatCode>#,##0.0</c:formatCode>
                <c:ptCount val="49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-3.4692228168248271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8.4334302751112769E-2</c:v>
                </c:pt>
                <c:pt idx="7">
                  <c:v>2.1853913991610052</c:v>
                </c:pt>
                <c:pt idx="8">
                  <c:v>0.39154986438085576</c:v>
                </c:pt>
                <c:pt idx="9">
                  <c:v>2.7314646872285109</c:v>
                </c:pt>
                <c:pt idx="10">
                  <c:v>0.19418325799955122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18.132139936578813</c:v>
                </c:pt>
                <c:pt idx="14">
                  <c:v>11.870106120928281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-4.2068608448306417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-11.389732068783596</c:v>
                </c:pt>
                <c:pt idx="25">
                  <c:v>-13.063768224593518</c:v>
                </c:pt>
                <c:pt idx="26">
                  <c:v>-13.090700094553394</c:v>
                </c:pt>
                <c:pt idx="27">
                  <c:v>-12.672429336417752</c:v>
                </c:pt>
                <c:pt idx="28">
                  <c:v>-8.8537661336825266</c:v>
                </c:pt>
                <c:pt idx="29">
                  <c:v>-7.2727206831161784</c:v>
                </c:pt>
                <c:pt idx="30">
                  <c:v>-7.7131091840762114</c:v>
                </c:pt>
                <c:pt idx="31">
                  <c:v>-8.0828133778612727</c:v>
                </c:pt>
                <c:pt idx="32">
                  <c:v>-14.22824639578895</c:v>
                </c:pt>
                <c:pt idx="33">
                  <c:v>-7.5906192549525784</c:v>
                </c:pt>
                <c:pt idx="34">
                  <c:v>-7.0591296227720894</c:v>
                </c:pt>
                <c:pt idx="35">
                  <c:v>-2.3745123557304657</c:v>
                </c:pt>
                <c:pt idx="36">
                  <c:v>5.7386765593441833</c:v>
                </c:pt>
                <c:pt idx="37">
                  <c:v>11.056984366480336</c:v>
                </c:pt>
                <c:pt idx="38">
                  <c:v>10.513852464527606</c:v>
                </c:pt>
                <c:pt idx="39">
                  <c:v>11.534776778164916</c:v>
                </c:pt>
                <c:pt idx="40">
                  <c:v>16.612852585837704</c:v>
                </c:pt>
                <c:pt idx="41">
                  <c:v>14.986375562038818</c:v>
                </c:pt>
                <c:pt idx="42">
                  <c:v>11.908882798368182</c:v>
                </c:pt>
                <c:pt idx="43">
                  <c:v>9</c:v>
                </c:pt>
                <c:pt idx="44">
                  <c:v>9.9894562713734238</c:v>
                </c:pt>
                <c:pt idx="45">
                  <c:v>4.7256177899689273</c:v>
                </c:pt>
                <c:pt idx="46" formatCode="0.0">
                  <c:v>-3.6764057837750337</c:v>
                </c:pt>
                <c:pt idx="47" formatCode="0.0">
                  <c:v>-2.1591381326741157</c:v>
                </c:pt>
                <c:pt idx="48" formatCode="0.0">
                  <c:v>-4.6486149345966226</c:v>
                </c:pt>
              </c:numCache>
            </c:numRef>
          </c:val>
        </c:ser>
        <c:marker val="1"/>
        <c:axId val="91661056"/>
        <c:axId val="91662592"/>
      </c:lineChart>
      <c:catAx>
        <c:axId val="91661056"/>
        <c:scaling>
          <c:orientation val="minMax"/>
        </c:scaling>
        <c:axPos val="b"/>
        <c:numFmt formatCode="General" sourceLinked="0"/>
        <c:majorTickMark val="none"/>
        <c:tickLblPos val="low"/>
        <c:txPr>
          <a:bodyPr/>
          <a:lstStyle/>
          <a:p>
            <a:pPr>
              <a:defRPr lang="en-US" sz="700"/>
            </a:pPr>
            <a:endParaRPr lang="fr-FR"/>
          </a:p>
        </c:txPr>
        <c:crossAx val="91662592"/>
        <c:crosses val="autoZero"/>
        <c:auto val="1"/>
        <c:lblAlgn val="ctr"/>
        <c:lblOffset val="100"/>
      </c:catAx>
      <c:valAx>
        <c:axId val="91662592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US" sz="900"/>
            </a:pPr>
            <a:endParaRPr lang="fr-FR"/>
          </a:p>
        </c:txPr>
        <c:crossAx val="91661056"/>
        <c:crosses val="autoZero"/>
        <c:crossBetween val="between"/>
      </c:valAx>
    </c:plotArea>
    <c:legend>
      <c:legendPos val="b"/>
      <c:txPr>
        <a:bodyPr/>
        <a:lstStyle/>
        <a:p>
          <a:pPr>
            <a:defRPr lang="en-US"/>
          </a:pPr>
          <a:endParaRPr lang="fr-FR"/>
        </a:p>
      </c:txPr>
    </c:legend>
    <c:plotVisOnly val="1"/>
    <c:dispBlanksAs val="gap"/>
  </c:chart>
  <c:spPr>
    <a:ln w="3175">
      <a:solidFill>
        <a:schemeClr val="tx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400" b="1" i="0" baseline="0"/>
              <a:t>التطور المستقبلي للبطالة</a:t>
            </a:r>
            <a:endParaRPr lang="fr-FR" sz="14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400" b="1" i="0" baseline="0"/>
              <a:t>(أرصدة الآراء)</a:t>
            </a:r>
            <a:endParaRPr lang="fr-FR" sz="14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200"/>
          </a:p>
        </c:rich>
      </c:tx>
      <c:layout>
        <c:manualLayout>
          <c:xMode val="edge"/>
          <c:yMode val="edge"/>
          <c:x val="0.40599980920371898"/>
          <c:y val="3.3632286995515695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'tableau note ar'!$A$3</c:f>
              <c:strCache>
                <c:ptCount val="1"/>
                <c:pt idx="0">
                  <c:v>التطور المستقبلي للبطالة</c:v>
                </c:pt>
              </c:strCache>
            </c:strRef>
          </c:tx>
          <c:marker>
            <c:symbol val="none"/>
          </c:marker>
          <c:cat>
            <c:strRef>
              <c:f>'tableau note ar'!$B$1:$AX$1</c:f>
              <c:strCache>
                <c:ptCount val="4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</c:strCache>
            </c:strRef>
          </c:cat>
          <c:val>
            <c:numRef>
              <c:f>'tableau note ar'!$B$3:$AX$3</c:f>
              <c:numCache>
                <c:formatCode>#,##0.0</c:formatCode>
                <c:ptCount val="49"/>
                <c:pt idx="0">
                  <c:v>-52.095692279179168</c:v>
                </c:pt>
                <c:pt idx="1">
                  <c:v>-56.601297669293359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-57.930600458568492</c:v>
                </c:pt>
                <c:pt idx="7">
                  <c:v>-57.517749523976534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-52.335316844022437</c:v>
                </c:pt>
                <c:pt idx="12">
                  <c:v>-52.408437207990296</c:v>
                </c:pt>
                <c:pt idx="13">
                  <c:v>-45.982278486233497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>
                  <c:v>-66.493969881109166</c:v>
                </c:pt>
                <c:pt idx="26">
                  <c:v>-68.825577821249965</c:v>
                </c:pt>
                <c:pt idx="27">
                  <c:v>-68.019160185663324</c:v>
                </c:pt>
                <c:pt idx="28">
                  <c:v>-65.155740215393706</c:v>
                </c:pt>
                <c:pt idx="29">
                  <c:v>-67.05648182258976</c:v>
                </c:pt>
                <c:pt idx="30">
                  <c:v>-66.189276460398091</c:v>
                </c:pt>
                <c:pt idx="31">
                  <c:v>-64.100777949741797</c:v>
                </c:pt>
                <c:pt idx="32">
                  <c:v>-67.734442836360984</c:v>
                </c:pt>
                <c:pt idx="33">
                  <c:v>-68.976178952187738</c:v>
                </c:pt>
                <c:pt idx="34">
                  <c:v>-70.599999999999994</c:v>
                </c:pt>
                <c:pt idx="35">
                  <c:v>-66.808709762830389</c:v>
                </c:pt>
                <c:pt idx="36">
                  <c:v>-64.932045987858601</c:v>
                </c:pt>
                <c:pt idx="37">
                  <c:v>-54.327058153454743</c:v>
                </c:pt>
                <c:pt idx="38">
                  <c:v>-59.886763094223163</c:v>
                </c:pt>
                <c:pt idx="39">
                  <c:v>-58.5</c:v>
                </c:pt>
                <c:pt idx="40">
                  <c:v>-54.525998602090162</c:v>
                </c:pt>
                <c:pt idx="41">
                  <c:v>-61.706282712863526</c:v>
                </c:pt>
                <c:pt idx="42">
                  <c:v>-65.247643368132017</c:v>
                </c:pt>
                <c:pt idx="43">
                  <c:v>-70</c:v>
                </c:pt>
                <c:pt idx="44">
                  <c:v>-75.565732444458888</c:v>
                </c:pt>
                <c:pt idx="45">
                  <c:v>-76.905120512383789</c:v>
                </c:pt>
                <c:pt idx="46" formatCode="0.0">
                  <c:v>-71.817697941940409</c:v>
                </c:pt>
                <c:pt idx="47" formatCode="0.0">
                  <c:v>-71.645886731132009</c:v>
                </c:pt>
                <c:pt idx="48" formatCode="0.0">
                  <c:v>-70.7934404370435</c:v>
                </c:pt>
              </c:numCache>
            </c:numRef>
          </c:val>
        </c:ser>
        <c:marker val="1"/>
        <c:axId val="91678592"/>
        <c:axId val="91680128"/>
      </c:lineChart>
      <c:catAx>
        <c:axId val="91678592"/>
        <c:scaling>
          <c:orientation val="minMax"/>
        </c:scaling>
        <c:axPos val="b"/>
        <c:numFmt formatCode="General" sourceLinked="1"/>
        <c:majorTickMark val="none"/>
        <c:tickLblPos val="low"/>
        <c:txPr>
          <a:bodyPr/>
          <a:lstStyle/>
          <a:p>
            <a:pPr>
              <a:defRPr lang="en-US" sz="700"/>
            </a:pPr>
            <a:endParaRPr lang="fr-FR"/>
          </a:p>
        </c:txPr>
        <c:crossAx val="91680128"/>
        <c:crosses val="autoZero"/>
        <c:auto val="1"/>
        <c:lblAlgn val="ctr"/>
        <c:lblOffset val="100"/>
      </c:catAx>
      <c:valAx>
        <c:axId val="91680128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US" sz="900"/>
            </a:pPr>
            <a:endParaRPr lang="fr-FR"/>
          </a:p>
        </c:txPr>
        <c:crossAx val="91678592"/>
        <c:crosses val="autoZero"/>
        <c:crossBetween val="between"/>
      </c:valAx>
    </c:plotArea>
    <c:plotVisOnly val="1"/>
    <c:dispBlanksAs val="gap"/>
  </c:chart>
  <c:spPr>
    <a:ln w="3175">
      <a:solidFill>
        <a:schemeClr val="tx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400" b="1" i="0" baseline="0"/>
              <a:t>فرص اقتناء السلع المستديمة</a:t>
            </a:r>
            <a:endParaRPr lang="fr-FR" sz="14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400" b="1" i="0" baseline="0"/>
              <a:t>(أرصدة الآراء)</a:t>
            </a:r>
            <a:endParaRPr lang="fr-FR" sz="14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1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'tableau note ar'!$A$6</c:f>
              <c:strCache>
                <c:ptCount val="1"/>
                <c:pt idx="0">
                  <c:v>فرص اقتناء السلع المستديمة</c:v>
                </c:pt>
              </c:strCache>
            </c:strRef>
          </c:tx>
          <c:marker>
            <c:symbol val="none"/>
          </c:marker>
          <c:cat>
            <c:strRef>
              <c:f>'tableau note ar'!$B$1:$AX$1</c:f>
              <c:strCache>
                <c:ptCount val="4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</c:strCache>
            </c:strRef>
          </c:cat>
          <c:val>
            <c:numRef>
              <c:f>'tableau note ar'!$B$6:$AX$6</c:f>
              <c:numCache>
                <c:formatCode>#,##0.0</c:formatCode>
                <c:ptCount val="49"/>
                <c:pt idx="0">
                  <c:v>-30.018449770831811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-41.765350509033915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-34.756506471721586</c:v>
                </c:pt>
                <c:pt idx="9">
                  <c:v>-37.53251909827182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-39.860076277616749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-37.388587169100518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-28.348240299081709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  <c:pt idx="25">
                  <c:v>-28.892463445062127</c:v>
                </c:pt>
                <c:pt idx="26">
                  <c:v>-33.067265037911191</c:v>
                </c:pt>
                <c:pt idx="27">
                  <c:v>-38.061946980941102</c:v>
                </c:pt>
                <c:pt idx="28">
                  <c:v>-36.986420638663795</c:v>
                </c:pt>
                <c:pt idx="29">
                  <c:v>-35.967938268219903</c:v>
                </c:pt>
                <c:pt idx="30">
                  <c:v>-34.247070009141204</c:v>
                </c:pt>
                <c:pt idx="31">
                  <c:v>-37.509325471422471</c:v>
                </c:pt>
                <c:pt idx="32">
                  <c:v>-40.239810197161113</c:v>
                </c:pt>
                <c:pt idx="33">
                  <c:v>-34.794169125290885</c:v>
                </c:pt>
                <c:pt idx="34">
                  <c:v>-40.511458517814845</c:v>
                </c:pt>
                <c:pt idx="35">
                  <c:v>-43.033835365277199</c:v>
                </c:pt>
                <c:pt idx="36">
                  <c:v>-39.999291784066443</c:v>
                </c:pt>
                <c:pt idx="37">
                  <c:v>-28.160977836062902</c:v>
                </c:pt>
                <c:pt idx="38">
                  <c:v>-31.475843594428099</c:v>
                </c:pt>
                <c:pt idx="39">
                  <c:v>-25.6</c:v>
                </c:pt>
                <c:pt idx="40">
                  <c:v>-27.189644342164552</c:v>
                </c:pt>
                <c:pt idx="41">
                  <c:v>-25.753095123938728</c:v>
                </c:pt>
                <c:pt idx="42">
                  <c:v>-30.193271317535196</c:v>
                </c:pt>
                <c:pt idx="43">
                  <c:v>-36.800000000000004</c:v>
                </c:pt>
                <c:pt idx="44">
                  <c:v>-36.294477943510053</c:v>
                </c:pt>
                <c:pt idx="45">
                  <c:v>-41.423646990592751</c:v>
                </c:pt>
                <c:pt idx="46" formatCode="0.0">
                  <c:v>-37.730567473068405</c:v>
                </c:pt>
                <c:pt idx="47" formatCode="0.0">
                  <c:v>-29.21833531467249</c:v>
                </c:pt>
                <c:pt idx="48" formatCode="0.0">
                  <c:v>-32.611752500665851</c:v>
                </c:pt>
              </c:numCache>
            </c:numRef>
          </c:val>
        </c:ser>
        <c:marker val="1"/>
        <c:axId val="91945600"/>
        <c:axId val="92348800"/>
      </c:lineChart>
      <c:catAx>
        <c:axId val="91945600"/>
        <c:scaling>
          <c:orientation val="minMax"/>
        </c:scaling>
        <c:axPos val="b"/>
        <c:numFmt formatCode="General" sourceLinked="0"/>
        <c:majorTickMark val="none"/>
        <c:tickLblPos val="low"/>
        <c:txPr>
          <a:bodyPr/>
          <a:lstStyle/>
          <a:p>
            <a:pPr>
              <a:defRPr lang="en-US" sz="700"/>
            </a:pPr>
            <a:endParaRPr lang="fr-FR"/>
          </a:p>
        </c:txPr>
        <c:crossAx val="92348800"/>
        <c:crosses val="autoZero"/>
        <c:auto val="1"/>
        <c:lblAlgn val="ctr"/>
        <c:lblOffset val="100"/>
      </c:catAx>
      <c:valAx>
        <c:axId val="92348800"/>
        <c:scaling>
          <c:orientation val="minMax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lang="en-US" sz="900"/>
            </a:pPr>
            <a:endParaRPr lang="fr-FR"/>
          </a:p>
        </c:txPr>
        <c:crossAx val="91945600"/>
        <c:crosses val="autoZero"/>
        <c:crossBetween val="between"/>
      </c:valAx>
    </c:plotArea>
    <c:plotVisOnly val="1"/>
    <c:dispBlanksAs val="gap"/>
  </c:chart>
  <c:spPr>
    <a:ln w="3175">
      <a:solidFill>
        <a:schemeClr val="tx1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400" b="1" i="0" baseline="0"/>
              <a:t>تصور الأسر حول وضعيتهم المالية</a:t>
            </a:r>
            <a:endParaRPr lang="fr-FR" sz="14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400" b="1" i="0" baseline="0"/>
              <a:t>(أرصدة الآراء)</a:t>
            </a:r>
            <a:endParaRPr lang="fr-FR" sz="14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400" b="1" i="0" baseline="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'tableau note ar'!$A$7</c:f>
              <c:strCache>
                <c:ptCount val="1"/>
                <c:pt idx="0">
                  <c:v>الوضعية المالية الحالية للأسرة</c:v>
                </c:pt>
              </c:strCache>
            </c:strRef>
          </c:tx>
          <c:marker>
            <c:symbol val="square"/>
            <c:size val="5"/>
          </c:marker>
          <c:cat>
            <c:strRef>
              <c:f>'tableau note ar'!$B$1:$AX$1</c:f>
              <c:strCache>
                <c:ptCount val="4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</c:strCache>
            </c:strRef>
          </c:cat>
          <c:val>
            <c:numRef>
              <c:f>'tableau note ar'!$B$7:$AX$7</c:f>
              <c:numCache>
                <c:formatCode>#,##0.0</c:formatCode>
                <c:ptCount val="49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-28.062624892496324</c:v>
                </c:pt>
                <c:pt idx="12">
                  <c:v>-30.645498931903752</c:v>
                </c:pt>
                <c:pt idx="13">
                  <c:v>-27.092549889444349</c:v>
                </c:pt>
                <c:pt idx="14">
                  <c:v>-24.28899054728441</c:v>
                </c:pt>
                <c:pt idx="15">
                  <c:v>-25.669712181349755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-30.84609334372421</c:v>
                </c:pt>
                <c:pt idx="19">
                  <c:v>-29.426966691861278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-29.484131282651237</c:v>
                </c:pt>
                <c:pt idx="23">
                  <c:v>-29.485585569479969</c:v>
                </c:pt>
                <c:pt idx="24">
                  <c:v>-31.290770339915056</c:v>
                </c:pt>
                <c:pt idx="25">
                  <c:v>-29.704256665370011</c:v>
                </c:pt>
                <c:pt idx="26">
                  <c:v>-28.344504427944035</c:v>
                </c:pt>
                <c:pt idx="27">
                  <c:v>-30.63742941169404</c:v>
                </c:pt>
                <c:pt idx="28">
                  <c:v>-32.404955656558201</c:v>
                </c:pt>
                <c:pt idx="29">
                  <c:v>-28</c:v>
                </c:pt>
                <c:pt idx="30">
                  <c:v>-25.071467645625653</c:v>
                </c:pt>
                <c:pt idx="31">
                  <c:v>-25.69993698332588</c:v>
                </c:pt>
                <c:pt idx="32">
                  <c:v>-27.232686212381431</c:v>
                </c:pt>
                <c:pt idx="33">
                  <c:v>-22.997618165471859</c:v>
                </c:pt>
                <c:pt idx="34">
                  <c:v>-25.8</c:v>
                </c:pt>
                <c:pt idx="35">
                  <c:v>-28.725836843764071</c:v>
                </c:pt>
                <c:pt idx="36">
                  <c:v>-27.797585066069505</c:v>
                </c:pt>
                <c:pt idx="37">
                  <c:v>-25.340990239285759</c:v>
                </c:pt>
                <c:pt idx="38">
                  <c:v>-22.581783906285729</c:v>
                </c:pt>
                <c:pt idx="39">
                  <c:v>-24.392000147868323</c:v>
                </c:pt>
                <c:pt idx="40">
                  <c:v>-25.236685531801349</c:v>
                </c:pt>
                <c:pt idx="41">
                  <c:v>-24.077817715725971</c:v>
                </c:pt>
                <c:pt idx="42">
                  <c:v>-29.675061855859198</c:v>
                </c:pt>
                <c:pt idx="43">
                  <c:v>-28.4</c:v>
                </c:pt>
                <c:pt idx="44">
                  <c:v>-28.874306637901359</c:v>
                </c:pt>
                <c:pt idx="45">
                  <c:v>-30.794330285810986</c:v>
                </c:pt>
                <c:pt idx="46" formatCode="0.0">
                  <c:v>-29.543474949783889</c:v>
                </c:pt>
                <c:pt idx="47" formatCode="0.0">
                  <c:v>-26.38685501138583</c:v>
                </c:pt>
                <c:pt idx="48" formatCode="0.0">
                  <c:v>-27.711995909750623</c:v>
                </c:pt>
              </c:numCache>
            </c:numRef>
          </c:val>
        </c:ser>
        <c:ser>
          <c:idx val="1"/>
          <c:order val="1"/>
          <c:tx>
            <c:strRef>
              <c:f>'tableau note ar'!$A$8</c:f>
              <c:strCache>
                <c:ptCount val="1"/>
                <c:pt idx="0">
                  <c:v>التطور السابق للوضعية المالية للأسرة</c:v>
                </c:pt>
              </c:strCache>
            </c:strRef>
          </c:tx>
          <c:cat>
            <c:strRef>
              <c:f>'tableau note ar'!$B$1:$AX$1</c:f>
              <c:strCache>
                <c:ptCount val="4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</c:strCache>
            </c:strRef>
          </c:cat>
          <c:val>
            <c:numRef>
              <c:f>'tableau note ar'!$B$8:$AX$8</c:f>
              <c:numCache>
                <c:formatCode>#,##0.0</c:formatCode>
                <c:ptCount val="49"/>
                <c:pt idx="0">
                  <c:v>-11.760493904860514</c:v>
                </c:pt>
                <c:pt idx="1">
                  <c:v>-11.376439540974168</c:v>
                </c:pt>
                <c:pt idx="2">
                  <c:v>-11.707546774199246</c:v>
                </c:pt>
                <c:pt idx="3">
                  <c:v>-9.5250570435126427</c:v>
                </c:pt>
                <c:pt idx="4">
                  <c:v>-18.43821007445737</c:v>
                </c:pt>
                <c:pt idx="5">
                  <c:v>-13.353492384896757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-9.8004349690183954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-21.891965579068493</c:v>
                </c:pt>
                <c:pt idx="23">
                  <c:v>-21.870867995539985</c:v>
                </c:pt>
                <c:pt idx="24">
                  <c:v>-21.277780753263979</c:v>
                </c:pt>
                <c:pt idx="25">
                  <c:v>-23.337257864101161</c:v>
                </c:pt>
                <c:pt idx="26">
                  <c:v>-25.773771694272</c:v>
                </c:pt>
                <c:pt idx="27">
                  <c:v>-29.15099470570571</c:v>
                </c:pt>
                <c:pt idx="28">
                  <c:v>-26.965288381475776</c:v>
                </c:pt>
                <c:pt idx="29">
                  <c:v>-20.216971341645095</c:v>
                </c:pt>
                <c:pt idx="30">
                  <c:v>-20.789363149769287</c:v>
                </c:pt>
                <c:pt idx="31">
                  <c:v>-18.50333400384844</c:v>
                </c:pt>
                <c:pt idx="32">
                  <c:v>-27.398022856415238</c:v>
                </c:pt>
                <c:pt idx="33">
                  <c:v>-22.820131487915329</c:v>
                </c:pt>
                <c:pt idx="34">
                  <c:v>-26.987361336961211</c:v>
                </c:pt>
                <c:pt idx="35">
                  <c:v>-33.305012733303052</c:v>
                </c:pt>
                <c:pt idx="36">
                  <c:v>-26.764408087130526</c:v>
                </c:pt>
                <c:pt idx="37">
                  <c:v>-16.626704252959733</c:v>
                </c:pt>
                <c:pt idx="38">
                  <c:v>-14.506801572644616</c:v>
                </c:pt>
                <c:pt idx="39">
                  <c:v>-16.7</c:v>
                </c:pt>
                <c:pt idx="40">
                  <c:v>-18.12020796730943</c:v>
                </c:pt>
                <c:pt idx="41">
                  <c:v>-15.241299993196515</c:v>
                </c:pt>
                <c:pt idx="42">
                  <c:v>-18.212765523946558</c:v>
                </c:pt>
                <c:pt idx="43">
                  <c:v>-20.7</c:v>
                </c:pt>
                <c:pt idx="44">
                  <c:v>-21.239570741294095</c:v>
                </c:pt>
                <c:pt idx="45">
                  <c:v>-24.187755596841431</c:v>
                </c:pt>
                <c:pt idx="46" formatCode="0.0">
                  <c:v>-26.020639530378283</c:v>
                </c:pt>
                <c:pt idx="47" formatCode="0.0">
                  <c:v>-22.058531326387186</c:v>
                </c:pt>
                <c:pt idx="48" formatCode="0.0">
                  <c:v>-22.878127876162296</c:v>
                </c:pt>
              </c:numCache>
            </c:numRef>
          </c:val>
        </c:ser>
        <c:ser>
          <c:idx val="2"/>
          <c:order val="2"/>
          <c:tx>
            <c:strRef>
              <c:f>'tableau note ar'!$A$9</c:f>
              <c:strCache>
                <c:ptCount val="1"/>
                <c:pt idx="0">
                  <c:v>التطور المرتقب للوضعية المالية للأسرة</c:v>
                </c:pt>
              </c:strCache>
            </c:strRef>
          </c:tx>
          <c:cat>
            <c:strRef>
              <c:f>'tableau note ar'!$B$1:$AX$1</c:f>
              <c:strCache>
                <c:ptCount val="4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</c:strCache>
            </c:strRef>
          </c:cat>
          <c:val>
            <c:numRef>
              <c:f>'tableau note ar'!$B$9:$AX$9</c:f>
              <c:numCache>
                <c:formatCode>#,##0.0</c:formatCode>
                <c:ptCount val="49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26.705941849103201</c:v>
                </c:pt>
                <c:pt idx="4">
                  <c:v>26.769154239001939</c:v>
                </c:pt>
                <c:pt idx="5">
                  <c:v>21.986954089697061</c:v>
                </c:pt>
                <c:pt idx="6">
                  <c:v>17.53281776667648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11.776375704730512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20.354548457792717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11.230833640450333</c:v>
                </c:pt>
                <c:pt idx="17">
                  <c:v>11.136340416980383</c:v>
                </c:pt>
                <c:pt idx="18">
                  <c:v>7.6658451594012975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-1.7003971659207193</c:v>
                </c:pt>
                <c:pt idx="24">
                  <c:v>1.2126606998519158</c:v>
                </c:pt>
                <c:pt idx="25">
                  <c:v>-2.6659512091834952</c:v>
                </c:pt>
                <c:pt idx="26">
                  <c:v>-1.4735728224612341</c:v>
                </c:pt>
                <c:pt idx="27">
                  <c:v>-3.9139038482871555</c:v>
                </c:pt>
                <c:pt idx="28">
                  <c:v>8.9330913123193523E-2</c:v>
                </c:pt>
                <c:pt idx="29">
                  <c:v>4.1756310519058966</c:v>
                </c:pt>
                <c:pt idx="30">
                  <c:v>3.3451516718598637</c:v>
                </c:pt>
                <c:pt idx="31">
                  <c:v>7.6417999475620588</c:v>
                </c:pt>
                <c:pt idx="32">
                  <c:v>1.2373351928094012</c:v>
                </c:pt>
                <c:pt idx="33">
                  <c:v>2.2988859177154</c:v>
                </c:pt>
                <c:pt idx="34">
                  <c:v>4.9642092382991612</c:v>
                </c:pt>
                <c:pt idx="35">
                  <c:v>6.4877666459978194</c:v>
                </c:pt>
                <c:pt idx="36">
                  <c:v>13.359772169150252</c:v>
                </c:pt>
                <c:pt idx="37">
                  <c:v>22.123807522802235</c:v>
                </c:pt>
                <c:pt idx="38">
                  <c:v>19.596485843359812</c:v>
                </c:pt>
                <c:pt idx="39">
                  <c:v>19.180868333171652</c:v>
                </c:pt>
                <c:pt idx="40">
                  <c:v>25.926424488378238</c:v>
                </c:pt>
                <c:pt idx="41">
                  <c:v>28.130493740025234</c:v>
                </c:pt>
                <c:pt idx="42">
                  <c:v>18.237772049662336</c:v>
                </c:pt>
                <c:pt idx="43">
                  <c:v>19.100000000000001</c:v>
                </c:pt>
                <c:pt idx="44">
                  <c:v>20.686932465103727</c:v>
                </c:pt>
                <c:pt idx="45">
                  <c:v>18.273992721467774</c:v>
                </c:pt>
                <c:pt idx="46" formatCode="0.0">
                  <c:v>12.775065694831193</c:v>
                </c:pt>
                <c:pt idx="47" formatCode="0.0">
                  <c:v>15.949037871016618</c:v>
                </c:pt>
                <c:pt idx="48" formatCode="0.0">
                  <c:v>8.5440476832129519</c:v>
                </c:pt>
              </c:numCache>
            </c:numRef>
          </c:val>
        </c:ser>
        <c:marker val="1"/>
        <c:axId val="92370048"/>
        <c:axId val="92371584"/>
      </c:lineChart>
      <c:catAx>
        <c:axId val="92370048"/>
        <c:scaling>
          <c:orientation val="minMax"/>
        </c:scaling>
        <c:axPos val="b"/>
        <c:numFmt formatCode="General" sourceLinked="1"/>
        <c:majorTickMark val="none"/>
        <c:tickLblPos val="low"/>
        <c:txPr>
          <a:bodyPr/>
          <a:lstStyle/>
          <a:p>
            <a:pPr>
              <a:defRPr lang="en-US" sz="700"/>
            </a:pPr>
            <a:endParaRPr lang="fr-FR"/>
          </a:p>
        </c:txPr>
        <c:crossAx val="92371584"/>
        <c:crosses val="autoZero"/>
        <c:auto val="1"/>
        <c:lblAlgn val="ctr"/>
        <c:lblOffset val="100"/>
      </c:catAx>
      <c:valAx>
        <c:axId val="92371584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US" sz="900"/>
            </a:pPr>
            <a:endParaRPr lang="fr-FR"/>
          </a:p>
        </c:txPr>
        <c:crossAx val="92370048"/>
        <c:crosses val="autoZero"/>
        <c:crossBetween val="between"/>
      </c:valAx>
    </c:plotArea>
    <c:legend>
      <c:legendPos val="b"/>
      <c:txPr>
        <a:bodyPr/>
        <a:lstStyle/>
        <a:p>
          <a:pPr>
            <a:defRPr lang="en-US"/>
          </a:pPr>
          <a:endParaRPr lang="fr-FR"/>
        </a:p>
      </c:txPr>
    </c:legend>
    <c:plotVisOnly val="1"/>
    <c:dispBlanksAs val="gap"/>
  </c:chart>
  <c:spPr>
    <a:ln w="3175">
      <a:solidFill>
        <a:schemeClr val="tx1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lang="en-US" sz="1400"/>
            </a:pPr>
            <a:r>
              <a:rPr lang="ar-MA" sz="1400" b="1" i="0" baseline="0"/>
              <a:t>تصور الأسر للتطور السابق و المستقبلي لأثمنة المواد الغذائية</a:t>
            </a:r>
            <a:endParaRPr lang="fr-FR" sz="1400" b="1" i="0" baseline="0"/>
          </a:p>
          <a:p>
            <a:pPr>
              <a:defRPr lang="en-US" sz="1400"/>
            </a:pPr>
            <a:r>
              <a:rPr lang="ar-MA" sz="1400" b="1" i="0" baseline="0"/>
              <a:t>(أرصدة الآراء)</a:t>
            </a:r>
            <a:endParaRPr lang="fr-FR" sz="1400" b="1" i="0" baseline="0"/>
          </a:p>
        </c:rich>
      </c:tx>
      <c:layout>
        <c:manualLayout>
          <c:xMode val="edge"/>
          <c:yMode val="edge"/>
          <c:x val="0.21106183071707757"/>
          <c:y val="2.1465162562104231E-2"/>
        </c:manualLayout>
      </c:layout>
    </c:title>
    <c:plotArea>
      <c:layout>
        <c:manualLayout>
          <c:layoutTarget val="inner"/>
          <c:xMode val="edge"/>
          <c:yMode val="edge"/>
          <c:x val="7.5035168444331543E-2"/>
          <c:y val="0.17448188899857822"/>
          <c:w val="0.91007862895562319"/>
          <c:h val="0.53428380945537268"/>
        </c:manualLayout>
      </c:layout>
      <c:lineChart>
        <c:grouping val="standard"/>
        <c:ser>
          <c:idx val="0"/>
          <c:order val="0"/>
          <c:tx>
            <c:strRef>
              <c:f>'tableau note ar'!$A$11</c:f>
              <c:strCache>
                <c:ptCount val="1"/>
                <c:pt idx="0">
                  <c:v>التطور المرتقب لأسعار المواد الغذائية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ar'!$B$1:$AX$1</c:f>
              <c:strCache>
                <c:ptCount val="4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</c:strCache>
            </c:strRef>
          </c:cat>
          <c:val>
            <c:numRef>
              <c:f>'tableau note ar'!$B$11:$AX$11</c:f>
              <c:numCache>
                <c:formatCode>#,##0.0</c:formatCode>
                <c:ptCount val="49"/>
                <c:pt idx="0">
                  <c:v>-74.061389031284818</c:v>
                </c:pt>
                <c:pt idx="1">
                  <c:v>-77.716574651610316</c:v>
                </c:pt>
                <c:pt idx="2">
                  <c:v>-78.940542419693813</c:v>
                </c:pt>
                <c:pt idx="3">
                  <c:v>-49.653420650313578</c:v>
                </c:pt>
                <c:pt idx="4">
                  <c:v>-34.869529990694446</c:v>
                </c:pt>
                <c:pt idx="5">
                  <c:v>-33.523065681383379</c:v>
                </c:pt>
                <c:pt idx="6">
                  <c:v>-50.919242344766445</c:v>
                </c:pt>
                <c:pt idx="7">
                  <c:v>-47.871947864454604</c:v>
                </c:pt>
                <c:pt idx="8">
                  <c:v>-46.515022811525789</c:v>
                </c:pt>
                <c:pt idx="9">
                  <c:v>-56.832932011427907</c:v>
                </c:pt>
                <c:pt idx="10">
                  <c:v>-62.176731306136894</c:v>
                </c:pt>
                <c:pt idx="11">
                  <c:v>-70.131788082404256</c:v>
                </c:pt>
                <c:pt idx="12">
                  <c:v>-73.412747182583956</c:v>
                </c:pt>
                <c:pt idx="13">
                  <c:v>-58.832065504603946</c:v>
                </c:pt>
                <c:pt idx="14">
                  <c:v>-72.59048616904964</c:v>
                </c:pt>
                <c:pt idx="15">
                  <c:v>-72.965887012435076</c:v>
                </c:pt>
                <c:pt idx="16">
                  <c:v>-69.834720496858949</c:v>
                </c:pt>
                <c:pt idx="17">
                  <c:v>-71.450027411204985</c:v>
                </c:pt>
                <c:pt idx="18">
                  <c:v>-73.578371466433978</c:v>
                </c:pt>
                <c:pt idx="19">
                  <c:v>-70.049698245525676</c:v>
                </c:pt>
                <c:pt idx="20">
                  <c:v>-76.096296687300551</c:v>
                </c:pt>
                <c:pt idx="21">
                  <c:v>-73.375476646911636</c:v>
                </c:pt>
                <c:pt idx="22">
                  <c:v>-76.007455926126042</c:v>
                </c:pt>
                <c:pt idx="23">
                  <c:v>-76.048555842624566</c:v>
                </c:pt>
                <c:pt idx="24">
                  <c:v>-77.551787041299889</c:v>
                </c:pt>
                <c:pt idx="25">
                  <c:v>-78.042355521266373</c:v>
                </c:pt>
                <c:pt idx="26">
                  <c:v>-76.898841721729838</c:v>
                </c:pt>
                <c:pt idx="27">
                  <c:v>-77.2</c:v>
                </c:pt>
                <c:pt idx="28">
                  <c:v>-77.231717010323948</c:v>
                </c:pt>
                <c:pt idx="29">
                  <c:v>-75.641194802119557</c:v>
                </c:pt>
                <c:pt idx="30">
                  <c:v>-75.301499740412396</c:v>
                </c:pt>
                <c:pt idx="31">
                  <c:v>-75.201077205088083</c:v>
                </c:pt>
                <c:pt idx="32">
                  <c:v>-79.25874198980361</c:v>
                </c:pt>
                <c:pt idx="33">
                  <c:v>-77.326465444648022</c:v>
                </c:pt>
                <c:pt idx="34">
                  <c:v>-77.900000000000006</c:v>
                </c:pt>
                <c:pt idx="35">
                  <c:v>-77.33590195130148</c:v>
                </c:pt>
                <c:pt idx="36">
                  <c:v>-77.664169536728878</c:v>
                </c:pt>
                <c:pt idx="37">
                  <c:v>-74.5</c:v>
                </c:pt>
                <c:pt idx="38">
                  <c:v>-73.964173414184586</c:v>
                </c:pt>
                <c:pt idx="39">
                  <c:v>-79.602800137507955</c:v>
                </c:pt>
                <c:pt idx="40">
                  <c:v>-82.909090889011466</c:v>
                </c:pt>
                <c:pt idx="41">
                  <c:v>-84.024833717392056</c:v>
                </c:pt>
                <c:pt idx="42">
                  <c:v>-82.078038176837453</c:v>
                </c:pt>
                <c:pt idx="43">
                  <c:v>-86.6</c:v>
                </c:pt>
                <c:pt idx="44">
                  <c:v>-87.54271632969234</c:v>
                </c:pt>
                <c:pt idx="45">
                  <c:v>-86.508482649196509</c:v>
                </c:pt>
                <c:pt idx="46" formatCode="0.0">
                  <c:v>-83.288697742697579</c:v>
                </c:pt>
                <c:pt idx="47" formatCode="0.0">
                  <c:v>-82.220036585575144</c:v>
                </c:pt>
                <c:pt idx="48" formatCode="0.0">
                  <c:v>-82.585609750348496</c:v>
                </c:pt>
              </c:numCache>
            </c:numRef>
          </c:val>
        </c:ser>
        <c:ser>
          <c:idx val="1"/>
          <c:order val="1"/>
          <c:tx>
            <c:strRef>
              <c:f>'tableau note ar'!$A$12</c:f>
              <c:strCache>
                <c:ptCount val="1"/>
                <c:pt idx="0">
                  <c:v>التطور السابق لأسعار المواد الغذائية</c:v>
                </c:pt>
              </c:strCache>
            </c:strRef>
          </c:tx>
          <c:cat>
            <c:strRef>
              <c:f>'tableau note ar'!$B$1:$AX$1</c:f>
              <c:strCache>
                <c:ptCount val="4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</c:strCache>
            </c:strRef>
          </c:cat>
          <c:val>
            <c:numRef>
              <c:f>'tableau note ar'!$B$12:$AX$12</c:f>
              <c:numCache>
                <c:formatCode>#,##0.0</c:formatCode>
                <c:ptCount val="49"/>
                <c:pt idx="0">
                  <c:v>-93.561530615416999</c:v>
                </c:pt>
                <c:pt idx="1">
                  <c:v>-95.947220816722407</c:v>
                </c:pt>
                <c:pt idx="2">
                  <c:v>-98.048475442965014</c:v>
                </c:pt>
                <c:pt idx="3">
                  <c:v>-96.216541508823312</c:v>
                </c:pt>
                <c:pt idx="4">
                  <c:v>-93.990402062896209</c:v>
                </c:pt>
                <c:pt idx="5">
                  <c:v>-87.215803326852651</c:v>
                </c:pt>
                <c:pt idx="6">
                  <c:v>-85.738329527783449</c:v>
                </c:pt>
                <c:pt idx="7">
                  <c:v>-83.278098478101484</c:v>
                </c:pt>
                <c:pt idx="8">
                  <c:v>-79.493520436579956</c:v>
                </c:pt>
                <c:pt idx="9">
                  <c:v>-87.814557184919167</c:v>
                </c:pt>
                <c:pt idx="10">
                  <c:v>-89.729007404339953</c:v>
                </c:pt>
                <c:pt idx="11">
                  <c:v>-90.967802162493555</c:v>
                </c:pt>
                <c:pt idx="12">
                  <c:v>-95.526783459398686</c:v>
                </c:pt>
                <c:pt idx="13">
                  <c:v>-87.197236284295727</c:v>
                </c:pt>
                <c:pt idx="14">
                  <c:v>-89.924388392526154</c:v>
                </c:pt>
                <c:pt idx="15">
                  <c:v>-92.495216554147717</c:v>
                </c:pt>
                <c:pt idx="16">
                  <c:v>-91.62531658448188</c:v>
                </c:pt>
                <c:pt idx="17">
                  <c:v>-91.140544889708991</c:v>
                </c:pt>
                <c:pt idx="18">
                  <c:v>-91.653648288633619</c:v>
                </c:pt>
                <c:pt idx="19">
                  <c:v>-90.602273539903038</c:v>
                </c:pt>
                <c:pt idx="20">
                  <c:v>-91.630328830979707</c:v>
                </c:pt>
                <c:pt idx="21">
                  <c:v>-88.947630714849396</c:v>
                </c:pt>
                <c:pt idx="22">
                  <c:v>-90.507981291878522</c:v>
                </c:pt>
                <c:pt idx="23">
                  <c:v>-90.842402571703019</c:v>
                </c:pt>
                <c:pt idx="24">
                  <c:v>-89.421972084851788</c:v>
                </c:pt>
                <c:pt idx="25">
                  <c:v>-84.135715875789117</c:v>
                </c:pt>
                <c:pt idx="26">
                  <c:v>-81.763249669623704</c:v>
                </c:pt>
                <c:pt idx="27">
                  <c:v>-84.521199779532196</c:v>
                </c:pt>
                <c:pt idx="28">
                  <c:v>-87.223881643150108</c:v>
                </c:pt>
                <c:pt idx="29">
                  <c:v>-85.304961002513068</c:v>
                </c:pt>
                <c:pt idx="30">
                  <c:v>-84.284507159523784</c:v>
                </c:pt>
                <c:pt idx="31">
                  <c:v>-85.427496568127424</c:v>
                </c:pt>
                <c:pt idx="32">
                  <c:v>-85.452277394276848</c:v>
                </c:pt>
                <c:pt idx="33">
                  <c:v>-87.871778057968214</c:v>
                </c:pt>
                <c:pt idx="34">
                  <c:v>-87.672521775530967</c:v>
                </c:pt>
                <c:pt idx="35">
                  <c:v>-87.308587775463408</c:v>
                </c:pt>
                <c:pt idx="36">
                  <c:v>-86.771015006658288</c:v>
                </c:pt>
                <c:pt idx="37">
                  <c:v>-86.4</c:v>
                </c:pt>
                <c:pt idx="38">
                  <c:v>-82.805018292489521</c:v>
                </c:pt>
                <c:pt idx="39">
                  <c:v>-88.513579156072012</c:v>
                </c:pt>
                <c:pt idx="40">
                  <c:v>-86.694812387811382</c:v>
                </c:pt>
                <c:pt idx="41">
                  <c:v>-88.182833745436724</c:v>
                </c:pt>
                <c:pt idx="42">
                  <c:v>-88.119908444008828</c:v>
                </c:pt>
                <c:pt idx="43">
                  <c:v>-90.3</c:v>
                </c:pt>
                <c:pt idx="44">
                  <c:v>-88.136419421127727</c:v>
                </c:pt>
                <c:pt idx="45">
                  <c:v>-88.912542109472369</c:v>
                </c:pt>
                <c:pt idx="46" formatCode="0.0">
                  <c:v>-83.748311328811582</c:v>
                </c:pt>
                <c:pt idx="47" formatCode="0.0">
                  <c:v>-85.084964738360213</c:v>
                </c:pt>
                <c:pt idx="48" formatCode="0.0">
                  <c:v>-82.774085672956858</c:v>
                </c:pt>
              </c:numCache>
            </c:numRef>
          </c:val>
        </c:ser>
        <c:marker val="1"/>
        <c:axId val="95366144"/>
        <c:axId val="95376128"/>
      </c:lineChart>
      <c:catAx>
        <c:axId val="95366144"/>
        <c:scaling>
          <c:orientation val="minMax"/>
        </c:scaling>
        <c:axPos val="b"/>
        <c:numFmt formatCode="General" sourceLinked="0"/>
        <c:majorTickMark val="none"/>
        <c:tickLblPos val="low"/>
        <c:txPr>
          <a:bodyPr/>
          <a:lstStyle/>
          <a:p>
            <a:pPr>
              <a:defRPr lang="en-US" sz="700"/>
            </a:pPr>
            <a:endParaRPr lang="fr-FR"/>
          </a:p>
        </c:txPr>
        <c:crossAx val="95376128"/>
        <c:crosses val="autoZero"/>
        <c:auto val="1"/>
        <c:lblAlgn val="ctr"/>
        <c:lblOffset val="100"/>
      </c:catAx>
      <c:valAx>
        <c:axId val="95376128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US" sz="900"/>
            </a:pPr>
            <a:endParaRPr lang="fr-FR"/>
          </a:p>
        </c:txPr>
        <c:crossAx val="95366144"/>
        <c:crosses val="autoZero"/>
        <c:crossBetween val="between"/>
      </c:valAx>
    </c:plotArea>
    <c:legend>
      <c:legendPos val="b"/>
      <c:txPr>
        <a:bodyPr/>
        <a:lstStyle/>
        <a:p>
          <a:pPr>
            <a:defRPr lang="en-US"/>
          </a:pPr>
          <a:endParaRPr lang="fr-FR"/>
        </a:p>
      </c:txPr>
    </c:legend>
    <c:plotVisOnly val="1"/>
    <c:dispBlanksAs val="gap"/>
  </c:chart>
  <c:spPr>
    <a:ln w="3175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7B13F-40F5-450C-83AB-A0A019DF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1098</Words>
  <Characters>6041</Characters>
  <Application>Microsoft Office Word</Application>
  <DocSecurity>0</DocSecurity>
  <Lines>50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Bakraoui</dc:creator>
  <cp:lastModifiedBy>HCP</cp:lastModifiedBy>
  <cp:revision>4</cp:revision>
  <cp:lastPrinted>2020-01-14T14:51:00Z</cp:lastPrinted>
  <dcterms:created xsi:type="dcterms:W3CDTF">2020-04-18T14:55:00Z</dcterms:created>
  <dcterms:modified xsi:type="dcterms:W3CDTF">2020-04-18T14:57:00Z</dcterms:modified>
</cp:coreProperties>
</file>