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9A" w:rsidRDefault="00067B4C" w:rsidP="0026679A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  <w:r w:rsidR="00882102"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414515" w:rsidRDefault="00AC021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65735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65735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657355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65735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713EEA" w:rsidRPr="00DC4BFA">
        <w:rPr>
          <w:rFonts w:cs="Simplified Arabic" w:hint="cs"/>
          <w:b/>
          <w:bCs/>
          <w:color w:val="0000FF"/>
          <w:sz w:val="36"/>
          <w:szCs w:val="32"/>
          <w:rtl/>
        </w:rPr>
        <w:t>يونيو</w:t>
      </w:r>
      <w:r w:rsidR="00C80E25" w:rsidRPr="00DC4BFA">
        <w:rPr>
          <w:rFonts w:cs="Simplified Arabic" w:hint="cs"/>
          <w:b/>
          <w:bCs/>
          <w:color w:val="0000FF"/>
          <w:sz w:val="36"/>
          <w:szCs w:val="32"/>
          <w:rtl/>
        </w:rPr>
        <w:t xml:space="preserve"> </w:t>
      </w:r>
      <w:r w:rsidR="00C80E25" w:rsidRPr="00DC4BFA">
        <w:rPr>
          <w:rFonts w:cs="Simplified Arabic"/>
          <w:b/>
          <w:bCs/>
          <w:color w:val="0000FF"/>
          <w:sz w:val="36"/>
          <w:szCs w:val="32"/>
          <w:rtl/>
        </w:rPr>
        <w:t>201</w:t>
      </w:r>
      <w:r w:rsidR="008C203A">
        <w:rPr>
          <w:rFonts w:cs="Simplified Arabic" w:hint="cs"/>
          <w:b/>
          <w:bCs/>
          <w:color w:val="0000FF"/>
          <w:sz w:val="36"/>
          <w:szCs w:val="32"/>
          <w:rtl/>
        </w:rPr>
        <w:t>8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534909" w:rsidRDefault="001C58CA" w:rsidP="001C58CA">
      <w:pPr>
        <w:spacing w:line="480" w:lineRule="exact"/>
        <w:ind w:left="283" w:right="284" w:firstLine="567"/>
        <w:jc w:val="center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      </w:t>
      </w:r>
    </w:p>
    <w:p w:rsidR="00DB14B0" w:rsidRDefault="00FC76CC" w:rsidP="0026679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96C87">
        <w:rPr>
          <w:rFonts w:ascii="Arial" w:hAnsi="Arial" w:cs="Simplified Arabic" w:hint="cs"/>
          <w:sz w:val="32"/>
          <w:szCs w:val="32"/>
          <w:rtl/>
        </w:rPr>
        <w:t>"</w:t>
      </w:r>
      <w:r w:rsidR="00696C87"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5F4B" w:rsidRPr="00C35F4B">
        <w:rPr>
          <w:rFonts w:ascii="Arial" w:hAnsi="Arial" w:cs="Simplified Arabic"/>
          <w:sz w:val="32"/>
          <w:szCs w:val="32"/>
          <w:rtl/>
          <w:lang w:bidi="ar-MA"/>
        </w:rPr>
        <w:t>ارتفاعا</w:t>
      </w:r>
      <w:r w:rsidR="00696C8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35F4B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C35F4B">
        <w:rPr>
          <w:rFonts w:ascii="Arial" w:hAnsi="Arial" w:cs="Simplified Arabic"/>
          <w:sz w:val="32"/>
          <w:szCs w:val="32"/>
        </w:rPr>
        <w:t>6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يونيو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8C203A">
        <w:rPr>
          <w:rFonts w:ascii="Arial" w:hAnsi="Arial" w:cs="Simplified Arabic" w:hint="cs"/>
          <w:sz w:val="32"/>
          <w:szCs w:val="32"/>
          <w:rtl/>
        </w:rPr>
        <w:t>8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="00713EEA"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8C203A">
        <w:rPr>
          <w:rFonts w:ascii="Arial" w:hAnsi="Arial" w:cs="Simplified Arabic" w:hint="cs"/>
          <w:sz w:val="32"/>
          <w:szCs w:val="32"/>
          <w:rtl/>
        </w:rPr>
        <w:t>8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C35F4B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C35F4B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C35F4B" w:rsidRDefault="00C35F4B" w:rsidP="00C35F4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35F4B" w:rsidRDefault="00C35F4B" w:rsidP="0026679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Pr="00022B33"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Pr="00534909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Pr="00534909">
        <w:rPr>
          <w:rFonts w:ascii="Arial" w:hAnsi="Arial" w:cs="Simplified Arabic"/>
          <w:sz w:val="32"/>
          <w:szCs w:val="32"/>
          <w:rtl/>
        </w:rPr>
        <w:t>كيماوية</w:t>
      </w:r>
      <w:r w:rsidRPr="00022B33">
        <w:rPr>
          <w:rFonts w:ascii="Arial" w:hAnsi="Arial" w:cs="Simplified Arabic" w:hint="cs"/>
          <w:sz w:val="32"/>
          <w:szCs w:val="32"/>
          <w:rtl/>
        </w:rPr>
        <w:t>" ب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/>
          <w:sz w:val="32"/>
          <w:szCs w:val="32"/>
        </w:rPr>
        <w:t>8</w:t>
      </w:r>
      <w:proofErr w:type="gramStart"/>
      <w:r w:rsidRPr="00022B33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8</w:t>
      </w:r>
      <w:r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34909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0,1%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C35F4B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r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9C5A77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0,6%</w:t>
      </w:r>
      <w:r w:rsidRPr="00AD142F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34909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FE78FD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0,4%</w:t>
      </w:r>
      <w:r w:rsidR="0026679A">
        <w:rPr>
          <w:rFonts w:ascii="Arial" w:hAnsi="Arial" w:cs="Simplified Arabic" w:hint="cs"/>
          <w:sz w:val="32"/>
          <w:szCs w:val="32"/>
          <w:rtl/>
        </w:rPr>
        <w:t>؛</w:t>
      </w:r>
    </w:p>
    <w:p w:rsidR="00C35F4B" w:rsidRDefault="00C35F4B" w:rsidP="00C35F4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4E0661" w:rsidRPr="004E0661" w:rsidRDefault="00BB7F16" w:rsidP="0026679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34909" w:rsidRPr="00534909">
        <w:rPr>
          <w:rFonts w:ascii="Arial" w:hAnsi="Arial" w:cs="Simplified Arabic"/>
          <w:sz w:val="32"/>
          <w:szCs w:val="32"/>
          <w:rtl/>
          <w:lang w:bidi="ar-MA"/>
        </w:rPr>
        <w:t>التعدين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5126A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34909">
        <w:rPr>
          <w:rFonts w:ascii="Arial" w:hAnsi="Arial" w:cs="Simplified Arabic"/>
          <w:sz w:val="32"/>
          <w:szCs w:val="32"/>
        </w:rPr>
        <w:t>2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534909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126AE">
        <w:rPr>
          <w:rFonts w:ascii="Arial" w:hAnsi="Arial" w:cs="Simplified Arabic"/>
          <w:sz w:val="32"/>
          <w:szCs w:val="32"/>
        </w:rPr>
        <w:t xml:space="preserve"> </w:t>
      </w:r>
      <w:r w:rsidR="005126AE" w:rsidRPr="009637AD">
        <w:rPr>
          <w:rFonts w:ascii="Arial" w:hAnsi="Arial" w:cs="Simplified Arabic"/>
          <w:sz w:val="32"/>
          <w:szCs w:val="32"/>
          <w:rtl/>
        </w:rPr>
        <w:t>و</w:t>
      </w:r>
      <w:r w:rsidR="005126AE">
        <w:rPr>
          <w:rFonts w:ascii="Arial" w:hAnsi="Arial" w:cs="Simplified Arabic" w:hint="cs"/>
          <w:sz w:val="32"/>
          <w:szCs w:val="32"/>
          <w:rtl/>
        </w:rPr>
        <w:t>في</w:t>
      </w:r>
      <w:r w:rsidR="005126AE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D16780" w:rsidRPr="00D16780">
        <w:rPr>
          <w:rFonts w:ascii="Arial" w:hAnsi="Arial" w:cs="Arial"/>
          <w:sz w:val="32"/>
          <w:szCs w:val="32"/>
          <w:rtl/>
        </w:rPr>
        <w:t>صنع منتجات أخرى غير 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D142F">
        <w:rPr>
          <w:rFonts w:ascii="Arial" w:hAnsi="Arial" w:cs="Arial" w:hint="cs"/>
          <w:sz w:val="32"/>
          <w:szCs w:val="32"/>
          <w:rtl/>
        </w:rPr>
        <w:t>ب</w:t>
      </w:r>
      <w:r w:rsidR="00F01489">
        <w:rPr>
          <w:rFonts w:ascii="Arial" w:hAnsi="Arial" w:cs="Arial" w:hint="cs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>0,</w:t>
      </w:r>
      <w:r w:rsidR="00534909">
        <w:rPr>
          <w:rFonts w:ascii="Arial" w:hAnsi="Arial" w:cs="Simplified Arabic"/>
          <w:sz w:val="32"/>
          <w:szCs w:val="32"/>
        </w:rPr>
        <w:t>1</w:t>
      </w:r>
      <w:r w:rsidR="00AD142F">
        <w:rPr>
          <w:rFonts w:ascii="Arial" w:hAnsi="Arial" w:cs="Simplified Arabic"/>
          <w:sz w:val="32"/>
          <w:szCs w:val="32"/>
        </w:rPr>
        <w:t>%</w:t>
      </w:r>
      <w:r w:rsidR="0026679A">
        <w:rPr>
          <w:rFonts w:ascii="Arial" w:hAnsi="Arial" w:cs="Simplified Arabic" w:hint="cs"/>
          <w:sz w:val="32"/>
          <w:szCs w:val="32"/>
          <w:rtl/>
        </w:rPr>
        <w:t>.</w:t>
      </w:r>
    </w:p>
    <w:p w:rsidR="00C35F4B" w:rsidRPr="0026679A" w:rsidRDefault="00C35F4B" w:rsidP="008C203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Default="00BB4A47" w:rsidP="008C203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836A3D" w:rsidRPr="00836A3D">
        <w:rPr>
          <w:rFonts w:ascii="Arial" w:hAnsi="Arial" w:cs="Simplified Arabic"/>
          <w:sz w:val="32"/>
          <w:szCs w:val="32"/>
          <w:rtl/>
        </w:rPr>
        <w:t>يونيو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1D5B0E">
        <w:rPr>
          <w:rFonts w:ascii="Simplified Arabic" w:hAnsi="Simplified Arabic" w:cs="Simplified Arabic"/>
          <w:sz w:val="30"/>
          <w:szCs w:val="30"/>
          <w:lang w:bidi="ar-MA"/>
        </w:rPr>
        <w:t>201</w:t>
      </w:r>
      <w:r w:rsidR="008C203A">
        <w:rPr>
          <w:rFonts w:ascii="Simplified Arabic" w:hAnsi="Simplified Arabic" w:cs="Simplified Arabic"/>
          <w:sz w:val="30"/>
          <w:szCs w:val="30"/>
          <w:lang w:bidi="ar-MA"/>
        </w:rPr>
        <w:t>8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26679A" w:rsidRDefault="0026679A" w:rsidP="0026679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B741A1" w:rsidRDefault="00B741A1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8C20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F508D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C203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8C20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F508D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C203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C5E3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C5E38" w:rsidRPr="00DD6C01" w:rsidRDefault="00DC5E38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C5E38" w:rsidRPr="00DD6C01" w:rsidRDefault="00DC5E38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C5E38" w:rsidRPr="00DD6C01" w:rsidRDefault="00DC5E38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DC5E38" w:rsidRPr="00537C21" w:rsidRDefault="00DC5E38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DC5E38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C5E38" w:rsidRPr="00DD6C01" w:rsidRDefault="00DC5E3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C5E38" w:rsidRPr="00DD6C01" w:rsidRDefault="00DC5E3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C5E38" w:rsidRPr="00DD6C01" w:rsidRDefault="00DC5E3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C5E38" w:rsidRPr="00740F69" w:rsidRDefault="00DC5E3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DC5E3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C5E38" w:rsidRPr="00DD6C01" w:rsidRDefault="00DC5E3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C5E38" w:rsidRPr="00DD6C01" w:rsidRDefault="00DC5E3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C5E38" w:rsidRPr="00DD6C01" w:rsidRDefault="00DC5E3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C5E38" w:rsidRPr="00740F69" w:rsidRDefault="00DC5E3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DC5E38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C5E38" w:rsidRPr="00DD6C01" w:rsidRDefault="00DC5E38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C5E38" w:rsidRPr="00DD6C01" w:rsidRDefault="00DC5E38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DC5E38" w:rsidRDefault="00DC5E38" w:rsidP="00DC5E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C5E38" w:rsidRPr="00DD6C01" w:rsidRDefault="00DC5E38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DC5E38" w:rsidRPr="00740F69" w:rsidRDefault="00DC5E38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108,8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C35F4B" w:rsidRPr="00537C21" w:rsidRDefault="00C35F4B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35F4B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35F4B" w:rsidRPr="00740F69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35F4B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35F4B" w:rsidRPr="007452C1" w:rsidRDefault="00C35F4B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35F4B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35F4B" w:rsidRPr="00B53241" w:rsidRDefault="00C35F4B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35F4B" w:rsidRPr="00CF11CF" w:rsidRDefault="00C35F4B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35F4B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35F4B" w:rsidRPr="00DD6C01" w:rsidRDefault="00C35F4B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35F4B" w:rsidRPr="00DD6C01" w:rsidRDefault="00C35F4B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DD6C01" w:rsidRDefault="00C35F4B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35F4B" w:rsidRPr="00CF11CF" w:rsidRDefault="00C35F4B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35F4B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35F4B" w:rsidRPr="00537C21" w:rsidRDefault="00C35F4B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35F4B" w:rsidRPr="00824379" w:rsidRDefault="00C35F4B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C35F4B" w:rsidRDefault="00C35F4B" w:rsidP="00C35F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35F4B" w:rsidRPr="00824379" w:rsidRDefault="00C35F4B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35F4B" w:rsidRPr="00CD7F18" w:rsidRDefault="00C35F4B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67B4C"/>
    <w:rsid w:val="00082C47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D352F"/>
    <w:rsid w:val="000E1597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B640A"/>
    <w:rsid w:val="001C58CA"/>
    <w:rsid w:val="001D5B0E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7F3B"/>
    <w:rsid w:val="00240F0B"/>
    <w:rsid w:val="00243EF3"/>
    <w:rsid w:val="002446A5"/>
    <w:rsid w:val="00261244"/>
    <w:rsid w:val="0026679A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1707F"/>
    <w:rsid w:val="003231AA"/>
    <w:rsid w:val="0032630C"/>
    <w:rsid w:val="003263C8"/>
    <w:rsid w:val="00327B8B"/>
    <w:rsid w:val="003313C9"/>
    <w:rsid w:val="003411A8"/>
    <w:rsid w:val="00341F17"/>
    <w:rsid w:val="003428CE"/>
    <w:rsid w:val="0034374C"/>
    <w:rsid w:val="00353499"/>
    <w:rsid w:val="00357630"/>
    <w:rsid w:val="00360722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483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35A8"/>
    <w:rsid w:val="00474B50"/>
    <w:rsid w:val="00480602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1D99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57355"/>
    <w:rsid w:val="00661572"/>
    <w:rsid w:val="00663797"/>
    <w:rsid w:val="006710B4"/>
    <w:rsid w:val="0067716C"/>
    <w:rsid w:val="00692187"/>
    <w:rsid w:val="00695C37"/>
    <w:rsid w:val="00696C87"/>
    <w:rsid w:val="00696E2F"/>
    <w:rsid w:val="006A2312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77917"/>
    <w:rsid w:val="007806D5"/>
    <w:rsid w:val="0078207C"/>
    <w:rsid w:val="007912AD"/>
    <w:rsid w:val="00792250"/>
    <w:rsid w:val="0079340A"/>
    <w:rsid w:val="00794803"/>
    <w:rsid w:val="007A2432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102"/>
    <w:rsid w:val="00882340"/>
    <w:rsid w:val="00890E12"/>
    <w:rsid w:val="00892DB7"/>
    <w:rsid w:val="008A2C28"/>
    <w:rsid w:val="008A7606"/>
    <w:rsid w:val="008A7D3A"/>
    <w:rsid w:val="008B312D"/>
    <w:rsid w:val="008B7FFB"/>
    <w:rsid w:val="008C203A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34C9D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FE6"/>
    <w:rsid w:val="00A97328"/>
    <w:rsid w:val="00A976A5"/>
    <w:rsid w:val="00AA34CF"/>
    <w:rsid w:val="00AA3D1B"/>
    <w:rsid w:val="00AA45B0"/>
    <w:rsid w:val="00AA734C"/>
    <w:rsid w:val="00AB3488"/>
    <w:rsid w:val="00AC0210"/>
    <w:rsid w:val="00AC4061"/>
    <w:rsid w:val="00AD142F"/>
    <w:rsid w:val="00AD728D"/>
    <w:rsid w:val="00AE185B"/>
    <w:rsid w:val="00AE40CA"/>
    <w:rsid w:val="00AE5724"/>
    <w:rsid w:val="00AF74CC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3EFB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780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475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1489"/>
    <w:rsid w:val="00F03496"/>
    <w:rsid w:val="00F037E9"/>
    <w:rsid w:val="00F218A0"/>
    <w:rsid w:val="00F21EF5"/>
    <w:rsid w:val="00F23CC3"/>
    <w:rsid w:val="00F27D76"/>
    <w:rsid w:val="00F4586A"/>
    <w:rsid w:val="00F4764E"/>
    <w:rsid w:val="00F508D5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8</cp:revision>
  <cp:lastPrinted>2018-07-25T11:14:00Z</cp:lastPrinted>
  <dcterms:created xsi:type="dcterms:W3CDTF">2018-07-27T10:15:00Z</dcterms:created>
  <dcterms:modified xsi:type="dcterms:W3CDTF">2018-07-27T10:24:00Z</dcterms:modified>
</cp:coreProperties>
</file>