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A" w:rsidRDefault="00E725BB" w:rsidP="00F615EC">
      <w:pPr>
        <w:jc w:val="center"/>
        <w:rPr>
          <w:rtl/>
        </w:rPr>
      </w:pPr>
      <w:r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65.2pt;margin-top:-69.9pt;width:98.45pt;height:49.5pt;z-index:251659776" wrapcoords="-106 0 -106 21308 21600 21308 21600 0 -106 0">
            <v:imagedata r:id="rId8" o:title=""/>
            <w10:wrap type="tight"/>
          </v:shape>
          <o:OLEObject Type="Embed" ProgID="PBrush" ShapeID="_x0000_s1048" DrawAspect="Content" ObjectID="_1575231583" r:id="rId9"/>
        </w:pict>
      </w:r>
      <w:r>
        <w:rPr>
          <w:noProof/>
          <w:rtl/>
          <w:lang w:eastAsia="fr-FR"/>
        </w:rPr>
        <w:pict>
          <v:group id="Group 27" o:spid="_x0000_s1026" style="position:absolute;left:0;text-align:left;margin-left:-212.6pt;margin-top:-83.35pt;width:910.15pt;height:142.55pt;z-index:251660800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Zo8IA&#10;AADaAAAADwAAAGRycy9kb3ducmV2LnhtbESPzWrDMBCE74W8g9hAbo2cHkzrWDalEOihhzTOAyzW&#10;+iexVrYlx26ePioUehxm5hsmzRfTiRuNrrWsYLeNQBCXVrdcKzgXh+dXEM4ja+wsk4IfcpBnq6cU&#10;E21n/qbbydciQNglqKDxvk+kdGVDBt3W9sTBq+xo0Ac51lKPOAe46eRLFMXSYMthocGePhoqr6fJ&#10;KPiqj+fSvtHdY1Fd4mIZZpoGpTbr5X0PwtPi/8N/7U+tIIbfK+EG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pmjwgAAANo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ptcAA&#10;AADaAAAADwAAAGRycy9kb3ducmV2LnhtbESPT4vCMBTE7wt+h/AEb2taD7pWYxFB0ON2F8Xbo3m2&#10;xealNOkfv71ZEPY4zMxvmG06mlr01LrKsoJ4HoEgzq2uuFDw+3P8/ALhPLLG2jIpeJKDdDf52GKi&#10;7cDf1Ge+EAHCLkEFpfdNIqXLSzLo5rYhDt7dtgZ9kG0hdYtDgJtaLqJoKQ1WHBZKbOhQUv7IOqOg&#10;dwe9pnh5vl0vGZnL0HWaO6Vm03G/AeFp9P/hd/ukFazg70q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bptcAAAADa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9x7oA&#10;AADaAAAADwAAAGRycy9kb3ducmV2LnhtbERPuwrCMBTdBf8hXMFNUx1Eq1FEEHS0iuJ2aa5tsbkp&#10;Tfrw780gOB7Oe7PrTSlaql1hWcFsGoEgTq0uOFNwux4nSxDOI2ssLZOCDznYbYeDDcbadnyhNvGZ&#10;CCHsYlSQe1/FUro0J4NuaiviwL1sbdAHWGdS19iFcFPKeRQtpMGCQ0OOFR1ySt9JYxS07qBXNFuc&#10;n497QubeNY3mRqnxqN+vQXjq/V/8c5+0grA1XAk3QG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7l9x7oAAADaAAAADwAAAAAAAAAAAAAAAACYAgAAZHJzL2Rvd25yZXYueG1s&#10;UEsFBgAAAAAEAAQA9QAAAH8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F615EC">
        <w:t xml:space="preserve">                        </w:t>
      </w:r>
    </w:p>
    <w:p w:rsidR="00463BA2" w:rsidRPr="00AD1337" w:rsidRDefault="00D63BA7" w:rsidP="00224A45">
      <w:pPr>
        <w:rPr>
          <w:rtl/>
        </w:rPr>
      </w:pPr>
      <w:r w:rsidRPr="00AD1337">
        <w:t xml:space="preserve">                             </w:t>
      </w:r>
      <w:r w:rsidR="00910F07" w:rsidRPr="00AD1337">
        <w:t xml:space="preserve">                              </w:t>
      </w:r>
    </w:p>
    <w:p w:rsidR="00FB117E" w:rsidRPr="00AD1337" w:rsidRDefault="0062212A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ات </w:t>
      </w:r>
      <w:r w:rsidR="003A276D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التحويلية و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870B7B" w:rsidRPr="00984E6A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  <w:rtl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  <w:r w:rsidR="00B205F6">
        <w:rPr>
          <w:rFonts w:ascii="Calibri" w:hAnsi="Calibri" w:cs="Arabic Transparent"/>
          <w:b/>
          <w:bCs/>
          <w:color w:val="E36C0A"/>
          <w:sz w:val="40"/>
          <w:szCs w:val="40"/>
        </w:rPr>
        <w:t xml:space="preserve">       </w:t>
      </w:r>
      <w:r w:rsidR="00F17282" w:rsidRPr="00984E6A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</w:t>
      </w:r>
      <w:r w:rsidR="00870B7B" w:rsidRPr="00984E6A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</w:t>
      </w:r>
    </w:p>
    <w:p w:rsidR="00FB117E" w:rsidRPr="00AD1337" w:rsidRDefault="00870B7B" w:rsidP="00E46CA3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                       </w:t>
      </w:r>
      <w:r w:rsidR="00E46CA3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دجنبر</w:t>
      </w:r>
      <w:r w:rsidR="001826A5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E20C8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  <w:r w:rsidR="00F17282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870B7B" w:rsidRPr="00AD1337" w:rsidRDefault="00E725BB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E725BB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50" type="#_x0000_t32" style="position:absolute;left:0;text-align:left;margin-left:-37.15pt;margin-top:6.5pt;width:522.4pt;height:1.5pt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" strokecolor="#e46c0a">
            <v:shadow color="#974706 [1609]" opacity=".5" offset="1pt"/>
          </v:shape>
        </w:pict>
      </w:r>
    </w:p>
    <w:p w:rsidR="00FB117E" w:rsidRPr="00AD1337" w:rsidRDefault="00E725BB" w:rsidP="00082557">
      <w:pPr>
        <w:jc w:val="center"/>
        <w:rPr>
          <w:rFonts w:ascii="Calibri" w:hAnsi="Calibri" w:cs="Arabic Transparent"/>
          <w:rtl/>
          <w:lang w:bidi="ar-MA"/>
        </w:rPr>
      </w:pPr>
      <w:r w:rsidRPr="00E725BB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49" type="#_x0000_t202" style="position:absolute;left:0;text-align:left;margin-left:-37.15pt;margin-top:3.65pt;width:496.9pt;height:84.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" fillcolor="#fbd4b4">
            <v:textbox>
              <w:txbxContent>
                <w:p w:rsidR="002249B4" w:rsidRDefault="008A0153" w:rsidP="002C6C93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2"/>
                      <w:szCs w:val="22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ارتسامات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E46CA3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201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7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  <w:p w:rsidR="008A0153" w:rsidRPr="00AD1337" w:rsidRDefault="008A0153" w:rsidP="002C6C93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وترصد هذه الإرتسامات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Pr="00AD133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E46CA3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الثالث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="00D125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2017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E46CA3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2C6C93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لنفس السنة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  <w:r w:rsidRPr="00AD1337">
                    <w:rPr>
                      <w:rFonts w:ascii="Calibri" w:hAnsi="Calibri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82557" w:rsidRPr="00AD1337">
        <w:rPr>
          <w:rFonts w:ascii="Calibri" w:hAnsi="Calibri" w:cs="Arabic Transparent"/>
          <w:lang w:bidi="ar-MA"/>
        </w:rPr>
        <w:t xml:space="preserve">             </w: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4559FB" w:rsidRPr="00AD1337" w:rsidRDefault="002F100B" w:rsidP="009703E9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 w:rsidRPr="00AD1337">
        <w:rPr>
          <w:rFonts w:ascii="Calibri" w:hAnsi="Calibri" w:cs="Arabic Transparent"/>
          <w:b/>
          <w:bCs/>
          <w:color w:val="660066"/>
          <w:sz w:val="28"/>
          <w:szCs w:val="28"/>
        </w:rPr>
        <w:t xml:space="preserve"> </w:t>
      </w:r>
      <w:r w:rsidR="003024E2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1.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تقدير </w:t>
      </w:r>
      <w:r w:rsidR="00561CC4">
        <w:rPr>
          <w:rFonts w:ascii="Calibri" w:hAnsi="Calibri" w:cs="Arabic Transparent" w:hint="eastAsia"/>
          <w:b/>
          <w:bCs/>
          <w:color w:val="660066"/>
          <w:sz w:val="28"/>
          <w:szCs w:val="28"/>
          <w:rtl/>
        </w:rPr>
        <w:t>الإنتاج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حسب</w:t>
      </w:r>
      <w:r w:rsidR="003024E2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رتسامات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E46CA3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الثالث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D12516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2017</w:t>
      </w:r>
    </w:p>
    <w:p w:rsidR="006641B2" w:rsidRPr="00AD1337" w:rsidRDefault="00325724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-471805</wp:posOffset>
            </wp:positionH>
            <wp:positionV relativeFrom="margin">
              <wp:posOffset>3623945</wp:posOffset>
            </wp:positionV>
            <wp:extent cx="2691765" cy="2343150"/>
            <wp:effectExtent l="0" t="0" r="0" b="0"/>
            <wp:wrapSquare wrapText="bothSides"/>
            <wp:docPr id="3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641B2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36AEC" w:rsidRDefault="007A21DC" w:rsidP="00AC1D46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E46CA3">
        <w:rPr>
          <w:rFonts w:cs="Times New Roman"/>
          <w:sz w:val="26"/>
          <w:szCs w:val="26"/>
          <w:rtl/>
          <w:lang w:bidi="ar-MA"/>
        </w:rPr>
        <w:t>الثالث</w:t>
      </w:r>
      <w:r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سنة </w:t>
      </w:r>
      <w:r w:rsidR="00D12516">
        <w:rPr>
          <w:rFonts w:cs="Times New Roman" w:hint="cs"/>
          <w:sz w:val="26"/>
          <w:szCs w:val="26"/>
          <w:rtl/>
          <w:lang w:bidi="ar-MA"/>
        </w:rPr>
        <w:t>2017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784772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 xml:space="preserve">تكون قدرة الإنتاج المستعملة </w:t>
      </w:r>
      <w:r w:rsidR="00784772" w:rsidRPr="00E23F42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</w:t>
      </w:r>
      <w:r w:rsidR="00784772" w:rsidRPr="00E23F42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784772" w:rsidRPr="00784772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الصناعة التحويلية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 </w:t>
      </w:r>
      <w:r w:rsidR="00AC1D46">
        <w:rPr>
          <w:rFonts w:cs="Times New Roman" w:hint="cs"/>
          <w:noProof/>
          <w:sz w:val="26"/>
          <w:szCs w:val="26"/>
          <w:rtl/>
          <w:lang w:eastAsia="fr-FR" w:bidi="ar-MA"/>
        </w:rPr>
        <w:t>78</w:t>
      </w:r>
      <w:r w:rsidR="0078477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901B98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وبخصوص</w:t>
      </w:r>
      <w:r w:rsidR="0096304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6A299F" w:rsidRPr="00FF5B51">
        <w:rPr>
          <w:rFonts w:cs="Times New Roman"/>
          <w:sz w:val="26"/>
          <w:szCs w:val="26"/>
          <w:rtl/>
          <w:lang w:bidi="ar-MA"/>
        </w:rPr>
        <w:t>إنتاج</w:t>
      </w:r>
      <w:r w:rsidR="006A299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E7439A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01B98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="00901B9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6A299F" w:rsidRPr="00AD1337">
        <w:rPr>
          <w:rFonts w:cs="Times New Roman"/>
          <w:sz w:val="26"/>
          <w:szCs w:val="26"/>
          <w:lang w:bidi="ar-MA"/>
        </w:rPr>
        <w:t xml:space="preserve"> </w:t>
      </w:r>
      <w:r w:rsidR="006F7803" w:rsidRPr="00AD1337">
        <w:rPr>
          <w:rFonts w:cs="Times New Roman"/>
          <w:sz w:val="26"/>
          <w:szCs w:val="26"/>
          <w:rtl/>
          <w:lang w:bidi="ar-MA"/>
        </w:rPr>
        <w:t>عرف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52A22">
        <w:rPr>
          <w:rFonts w:cs="Times New Roman" w:hint="cs"/>
          <w:sz w:val="26"/>
          <w:szCs w:val="26"/>
          <w:rtl/>
          <w:lang w:bidi="ar-MA"/>
        </w:rPr>
        <w:t>ا</w:t>
      </w:r>
      <w:r w:rsidR="00217272">
        <w:rPr>
          <w:rFonts w:cs="Times New Roman" w:hint="cs"/>
          <w:sz w:val="26"/>
          <w:szCs w:val="26"/>
          <w:rtl/>
          <w:lang w:bidi="ar-MA"/>
        </w:rPr>
        <w:t>ستقرارا</w:t>
      </w:r>
      <w:r w:rsidR="006A299F" w:rsidRPr="00AD1337">
        <w:rPr>
          <w:rFonts w:cs="Times New Roman"/>
          <w:sz w:val="26"/>
          <w:szCs w:val="26"/>
          <w:rtl/>
          <w:lang w:bidi="ar-MA"/>
        </w:rPr>
        <w:t xml:space="preserve"> حسب</w:t>
      </w:r>
      <w:r w:rsidR="00AC1D46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17272">
        <w:rPr>
          <w:rFonts w:cs="Times New Roman" w:hint="cs"/>
          <w:sz w:val="26"/>
          <w:szCs w:val="26"/>
          <w:rtl/>
          <w:lang w:bidi="ar-MA"/>
        </w:rPr>
        <w:t>40</w:t>
      </w:r>
      <w:r w:rsidR="00AC1D4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من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أرباب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8542C" w:rsidRPr="00AD1337">
        <w:rPr>
          <w:rFonts w:cs="Times New Roman"/>
          <w:sz w:val="26"/>
          <w:szCs w:val="26"/>
          <w:rtl/>
          <w:lang w:bidi="ar-MA"/>
        </w:rPr>
        <w:t>ا</w:t>
      </w:r>
      <w:r w:rsidR="00B12E1A" w:rsidRPr="00AD1337">
        <w:rPr>
          <w:rFonts w:cs="Times New Roman"/>
          <w:sz w:val="26"/>
          <w:szCs w:val="26"/>
          <w:rtl/>
          <w:lang w:bidi="ar-MA"/>
        </w:rPr>
        <w:t>لمقاولات</w:t>
      </w:r>
      <w:r w:rsidR="009A1F57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وا</w:t>
      </w:r>
      <w:r w:rsidR="00217272">
        <w:rPr>
          <w:rFonts w:cs="Times New Roman" w:hint="cs"/>
          <w:sz w:val="26"/>
          <w:szCs w:val="26"/>
          <w:rtl/>
          <w:lang w:bidi="ar-MA"/>
        </w:rPr>
        <w:t>رتفاعا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C1D46" w:rsidRPr="00AD1337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AC1D46" w:rsidRPr="00AD1337">
        <w:rPr>
          <w:rFonts w:cs="Times New Roman"/>
          <w:sz w:val="26"/>
          <w:szCs w:val="26"/>
          <w:lang w:bidi="ar-MA"/>
        </w:rPr>
        <w:t>%31</w:t>
      </w:r>
      <w:r w:rsidR="00AC1D46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B12E1A" w:rsidRPr="00AD1337">
        <w:rPr>
          <w:rFonts w:cs="Times New Roman"/>
          <w:sz w:val="26"/>
          <w:szCs w:val="26"/>
          <w:rtl/>
          <w:lang w:bidi="ar-MA"/>
        </w:rPr>
        <w:t>.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732E82" w:rsidRPr="00AD1337">
        <w:rPr>
          <w:rFonts w:cs="Times New Roman"/>
          <w:sz w:val="26"/>
          <w:szCs w:val="26"/>
          <w:rtl/>
          <w:lang w:bidi="ar-MA"/>
        </w:rPr>
        <w:t>ويعزى هذا</w:t>
      </w:r>
      <w:r w:rsidR="009028C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>الت</w:t>
      </w:r>
      <w:r w:rsidR="00E44BD8" w:rsidRPr="00AD1337">
        <w:rPr>
          <w:rFonts w:cs="Times New Roman" w:hint="cs"/>
          <w:sz w:val="26"/>
          <w:szCs w:val="26"/>
          <w:rtl/>
          <w:lang w:bidi="ar-MA"/>
        </w:rPr>
        <w:t>طور</w:t>
      </w:r>
      <w:r w:rsidR="00436AE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3E7962" w:rsidRPr="00AD1337">
        <w:rPr>
          <w:rFonts w:cs="Times New Roman" w:hint="cs"/>
          <w:sz w:val="26"/>
          <w:szCs w:val="26"/>
          <w:rtl/>
          <w:lang w:bidi="ar-MA"/>
        </w:rPr>
        <w:t>إجمالا، من</w:t>
      </w:r>
      <w:r w:rsidR="00784772" w:rsidRPr="00AD1337">
        <w:rPr>
          <w:rFonts w:cs="Times New Roman" w:hint="cs"/>
          <w:sz w:val="26"/>
          <w:szCs w:val="26"/>
          <w:rtl/>
          <w:lang w:bidi="ar-MA"/>
        </w:rPr>
        <w:t xml:space="preserve"> جهة</w:t>
      </w:r>
      <w:r w:rsidR="00E7439A">
        <w:rPr>
          <w:rFonts w:cs="Times New Roman" w:hint="cs"/>
          <w:sz w:val="26"/>
          <w:szCs w:val="26"/>
          <w:rtl/>
          <w:lang w:bidi="ar-MA"/>
        </w:rPr>
        <w:t>،</w:t>
      </w:r>
      <w:r w:rsidR="00784772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436AEC" w:rsidRPr="00AD1337">
        <w:rPr>
          <w:rFonts w:cs="Times New Roman"/>
          <w:sz w:val="26"/>
          <w:szCs w:val="26"/>
          <w:rtl/>
          <w:lang w:bidi="ar-MA"/>
        </w:rPr>
        <w:t>إلى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>
        <w:rPr>
          <w:rFonts w:cs="Times New Roman" w:hint="cs"/>
          <w:sz w:val="26"/>
          <w:szCs w:val="26"/>
          <w:rtl/>
          <w:lang w:bidi="ar-MA"/>
        </w:rPr>
        <w:t>الزيادة</w:t>
      </w:r>
      <w:r w:rsidR="00CA5D2F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>
        <w:rPr>
          <w:rFonts w:cs="Times New Roman" w:hint="cs"/>
          <w:sz w:val="26"/>
          <w:szCs w:val="26"/>
          <w:rtl/>
          <w:lang w:bidi="ar-MA"/>
        </w:rPr>
        <w:t>في</w:t>
      </w:r>
      <w:r w:rsidR="003E230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3E2303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أنشطة "</w:t>
      </w:r>
      <w:r w:rsidR="00E30BAD" w:rsidRPr="00E30BAD">
        <w:rPr>
          <w:rFonts w:cs="Times New Roman"/>
          <w:sz w:val="26"/>
          <w:szCs w:val="26"/>
          <w:rtl/>
          <w:lang w:bidi="ar-MA"/>
        </w:rPr>
        <w:t>صناعة المشروبات</w:t>
      </w:r>
      <w:r w:rsidR="003E2303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E30BAD">
        <w:rPr>
          <w:rFonts w:cs="Times New Roman" w:hint="cs"/>
          <w:sz w:val="26"/>
          <w:szCs w:val="26"/>
          <w:rtl/>
          <w:lang w:bidi="ar-MA"/>
        </w:rPr>
        <w:t>"</w:t>
      </w:r>
      <w:r w:rsidR="00E30BAD" w:rsidRPr="00052A22">
        <w:rPr>
          <w:rFonts w:cs="Times New Roman" w:hint="cs"/>
          <w:sz w:val="26"/>
          <w:szCs w:val="26"/>
          <w:rtl/>
          <w:lang w:bidi="ar-MA"/>
        </w:rPr>
        <w:t>ال</w:t>
      </w:r>
      <w:r w:rsidR="00E30BAD" w:rsidRPr="00052A22">
        <w:rPr>
          <w:rFonts w:cs="Times New Roman"/>
          <w:sz w:val="26"/>
          <w:szCs w:val="26"/>
          <w:rtl/>
          <w:lang w:bidi="ar-MA"/>
        </w:rPr>
        <w:t xml:space="preserve">صناعات </w:t>
      </w:r>
      <w:r w:rsidR="00E30BAD">
        <w:rPr>
          <w:rFonts w:cs="Times New Roman" w:hint="cs"/>
          <w:sz w:val="26"/>
          <w:szCs w:val="26"/>
          <w:rtl/>
          <w:lang w:bidi="ar-MA"/>
        </w:rPr>
        <w:t>ال</w:t>
      </w:r>
      <w:r w:rsidR="00E30BAD" w:rsidRPr="00052A22">
        <w:rPr>
          <w:rFonts w:cs="Times New Roman"/>
          <w:sz w:val="26"/>
          <w:szCs w:val="26"/>
          <w:rtl/>
          <w:lang w:bidi="ar-MA"/>
        </w:rPr>
        <w:t>غذائية</w:t>
      </w:r>
      <w:r w:rsidR="00E30BAD">
        <w:rPr>
          <w:rFonts w:cs="Times New Roman" w:hint="cs"/>
          <w:sz w:val="26"/>
          <w:szCs w:val="26"/>
          <w:rtl/>
          <w:lang w:bidi="ar-MA"/>
        </w:rPr>
        <w:t>"</w:t>
      </w:r>
      <w:r w:rsidR="00784772" w:rsidRPr="00AD1337">
        <w:rPr>
          <w:rFonts w:cs="Times New Roman" w:hint="cs"/>
          <w:sz w:val="26"/>
          <w:szCs w:val="26"/>
          <w:rtl/>
          <w:lang w:bidi="ar-MA"/>
        </w:rPr>
        <w:t>،</w:t>
      </w:r>
      <w:r w:rsidR="00E30BA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E7962">
        <w:rPr>
          <w:rFonts w:cs="Times New Roman" w:hint="cs"/>
          <w:sz w:val="26"/>
          <w:szCs w:val="26"/>
          <w:rtl/>
          <w:lang w:bidi="ar-MA"/>
        </w:rPr>
        <w:t>و</w:t>
      </w:r>
      <w:r w:rsidR="00784772" w:rsidRPr="00AD1337">
        <w:rPr>
          <w:rFonts w:cs="Times New Roman" w:hint="cs"/>
          <w:sz w:val="26"/>
          <w:szCs w:val="26"/>
          <w:rtl/>
          <w:lang w:bidi="ar-MA"/>
        </w:rPr>
        <w:t>من جهة أخرى</w:t>
      </w:r>
      <w:bookmarkStart w:id="0" w:name="_GoBack"/>
      <w:bookmarkEnd w:id="0"/>
      <w:r w:rsidR="00784772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E2303" w:rsidRPr="00AD1337">
        <w:rPr>
          <w:rFonts w:cs="Times New Roman"/>
          <w:sz w:val="26"/>
          <w:szCs w:val="26"/>
          <w:rtl/>
          <w:lang w:bidi="ar-MA"/>
        </w:rPr>
        <w:t>إلى</w:t>
      </w:r>
      <w:r w:rsidR="003E230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43138">
        <w:rPr>
          <w:rFonts w:cs="Times New Roman" w:hint="cs"/>
          <w:sz w:val="26"/>
          <w:szCs w:val="26"/>
          <w:rtl/>
          <w:lang w:bidi="ar-MA"/>
        </w:rPr>
        <w:t>الانخفاض</w:t>
      </w:r>
      <w:r w:rsidR="005E39D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26C06" w:rsidRPr="00AD1337">
        <w:rPr>
          <w:rFonts w:cs="Times New Roman"/>
          <w:sz w:val="26"/>
          <w:szCs w:val="26"/>
          <w:rtl/>
          <w:lang w:bidi="ar-MA"/>
        </w:rPr>
        <w:t xml:space="preserve">في إنتاج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>نشطة</w:t>
      </w:r>
      <w:r w:rsidR="00F778E1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A5D2F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E30BAD" w:rsidRPr="00E30BAD">
        <w:rPr>
          <w:rFonts w:cs="Times New Roman"/>
          <w:sz w:val="26"/>
          <w:szCs w:val="26"/>
          <w:rtl/>
          <w:lang w:bidi="ar-MA"/>
        </w:rPr>
        <w:t>صناعة السيارات</w:t>
      </w:r>
      <w:r w:rsidR="00CA5D2F">
        <w:rPr>
          <w:rFonts w:cs="Times New Roman" w:hint="cs"/>
          <w:sz w:val="26"/>
          <w:szCs w:val="26"/>
          <w:rtl/>
          <w:lang w:bidi="ar-MA"/>
        </w:rPr>
        <w:t>"</w:t>
      </w:r>
      <w:r w:rsidR="00E30BAD">
        <w:rPr>
          <w:rFonts w:cs="Times New Roman" w:hint="cs"/>
          <w:sz w:val="26"/>
          <w:szCs w:val="26"/>
          <w:rtl/>
          <w:lang w:bidi="ar-MA"/>
        </w:rPr>
        <w:t xml:space="preserve"> و "</w:t>
      </w:r>
      <w:r w:rsidR="00E30BAD" w:rsidRPr="00E30BAD">
        <w:rPr>
          <w:rFonts w:cs="Times New Roman"/>
          <w:sz w:val="26"/>
          <w:szCs w:val="26"/>
          <w:rtl/>
          <w:lang w:bidi="ar-MA"/>
        </w:rPr>
        <w:t>صنع الورق والورق المقوى</w:t>
      </w:r>
      <w:r w:rsidR="00E30BAD">
        <w:rPr>
          <w:rFonts w:cs="Times New Roman" w:hint="cs"/>
          <w:sz w:val="26"/>
          <w:szCs w:val="26"/>
          <w:rtl/>
          <w:lang w:bidi="ar-MA"/>
        </w:rPr>
        <w:t>"</w:t>
      </w:r>
      <w:r w:rsidR="00CD72FA" w:rsidRPr="00AD1337">
        <w:rPr>
          <w:rFonts w:cs="Times New Roman" w:hint="cs"/>
          <w:sz w:val="26"/>
          <w:szCs w:val="26"/>
          <w:rtl/>
          <w:lang w:bidi="ar-MA"/>
        </w:rPr>
        <w:t>.</w:t>
      </w:r>
    </w:p>
    <w:p w:rsidR="008634D8" w:rsidRPr="00AD1337" w:rsidRDefault="009911D9" w:rsidP="00AC1D46">
      <w:pPr>
        <w:pStyle w:val="Retraitcorpsdetexte"/>
        <w:spacing w:after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-513715</wp:posOffset>
            </wp:positionH>
            <wp:positionV relativeFrom="margin">
              <wp:posOffset>6124575</wp:posOffset>
            </wp:positionV>
            <wp:extent cx="2739390" cy="2389505"/>
            <wp:effectExtent l="0" t="0" r="0" b="0"/>
            <wp:wrapSquare wrapText="bothSides"/>
            <wp:docPr id="3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7A21D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D9766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عادي</w:t>
      </w:r>
      <w:r w:rsidR="00BA5872" w:rsidRPr="00AD1337">
        <w:rPr>
          <w:rFonts w:cs="Times New Roman"/>
          <w:sz w:val="26"/>
          <w:szCs w:val="26"/>
          <w:rtl/>
          <w:lang w:bidi="ar-MA"/>
        </w:rPr>
        <w:t>ا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E30BAD">
        <w:rPr>
          <w:rFonts w:cs="Times New Roman" w:hint="cs"/>
          <w:sz w:val="26"/>
          <w:szCs w:val="26"/>
          <w:rtl/>
          <w:lang w:bidi="ar-MA"/>
        </w:rPr>
        <w:t>64</w:t>
      </w:r>
      <w:r w:rsidR="00AC1D46" w:rsidRPr="00AD1337">
        <w:rPr>
          <w:rFonts w:cs="Times New Roman"/>
          <w:sz w:val="26"/>
          <w:szCs w:val="26"/>
          <w:lang w:bidi="ar-MA"/>
        </w:rPr>
        <w:t>%</w:t>
      </w:r>
      <w:r w:rsidR="00F1017D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13DB8" w:rsidRPr="00AD1337">
        <w:rPr>
          <w:rFonts w:cs="Times New Roman"/>
          <w:sz w:val="26"/>
          <w:szCs w:val="26"/>
          <w:rtl/>
          <w:lang w:bidi="ar-MA"/>
        </w:rPr>
        <w:t>من</w:t>
      </w:r>
      <w:r w:rsidR="008634D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AD1337">
        <w:rPr>
          <w:rFonts w:cs="Times New Roman"/>
          <w:noProof/>
          <w:sz w:val="26"/>
          <w:szCs w:val="26"/>
          <w:rtl/>
          <w:lang w:eastAsia="fr-FR"/>
        </w:rPr>
        <w:t>مقاولات</w:t>
      </w:r>
      <w:r w:rsidR="00C94AC9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هذا القطاع </w:t>
      </w:r>
      <w:r w:rsidR="00FF5095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أقل</w:t>
      </w:r>
      <w:r w:rsidR="00E44BD8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من عادي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31842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حسب 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="00E30BAD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AC1D4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AC1D4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C6C93">
        <w:rPr>
          <w:rFonts w:cs="Times New Roman" w:hint="cs"/>
          <w:noProof/>
          <w:sz w:val="26"/>
          <w:szCs w:val="26"/>
          <w:rtl/>
          <w:lang w:eastAsia="fr-FR"/>
        </w:rPr>
        <w:t>م</w:t>
      </w:r>
      <w:r w:rsidR="002C6C93">
        <w:rPr>
          <w:rFonts w:cs="Times New Roman" w:hint="cs"/>
          <w:sz w:val="26"/>
          <w:szCs w:val="26"/>
          <w:rtl/>
          <w:lang w:bidi="ar-MA"/>
        </w:rPr>
        <w:t>نهم.</w:t>
      </w:r>
    </w:p>
    <w:p w:rsidR="004551FE" w:rsidRPr="00AD1337" w:rsidRDefault="0063369B" w:rsidP="00AC1D46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وفيما يتعلق بعدد المشتغلين، </w:t>
      </w:r>
      <w:r w:rsidR="00814D8C">
        <w:rPr>
          <w:rFonts w:cs="Times New Roman" w:hint="cs"/>
          <w:sz w:val="26"/>
          <w:szCs w:val="26"/>
          <w:rtl/>
          <w:lang w:bidi="ar-MA"/>
        </w:rPr>
        <w:t>ف</w:t>
      </w:r>
      <w:r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</w:t>
      </w:r>
      <w:r w:rsidR="00E30BAD">
        <w:rPr>
          <w:rFonts w:cs="Times New Roman" w:hint="cs"/>
          <w:sz w:val="26"/>
          <w:szCs w:val="26"/>
          <w:rtl/>
          <w:lang w:bidi="ar-MA"/>
        </w:rPr>
        <w:t>استقرارا</w:t>
      </w:r>
      <w:r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E30BAD">
        <w:rPr>
          <w:rFonts w:cs="Times New Roman" w:hint="cs"/>
          <w:noProof/>
          <w:sz w:val="26"/>
          <w:szCs w:val="26"/>
          <w:rtl/>
          <w:lang w:eastAsia="fr-FR"/>
        </w:rPr>
        <w:t>80</w:t>
      </w:r>
      <w:r w:rsidR="00AC1D4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AC1D4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من أرباب المقاولات</w:t>
      </w:r>
      <w:r w:rsidR="00E7439A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91366F" w:rsidRPr="00AD1337" w:rsidRDefault="00784772" w:rsidP="00DD7A42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تكون قدرة الإنتاج</w:t>
      </w:r>
      <w:r w:rsidR="00AE3D51">
        <w:rPr>
          <w:rFonts w:cs="Times New Roman" w:hint="cs"/>
          <w:noProof/>
          <w:sz w:val="26"/>
          <w:szCs w:val="26"/>
          <w:rtl/>
          <w:lang w:eastAsia="fr-FR"/>
        </w:rPr>
        <w:t xml:space="preserve"> المستعملة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AE3D51" w:rsidRPr="00AE3D5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Pr="00AE3D5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الصناعة ال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ستخراجية</w:t>
      </w:r>
      <w:r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سجلت نسبة </w:t>
      </w:r>
      <w:r w:rsidR="00174239">
        <w:rPr>
          <w:rFonts w:cs="Times New Roman" w:hint="cs"/>
          <w:noProof/>
          <w:sz w:val="26"/>
          <w:szCs w:val="26"/>
          <w:rtl/>
          <w:lang w:eastAsia="fr-FR"/>
        </w:rPr>
        <w:t>73</w:t>
      </w:r>
      <w:r w:rsidR="00DD7A4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DD7A4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خلال الفصل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من سنة 2017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2A70D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بخصوص</w:t>
      </w:r>
      <w:r w:rsidRPr="00AD1337">
        <w:rPr>
          <w:rFonts w:cs="Times New Roman" w:hint="cs"/>
          <w:b/>
          <w:bCs/>
          <w:noProof/>
          <w:color w:val="943634"/>
          <w:sz w:val="26"/>
          <w:szCs w:val="26"/>
          <w:rtl/>
          <w:lang w:eastAsia="fr-FR"/>
        </w:rPr>
        <w:t xml:space="preserve"> 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="00F648DB" w:rsidRPr="00AD1337">
        <w:rPr>
          <w:rFonts w:cs="Times New Roman" w:hint="cs"/>
          <w:noProof/>
          <w:sz w:val="26"/>
          <w:szCs w:val="26"/>
          <w:rtl/>
          <w:lang w:eastAsia="fr-FR"/>
        </w:rPr>
        <w:t>نتاج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 xml:space="preserve"> هذا</w:t>
      </w:r>
      <w:r w:rsidR="00F648D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485220" w:rsidRPr="00784772">
        <w:rPr>
          <w:rFonts w:cs="Times New Roman"/>
          <w:noProof/>
          <w:sz w:val="26"/>
          <w:szCs w:val="26"/>
          <w:rtl/>
          <w:lang w:eastAsia="fr-FR"/>
        </w:rPr>
        <w:t>قطاع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،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A1CE4" w:rsidRPr="004A1CE4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784772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="0048522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A1CE4" w:rsidRPr="00AD1337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4A1CE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85220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340AD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63369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ED2687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="00174239">
        <w:rPr>
          <w:rFonts w:cs="Times New Roman" w:hint="cs"/>
          <w:noProof/>
          <w:sz w:val="26"/>
          <w:szCs w:val="26"/>
          <w:rtl/>
          <w:lang w:eastAsia="fr-FR"/>
        </w:rPr>
        <w:t>4</w:t>
      </w:r>
      <w:r w:rsidR="00DD7A4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DD7A4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A2F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63369B" w:rsidRPr="00AD1337">
        <w:rPr>
          <w:rFonts w:cs="Times New Roman" w:hint="cs"/>
          <w:noProof/>
          <w:sz w:val="26"/>
          <w:szCs w:val="26"/>
          <w:rtl/>
          <w:lang w:eastAsia="fr-FR"/>
        </w:rPr>
        <w:t>رؤساء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 w:rsidR="00F340AD">
        <w:rPr>
          <w:rFonts w:cs="Times New Roman" w:hint="cs"/>
          <w:noProof/>
          <w:sz w:val="26"/>
          <w:szCs w:val="26"/>
          <w:rtl/>
          <w:lang w:eastAsia="fr-FR"/>
        </w:rPr>
        <w:t xml:space="preserve">الزيادة في </w:t>
      </w:r>
      <w:r w:rsidR="00935EB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F47D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"الصناعات الإستخراجية الأخرى"</w:t>
      </w:r>
      <w:r w:rsidR="00EC04D1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482288" w:rsidRPr="00AD1337" w:rsidRDefault="001D4ABF" w:rsidP="00C94596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>من جهة أخرى،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اعتُبر مستوى دفاتر الطلب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عاديا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553842">
        <w:rPr>
          <w:rFonts w:cs="Times New Roman" w:hint="cs"/>
          <w:noProof/>
          <w:sz w:val="26"/>
          <w:szCs w:val="26"/>
          <w:rtl/>
          <w:lang w:eastAsia="fr-FR"/>
        </w:rPr>
        <w:t>9</w:t>
      </w:r>
      <w:r w:rsidR="00174239">
        <w:rPr>
          <w:rFonts w:cs="Times New Roman" w:hint="cs"/>
          <w:noProof/>
          <w:sz w:val="26"/>
          <w:szCs w:val="26"/>
          <w:rtl/>
          <w:lang w:eastAsia="fr-FR"/>
        </w:rPr>
        <w:t>4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9459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مسؤولي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>مقاولات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74239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CF0" w:rsidRPr="00AD1337">
        <w:rPr>
          <w:rFonts w:cs="Times New Roman" w:hint="cs"/>
          <w:noProof/>
          <w:sz w:val="26"/>
          <w:szCs w:val="26"/>
          <w:rtl/>
          <w:lang w:eastAsia="fr-FR"/>
        </w:rPr>
        <w:t>حسب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74239">
        <w:rPr>
          <w:rFonts w:cs="Times New Roman" w:hint="cs"/>
          <w:noProof/>
          <w:sz w:val="26"/>
          <w:szCs w:val="26"/>
          <w:rtl/>
          <w:lang w:eastAsia="fr-FR"/>
        </w:rPr>
        <w:t>78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9459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1F69">
        <w:rPr>
          <w:rFonts w:cs="Times New Roman" w:hint="cs"/>
          <w:noProof/>
          <w:sz w:val="26"/>
          <w:szCs w:val="26"/>
          <w:rtl/>
          <w:lang w:eastAsia="fr-FR"/>
        </w:rPr>
        <w:t>من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المقاولين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B807BE" w:rsidRPr="00AD1337" w:rsidRDefault="006E4CF0" w:rsidP="00C94596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فيما يتعلق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ب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قطاع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CF3734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الطاقة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 xml:space="preserve"> قد تكون</w:t>
      </w:r>
      <w:r w:rsidR="00784772"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784772"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 w:rsidR="0086080B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A62E38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DD3437">
        <w:rPr>
          <w:rFonts w:cs="Times New Roman" w:hint="cs"/>
          <w:noProof/>
          <w:sz w:val="26"/>
          <w:szCs w:val="26"/>
          <w:rtl/>
          <w:lang w:eastAsia="fr-FR"/>
        </w:rPr>
        <w:t>92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E7401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5F4468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5F4468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84772" w:rsidRPr="00AD1337">
        <w:rPr>
          <w:rFonts w:cs="Times New Roman" w:hint="cs"/>
          <w:noProof/>
          <w:sz w:val="26"/>
          <w:szCs w:val="26"/>
          <w:rtl/>
          <w:lang w:eastAsia="fr-FR"/>
        </w:rPr>
        <w:t>إنتاج</w:t>
      </w:r>
      <w:r w:rsidR="00784772">
        <w:rPr>
          <w:rFonts w:cs="Times New Roman" w:hint="cs"/>
          <w:noProof/>
          <w:sz w:val="26"/>
          <w:szCs w:val="26"/>
          <w:rtl/>
          <w:lang w:eastAsia="fr-FR"/>
        </w:rPr>
        <w:t xml:space="preserve"> الطاقة</w:t>
      </w:r>
      <w:r w:rsidR="00784772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عرف</w:t>
      </w:r>
      <w:r w:rsidR="0048522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>حسب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="00DD3437">
        <w:rPr>
          <w:rFonts w:cs="Times New Roman" w:hint="cs"/>
          <w:noProof/>
          <w:sz w:val="26"/>
          <w:szCs w:val="26"/>
          <w:rtl/>
          <w:lang w:eastAsia="fr-FR"/>
        </w:rPr>
        <w:t>5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9459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من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A1CE4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</w:t>
      </w:r>
      <w:r w:rsidR="00814D8C" w:rsidRP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4D8C" w:rsidRPr="00AD1337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وذلك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00352"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زيادة</w:t>
      </w:r>
      <w:r w:rsidR="000F5E5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31B24" w:rsidRPr="00AD1337">
        <w:rPr>
          <w:rFonts w:cs="Times New Roman"/>
          <w:noProof/>
          <w:sz w:val="26"/>
          <w:szCs w:val="26"/>
          <w:rtl/>
          <w:lang w:eastAsia="fr-FR"/>
        </w:rPr>
        <w:t>و البخار والهواء المكيف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AD2EE7" w:rsidRPr="00AD1337" w:rsidRDefault="009A68B8" w:rsidP="00C94596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 w:rsidR="00CF3734" w:rsidRPr="00EF5E4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F5E49" w:rsidRPr="00EF5E4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B807BE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البيئة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فقد تكون</w:t>
      </w:r>
      <w:r w:rsidR="00E92EB3" w:rsidRPr="00784772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2EB3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قدرة الإنتاج المستعملة </w:t>
      </w:r>
      <w:r w:rsidR="0048318F" w:rsidRPr="00AD1337">
        <w:rPr>
          <w:rFonts w:cs="Times New Roman"/>
          <w:noProof/>
          <w:sz w:val="26"/>
          <w:szCs w:val="26"/>
          <w:rtl/>
          <w:lang w:eastAsia="fr-FR"/>
        </w:rPr>
        <w:t>ل</w:t>
      </w:r>
      <w:r w:rsidR="0048318F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E92E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A62E38">
        <w:rPr>
          <w:rFonts w:cs="Times New Roman"/>
          <w:noProof/>
          <w:sz w:val="26"/>
          <w:szCs w:val="26"/>
          <w:lang w:eastAsia="fr-FR"/>
        </w:rPr>
        <w:t xml:space="preserve">  </w:t>
      </w:r>
      <w:r w:rsidR="00DD3437">
        <w:rPr>
          <w:rFonts w:cs="Times New Roman" w:hint="cs"/>
          <w:noProof/>
          <w:sz w:val="26"/>
          <w:szCs w:val="26"/>
          <w:rtl/>
          <w:lang w:eastAsia="fr-FR"/>
        </w:rPr>
        <w:t>81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94596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F4468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2EB3" w:rsidRPr="00AD1337">
        <w:rPr>
          <w:rFonts w:cs="Times New Roman" w:hint="cs"/>
          <w:noProof/>
          <w:sz w:val="26"/>
          <w:szCs w:val="26"/>
          <w:rtl/>
          <w:lang w:eastAsia="fr-FR"/>
        </w:rPr>
        <w:t>انتاج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 xml:space="preserve"> هذا </w:t>
      </w:r>
      <w:r w:rsidR="00E74010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E92EB3">
        <w:rPr>
          <w:rFonts w:cs="Times New Roman" w:hint="cs"/>
          <w:noProof/>
          <w:sz w:val="26"/>
          <w:szCs w:val="26"/>
          <w:rtl/>
          <w:lang w:eastAsia="fr-FR"/>
        </w:rPr>
        <w:t>قطاع</w:t>
      </w:r>
      <w:r w:rsidR="00E92EB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97AE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DD3437">
        <w:rPr>
          <w:rFonts w:cs="Times New Roman" w:hint="cs"/>
          <w:noProof/>
          <w:sz w:val="26"/>
          <w:szCs w:val="26"/>
          <w:rtl/>
          <w:lang w:eastAsia="fr-FR"/>
        </w:rPr>
        <w:t>92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9459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من أرباب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ات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="00334989"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3873E4"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>جمع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ومعالجة وتوزيع الماء".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4B02A8" w:rsidRPr="006100C0" w:rsidRDefault="009A68B8" w:rsidP="00C94596">
      <w:pPr>
        <w:pStyle w:val="Retraitcorpsdetexte"/>
        <w:spacing w:before="240" w:line="360" w:lineRule="exact"/>
        <w:ind w:right="-142" w:firstLine="0"/>
        <w:jc w:val="both"/>
        <w:rPr>
          <w:rFonts w:ascii="Calibri" w:hAnsi="Calibri"/>
          <w:sz w:val="24"/>
          <w:szCs w:val="24"/>
          <w:rtl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ب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>، فقد اعتبر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عاديا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DD3437">
        <w:rPr>
          <w:rFonts w:cs="Times New Roman" w:hint="cs"/>
          <w:noProof/>
          <w:sz w:val="26"/>
          <w:szCs w:val="26"/>
          <w:rtl/>
          <w:lang w:eastAsia="fr-FR"/>
        </w:rPr>
        <w:t>أغلبية</w:t>
      </w:r>
      <w:r w:rsidR="00337591">
        <w:rPr>
          <w:rFonts w:cs="Times New Roman" w:hint="cs"/>
          <w:noProof/>
          <w:sz w:val="26"/>
          <w:szCs w:val="26"/>
          <w:rtl/>
          <w:lang w:eastAsia="fr-FR"/>
        </w:rPr>
        <w:t xml:space="preserve"> أرباب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قطاع</w:t>
      </w:r>
      <w:r w:rsidR="00E85168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E85168">
        <w:rPr>
          <w:rFonts w:cs="Times New Roman"/>
          <w:noProof/>
          <w:sz w:val="26"/>
          <w:szCs w:val="26"/>
          <w:rtl/>
          <w:lang w:eastAsia="fr-FR"/>
        </w:rPr>
        <w:t xml:space="preserve"> الطاقة </w:t>
      </w:r>
      <w:r w:rsidR="00E8516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>البيئة</w:t>
      </w:r>
      <w:r w:rsidR="00AD2EE7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597456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يكون عدد المشتغلين عرف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A0658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E85168">
        <w:rPr>
          <w:rFonts w:cs="Times New Roman" w:hint="cs"/>
          <w:noProof/>
          <w:sz w:val="26"/>
          <w:szCs w:val="26"/>
          <w:rtl/>
          <w:lang w:eastAsia="fr-FR"/>
        </w:rPr>
        <w:t>76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9459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474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مقاولي قطاع الطاقة </w:t>
      </w:r>
      <w:r w:rsidR="00E85168">
        <w:rPr>
          <w:rFonts w:cs="Times New Roman" w:hint="cs"/>
          <w:noProof/>
          <w:sz w:val="26"/>
          <w:szCs w:val="26"/>
          <w:rtl/>
          <w:lang w:eastAsia="fr-FR"/>
        </w:rPr>
        <w:t>و8</w:t>
      </w:r>
      <w:r w:rsidR="00260BD3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9459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B007D9">
        <w:rPr>
          <w:rFonts w:cs="Times New Roman"/>
          <w:noProof/>
          <w:sz w:val="26"/>
          <w:szCs w:val="26"/>
          <w:rtl/>
          <w:lang w:eastAsia="fr-FR"/>
        </w:rPr>
        <w:t>مقاولي قطاع ا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لبيئة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8A0C50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3462020</wp:posOffset>
            </wp:positionV>
            <wp:extent cx="2781300" cy="2562225"/>
            <wp:effectExtent l="0" t="0" r="0" b="635"/>
            <wp:wrapSquare wrapText="bothSides"/>
            <wp:docPr id="2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A0C50">
        <w:rPr>
          <w:noProof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3052445</wp:posOffset>
            </wp:positionH>
            <wp:positionV relativeFrom="margin">
              <wp:posOffset>3452495</wp:posOffset>
            </wp:positionV>
            <wp:extent cx="2819400" cy="2572385"/>
            <wp:effectExtent l="0" t="635" r="635" b="0"/>
            <wp:wrapSquare wrapText="bothSides"/>
            <wp:docPr id="2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F755A8" w:rsidP="00F755A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F755A8" w:rsidRDefault="008A0C50" w:rsidP="008A0C50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      </w:t>
      </w:r>
    </w:p>
    <w:p w:rsidR="00BA2CCF" w:rsidRPr="001D4ABF" w:rsidRDefault="001D4ABF" w:rsidP="00A611C5">
      <w:pPr>
        <w:pStyle w:val="Retraitcorpsdetexte"/>
        <w:spacing w:before="240" w:after="240"/>
        <w:ind w:right="-142" w:firstLine="567"/>
        <w:jc w:val="left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 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183681" w:rsidRPr="00AD1337" w:rsidRDefault="00F34762" w:rsidP="006E6AA0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-271780</wp:posOffset>
            </wp:positionH>
            <wp:positionV relativeFrom="margin">
              <wp:posOffset>509270</wp:posOffset>
            </wp:positionV>
            <wp:extent cx="2885440" cy="2781300"/>
            <wp:effectExtent l="19050" t="0" r="0" b="0"/>
            <wp:wrapSquare wrapText="bothSides"/>
            <wp:docPr id="27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D12516">
        <w:rPr>
          <w:rFonts w:cs="Times New Roman"/>
          <w:noProof/>
          <w:sz w:val="26"/>
          <w:szCs w:val="26"/>
          <w:rtl/>
          <w:lang w:eastAsia="fr-FR"/>
        </w:rPr>
        <w:t>2017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 سجلت نسبة</w:t>
      </w:r>
      <w:r w:rsidR="009E7C8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5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9459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بالنسبة </w:t>
      </w:r>
      <w:r w:rsidR="0062169A" w:rsidRPr="0062169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9E7C8E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9E7C8E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B91B9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وبخصوص أنشطة هذا القطاع</w:t>
      </w:r>
      <w:r w:rsidR="00316A86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 فقد تكون عر</w:t>
      </w:r>
      <w:r w:rsidR="0062169A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12516" w:rsidRPr="00AD1337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>5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0</w:t>
      </w:r>
      <w:r w:rsidR="00C94596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9459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و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EE06B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DA1921"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>منهم</w:t>
      </w:r>
      <w:r w:rsidR="0018368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183681" w:rsidRPr="006100C0">
        <w:rPr>
          <w:rFonts w:ascii="Calibri" w:hAnsi="Calibri"/>
          <w:sz w:val="30"/>
          <w:szCs w:val="30"/>
          <w:rtl/>
          <w:lang w:bidi="ar-MA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 xml:space="preserve">الاستقرار 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ساسا</w:t>
      </w:r>
      <w:r w:rsidR="00DB57C1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B91B9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من جهة</w:t>
      </w:r>
      <w:r w:rsidR="00316A86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 xml:space="preserve">الى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E46CA3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A611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611C5" w:rsidRPr="00976975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83681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</w:t>
      </w:r>
      <w:r w:rsidR="00E46CA3" w:rsidRPr="00976975">
        <w:rPr>
          <w:rFonts w:cs="Times New Roman"/>
          <w:noProof/>
          <w:sz w:val="26"/>
          <w:szCs w:val="26"/>
          <w:rtl/>
          <w:lang w:eastAsia="fr-FR"/>
        </w:rPr>
        <w:t xml:space="preserve">سجل </w:t>
      </w:r>
      <w:r w:rsidR="00E46CA3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E46CA3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البناء المتخصصة"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B91B9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من جهة 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 xml:space="preserve">خرى 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الى </w:t>
      </w:r>
      <w:r w:rsidR="00E46CA3" w:rsidRPr="00976975">
        <w:rPr>
          <w:rFonts w:cs="Times New Roman" w:hint="cs"/>
          <w:noProof/>
          <w:sz w:val="26"/>
          <w:szCs w:val="26"/>
          <w:rtl/>
          <w:lang w:eastAsia="fr-FR"/>
        </w:rPr>
        <w:t>التراجع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4B708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4B7082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4B7082" w:rsidRPr="00976975">
        <w:rPr>
          <w:rFonts w:cs="Times New Roman"/>
          <w:noProof/>
          <w:sz w:val="26"/>
          <w:szCs w:val="26"/>
          <w:rtl/>
          <w:lang w:eastAsia="fr-FR"/>
        </w:rPr>
        <w:t xml:space="preserve">كون </w:t>
      </w:r>
      <w:r w:rsidR="00E46CA3" w:rsidRPr="00976975">
        <w:rPr>
          <w:rFonts w:cs="Times New Roman"/>
          <w:noProof/>
          <w:sz w:val="26"/>
          <w:szCs w:val="26"/>
          <w:rtl/>
          <w:lang w:eastAsia="fr-FR"/>
        </w:rPr>
        <w:t xml:space="preserve">سجل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 xml:space="preserve">على مستوى </w:t>
      </w:r>
      <w:r w:rsidR="00E46CA3" w:rsidRPr="00976975">
        <w:rPr>
          <w:rFonts w:cs="Times New Roman"/>
          <w:noProof/>
          <w:sz w:val="26"/>
          <w:szCs w:val="26"/>
          <w:rtl/>
          <w:lang w:eastAsia="fr-FR"/>
        </w:rPr>
        <w:t>أنشطة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46CA3" w:rsidRPr="00AD1337">
        <w:rPr>
          <w:rFonts w:cs="Times New Roman"/>
          <w:noProof/>
          <w:sz w:val="26"/>
          <w:szCs w:val="26"/>
          <w:rtl/>
          <w:lang w:eastAsia="fr-FR"/>
        </w:rPr>
        <w:t>"تشیید</w:t>
      </w:r>
      <w:r w:rsidR="00E46CA3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E46CA3" w:rsidRPr="00AD1337">
        <w:rPr>
          <w:rFonts w:cs="Times New Roman"/>
          <w:noProof/>
          <w:sz w:val="26"/>
          <w:szCs w:val="26"/>
          <w:rtl/>
          <w:lang w:eastAsia="fr-FR"/>
        </w:rPr>
        <w:t>المباني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".</w:t>
      </w:r>
    </w:p>
    <w:p w:rsidR="00183681" w:rsidRDefault="00183681" w:rsidP="006E6AA0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 w:bidi="ar-MA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دفاتر الطلب عاديا في قطاع البناء حسب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48</w:t>
      </w:r>
      <w:r w:rsidR="006E6AA0" w:rsidRPr="00AD1337">
        <w:rPr>
          <w:rFonts w:cs="Times New Roman"/>
          <w:noProof/>
          <w:sz w:val="26"/>
          <w:szCs w:val="26"/>
          <w:rtl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من مسؤولي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أقل من عادي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42</w:t>
      </w:r>
      <w:r w:rsidR="006E6AA0" w:rsidRPr="00AD1337">
        <w:rPr>
          <w:rFonts w:cs="Times New Roman"/>
          <w:noProof/>
          <w:sz w:val="26"/>
          <w:szCs w:val="26"/>
          <w:rtl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منهم.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عدد المشتغلين عرف استقرارا حسب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71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أرباب المقاولات. </w:t>
      </w:r>
    </w:p>
    <w:p w:rsidR="006C7BC4" w:rsidRPr="00AD1337" w:rsidRDefault="000838A8" w:rsidP="00561CC4">
      <w:pPr>
        <w:pStyle w:val="Retraitcorpsdetexte"/>
        <w:spacing w:before="240" w:after="240"/>
        <w:ind w:left="-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>2.</w:t>
      </w:r>
      <w:r w:rsidR="00561CC4">
        <w:rPr>
          <w:rFonts w:ascii="Calibri" w:hAnsi="Calibri" w:hint="cs"/>
          <w:b/>
          <w:bCs/>
          <w:color w:val="660066"/>
          <w:sz w:val="28"/>
          <w:rtl/>
        </w:rPr>
        <w:t>استشراف</w:t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DB57C1">
        <w:rPr>
          <w:rFonts w:ascii="Calibri" w:hAnsi="Calibri" w:hint="eastAsia"/>
          <w:b/>
          <w:bCs/>
          <w:color w:val="660066"/>
          <w:sz w:val="28"/>
          <w:rtl/>
        </w:rPr>
        <w:t>الإنتاج</w:t>
      </w:r>
      <w:r w:rsidR="00DB57C1">
        <w:rPr>
          <w:rFonts w:ascii="Calibri" w:hAnsi="Calibri" w:hint="cs"/>
          <w:b/>
          <w:bCs/>
          <w:color w:val="660066"/>
          <w:sz w:val="28"/>
          <w:rtl/>
        </w:rPr>
        <w:t xml:space="preserve"> حسب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</w:t>
      </w:r>
      <w:r w:rsidR="00561CC4" w:rsidRPr="00673E57">
        <w:rPr>
          <w:rFonts w:ascii="Calibri" w:hAnsi="Calibri"/>
          <w:b/>
          <w:bCs/>
          <w:color w:val="660066"/>
          <w:sz w:val="28"/>
          <w:rtl/>
        </w:rPr>
        <w:t>توقعــات</w:t>
      </w:r>
      <w:r w:rsidR="00561C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E8542C" w:rsidRPr="00673E57">
        <w:rPr>
          <w:rFonts w:ascii="Calibri" w:hAnsi="Calibri"/>
          <w:b/>
          <w:bCs/>
          <w:color w:val="660066"/>
          <w:sz w:val="28"/>
          <w:rtl/>
        </w:rPr>
        <w:t xml:space="preserve"> </w:t>
      </w:r>
      <w:r w:rsidR="00E8542C" w:rsidRPr="00673E57">
        <w:rPr>
          <w:rFonts w:ascii="Calibri" w:hAnsi="Calibri" w:hint="cs"/>
          <w:b/>
          <w:bCs/>
          <w:color w:val="660066"/>
          <w:sz w:val="28"/>
          <w:rtl/>
        </w:rPr>
        <w:t>المقاولات</w:t>
      </w:r>
      <w:r w:rsidR="00E8542C" w:rsidRPr="00673E57">
        <w:rPr>
          <w:rFonts w:ascii="Calibri" w:hAnsi="Calibri"/>
          <w:b/>
          <w:bCs/>
          <w:color w:val="660066"/>
          <w:sz w:val="28"/>
          <w:rtl/>
          <w:lang w:bidi="ar-MA"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E46CA3">
        <w:rPr>
          <w:rFonts w:ascii="Calibri" w:hAnsi="Calibri" w:hint="cs"/>
          <w:b/>
          <w:bCs/>
          <w:color w:val="660066"/>
          <w:sz w:val="28"/>
          <w:rtl/>
        </w:rPr>
        <w:t>الرابع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>201</w:t>
      </w:r>
      <w:r w:rsidR="009703E9" w:rsidRPr="00673E57">
        <w:rPr>
          <w:rFonts w:ascii="Calibri" w:hAnsi="Calibri" w:hint="cs"/>
          <w:b/>
          <w:bCs/>
          <w:color w:val="660066"/>
          <w:sz w:val="28"/>
          <w:rtl/>
        </w:rPr>
        <w:t>7</w:t>
      </w:r>
    </w:p>
    <w:p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6C7BC4" w:rsidRPr="00AD1337" w:rsidRDefault="008A0C50" w:rsidP="006E6AA0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-528955</wp:posOffset>
            </wp:positionH>
            <wp:positionV relativeFrom="margin">
              <wp:posOffset>4328795</wp:posOffset>
            </wp:positionV>
            <wp:extent cx="3067050" cy="3409950"/>
            <wp:effectExtent l="0" t="0" r="0" b="0"/>
            <wp:wrapSquare wrapText="bothSides"/>
            <wp:docPr id="2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E23F42">
        <w:rPr>
          <w:rFonts w:cs="Times New Roman" w:hint="cs"/>
          <w:noProof/>
          <w:sz w:val="26"/>
          <w:szCs w:val="26"/>
          <w:rtl/>
          <w:lang w:eastAsia="fr-FR" w:bidi="ar-MA"/>
        </w:rPr>
        <w:t>ي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توقع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E6433">
        <w:rPr>
          <w:rFonts w:cs="Times New Roman" w:hint="cs"/>
          <w:noProof/>
          <w:sz w:val="26"/>
          <w:szCs w:val="26"/>
          <w:rtl/>
          <w:lang w:eastAsia="fr-FR"/>
        </w:rPr>
        <w:t>43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007D9">
        <w:rPr>
          <w:rFonts w:cs="Times New Roman" w:hint="cs"/>
          <w:noProof/>
          <w:sz w:val="26"/>
          <w:szCs w:val="26"/>
          <w:rtl/>
          <w:lang w:eastAsia="fr-FR"/>
        </w:rPr>
        <w:t>من أرباب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1E6433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 خلال الفصل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201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>7 في حين</w:t>
      </w:r>
      <w:r w:rsidR="00DB1800">
        <w:rPr>
          <w:rFonts w:cs="Times New Roman" w:hint="cs"/>
          <w:noProof/>
          <w:sz w:val="26"/>
          <w:szCs w:val="26"/>
          <w:rtl/>
          <w:lang w:eastAsia="fr-FR"/>
        </w:rPr>
        <w:t xml:space="preserve"> توقع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E6433">
        <w:rPr>
          <w:rFonts w:cs="Times New Roman" w:hint="cs"/>
          <w:noProof/>
          <w:sz w:val="26"/>
          <w:szCs w:val="26"/>
          <w:rtl/>
          <w:lang w:eastAsia="fr-FR"/>
        </w:rPr>
        <w:t>12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>منهم ا</w:t>
      </w:r>
      <w:r w:rsidR="001E6433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 w:rsidR="00984E6A">
        <w:rPr>
          <w:rFonts w:cs="Times New Roman" w:hint="cs"/>
          <w:noProof/>
          <w:sz w:val="26"/>
          <w:szCs w:val="26"/>
          <w:rtl/>
          <w:lang w:eastAsia="fr-FR"/>
        </w:rPr>
        <w:t>ه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 xml:space="preserve">. و 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عزى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 xml:space="preserve"> هاته التوقعات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بالأساس</w:t>
      </w:r>
      <w:r w:rsidR="00A03A78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293A6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>من جهة</w:t>
      </w:r>
      <w:r w:rsidR="00BB5334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0A6CC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إلى </w:t>
      </w:r>
      <w:r w:rsidR="00EB4B38" w:rsidRPr="00AD1337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8E159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المرتقب في أنشطة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"</w:t>
      </w:r>
      <w:r w:rsidR="00D3783A" w:rsidRPr="00B2616A">
        <w:rPr>
          <w:rFonts w:cs="Times New Roman" w:hint="cs"/>
          <w:noProof/>
          <w:sz w:val="26"/>
          <w:szCs w:val="26"/>
          <w:rtl/>
          <w:lang w:eastAsia="fr-FR"/>
        </w:rPr>
        <w:t>الصنا</w:t>
      </w:r>
      <w:r w:rsidR="00B007D9" w:rsidRPr="00B007D9">
        <w:rPr>
          <w:rFonts w:cs="Times New Roman"/>
          <w:noProof/>
          <w:sz w:val="26"/>
          <w:szCs w:val="26"/>
          <w:rtl/>
          <w:lang w:eastAsia="fr-FR"/>
        </w:rPr>
        <w:t xml:space="preserve">عات </w:t>
      </w:r>
      <w:r w:rsidR="003A276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B007D9" w:rsidRPr="00B007D9">
        <w:rPr>
          <w:rFonts w:cs="Times New Roman"/>
          <w:noProof/>
          <w:sz w:val="26"/>
          <w:szCs w:val="26"/>
          <w:rtl/>
          <w:lang w:eastAsia="fr-FR"/>
        </w:rPr>
        <w:t>غذائية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7737C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>و"</w:t>
      </w:r>
      <w:r w:rsidR="001E6433" w:rsidRPr="001E6433">
        <w:rPr>
          <w:rFonts w:cs="Times New Roman"/>
          <w:noProof/>
          <w:sz w:val="26"/>
          <w:szCs w:val="26"/>
          <w:rtl/>
          <w:lang w:eastAsia="fr-FR"/>
        </w:rPr>
        <w:t>التعدين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A03A78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B2616A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E43EF0">
        <w:rPr>
          <w:rFonts w:cs="Times New Roman" w:hint="cs"/>
          <w:noProof/>
          <w:sz w:val="26"/>
          <w:szCs w:val="26"/>
          <w:rtl/>
          <w:lang w:eastAsia="fr-FR"/>
        </w:rPr>
        <w:t>من جهة أخرى</w:t>
      </w:r>
      <w:r w:rsidR="00B2616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2616A" w:rsidRPr="00AD1337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B2616A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 في انتاج أنشطة </w:t>
      </w:r>
      <w:r w:rsidR="00B2616A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1E6433" w:rsidRPr="001E6433">
        <w:rPr>
          <w:rFonts w:cs="Times New Roman"/>
          <w:noProof/>
          <w:sz w:val="26"/>
          <w:szCs w:val="26"/>
          <w:rtl/>
          <w:lang w:eastAsia="fr-FR"/>
        </w:rPr>
        <w:t>الطباعة ونسخ التسجيلات</w:t>
      </w:r>
      <w:r w:rsidR="00B2616A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. كما </w:t>
      </w:r>
      <w:r w:rsidR="00F65198"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79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من أرباب مقاولات هذا القطاع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ا</w:t>
      </w:r>
      <w:r w:rsidR="002719EC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2D14E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 خلال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E30FD6" w:rsidRPr="00AD1337" w:rsidRDefault="001D26A0" w:rsidP="006E6AA0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86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E43EF0"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E43EF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="00DC2341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="00E43EF0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ارتفاعا في الإنتاج </w:t>
      </w:r>
      <w:r w:rsidR="00766750">
        <w:rPr>
          <w:rFonts w:cs="Times New Roman" w:hint="cs"/>
          <w:noProof/>
          <w:sz w:val="26"/>
          <w:szCs w:val="26"/>
          <w:rtl/>
          <w:lang w:eastAsia="fr-FR"/>
        </w:rPr>
        <w:t>وذلك ارتباطا 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تحسن إنتاج </w:t>
      </w:r>
      <w:r w:rsidR="008D697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="00B45920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0657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يتوقع </w:t>
      </w:r>
      <w:r w:rsidR="005102E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78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719EC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 xml:space="preserve"> أرباب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ا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نخفاضه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D823FE" w:rsidRDefault="001872CC" w:rsidP="006E6AA0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76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43EF0">
        <w:rPr>
          <w:rFonts w:cs="Times New Roman" w:hint="cs"/>
          <w:noProof/>
          <w:sz w:val="26"/>
          <w:szCs w:val="26"/>
          <w:rtl/>
          <w:lang w:eastAsia="fr-FR"/>
        </w:rPr>
        <w:t xml:space="preserve">من أرباب مقاولات </w:t>
      </w:r>
      <w:r w:rsidR="00FD23D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في الإنتاج نتيجة </w:t>
      </w:r>
      <w:r w:rsidR="002847C5" w:rsidRPr="005A0B83">
        <w:rPr>
          <w:rFonts w:cs="Times New Roman" w:hint="cs"/>
          <w:noProof/>
          <w:sz w:val="26"/>
          <w:szCs w:val="26"/>
          <w:rtl/>
          <w:lang w:eastAsia="fr-FR"/>
        </w:rPr>
        <w:t>النقص</w:t>
      </w:r>
      <w:r w:rsidR="002847C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71BA4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لكهرباء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والغاز</w:t>
      </w:r>
      <w:r w:rsidR="008E159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>و البخار و الهواء المكيف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346AF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742D5D" w:rsidRDefault="00742D5D" w:rsidP="006E6AA0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ن </w:t>
      </w:r>
      <w:r w:rsidR="00AB5A51">
        <w:rPr>
          <w:rFonts w:cs="Times New Roman" w:hint="cs"/>
          <w:noProof/>
          <w:sz w:val="26"/>
          <w:szCs w:val="26"/>
          <w:rtl/>
          <w:lang w:eastAsia="fr-FR"/>
        </w:rPr>
        <w:t>أغلبية</w:t>
      </w:r>
      <w:r w:rsidR="00306037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المقاولين يتوقعون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الماء".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31E81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B31E81">
        <w:rPr>
          <w:rFonts w:cs="Times New Roman" w:hint="cs"/>
          <w:noProof/>
          <w:sz w:val="26"/>
          <w:szCs w:val="26"/>
          <w:rtl/>
          <w:lang w:eastAsia="fr-FR"/>
        </w:rPr>
        <w:t xml:space="preserve"> كذلك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B5A5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AB5A51">
        <w:rPr>
          <w:rFonts w:cs="Times New Roman" w:hint="cs"/>
          <w:noProof/>
          <w:sz w:val="26"/>
          <w:szCs w:val="26"/>
          <w:rtl/>
          <w:lang w:eastAsia="fr-FR"/>
        </w:rPr>
        <w:t>77</w:t>
      </w:r>
      <w:r w:rsidR="006E6AA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B5A51">
        <w:rPr>
          <w:rFonts w:cs="Times New Roman" w:hint="cs"/>
          <w:noProof/>
          <w:sz w:val="26"/>
          <w:szCs w:val="26"/>
          <w:rtl/>
          <w:lang w:eastAsia="fr-FR"/>
        </w:rPr>
        <w:t>من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5F410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قطاع الطاقة</w:t>
      </w:r>
      <w:r w:rsidR="0014269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D71BA4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D62E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 حين يتوقع</w:t>
      </w:r>
      <w:r w:rsidR="00AB5A51">
        <w:rPr>
          <w:rFonts w:cs="Times New Roman" w:hint="cs"/>
          <w:noProof/>
          <w:sz w:val="26"/>
          <w:szCs w:val="26"/>
          <w:rtl/>
          <w:lang w:eastAsia="fr-FR"/>
        </w:rPr>
        <w:t xml:space="preserve"> جل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5CFC"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5CF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قطاع البيئة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AB5A51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9E19DD" w:rsidRPr="00AD1337">
        <w:rPr>
          <w:rFonts w:cs="Times New Roman" w:hint="cs"/>
          <w:noProof/>
          <w:sz w:val="26"/>
          <w:szCs w:val="26"/>
          <w:rtl/>
          <w:lang w:eastAsia="fr-FR"/>
        </w:rPr>
        <w:t>هذا ال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عدد.</w:t>
      </w:r>
      <w:r w:rsidR="00C316F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5F4100" w:rsidRPr="00AD1337" w:rsidRDefault="00207013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ascii="Calibri" w:hAnsi="Calibri" w:hint="cs"/>
          <w:b/>
          <w:bCs/>
          <w:noProof/>
          <w:color w:val="C00000"/>
          <w:sz w:val="28"/>
          <w:rtl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-205105</wp:posOffset>
            </wp:positionH>
            <wp:positionV relativeFrom="margin">
              <wp:posOffset>128270</wp:posOffset>
            </wp:positionV>
            <wp:extent cx="2818765" cy="2438400"/>
            <wp:effectExtent l="0" t="0" r="635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593F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 </w:t>
      </w:r>
      <w:r w:rsidR="005F41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  <w:r w:rsidR="00B205F6">
        <w:rPr>
          <w:rFonts w:ascii="Calibri" w:hAnsi="Calibri"/>
          <w:b/>
          <w:bCs/>
          <w:color w:val="C00000"/>
          <w:sz w:val="28"/>
          <w:lang w:bidi="ar-MA"/>
        </w:rPr>
        <w:t xml:space="preserve">     </w:t>
      </w:r>
      <w:r w:rsidR="00B205F6">
        <w:rPr>
          <w:rFonts w:ascii="Calibri" w:hAnsi="Calibri" w:hint="cs"/>
          <w:b/>
          <w:bCs/>
          <w:color w:val="C00000"/>
          <w:sz w:val="28"/>
          <w:lang w:bidi="ar-MA"/>
        </w:rPr>
        <w:t xml:space="preserve">        </w:t>
      </w:r>
    </w:p>
    <w:p w:rsidR="005F4100" w:rsidRPr="00AD1337" w:rsidRDefault="005F4100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</w:p>
    <w:p w:rsidR="0013195B" w:rsidRDefault="00D55CFC" w:rsidP="006E6AA0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إجمالا</w:t>
      </w:r>
      <w:r w:rsidR="00B27ABE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المنتظر ان يعرف نشاط  </w:t>
      </w:r>
      <w:r w:rsidR="00D66EB0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D66EB0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خلال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E46CA3">
        <w:rPr>
          <w:rFonts w:cs="Times New Roman"/>
          <w:noProof/>
          <w:sz w:val="26"/>
          <w:szCs w:val="26"/>
          <w:rtl/>
          <w:lang w:eastAsia="fr-FR"/>
        </w:rPr>
        <w:t>الرابع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2017،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 حسب 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39</w:t>
      </w:r>
      <w:r w:rsidR="006E6AA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أرباب </w:t>
      </w:r>
      <w:r w:rsidR="00D66EB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D66EB0" w:rsidRPr="00AD1337">
        <w:rPr>
          <w:rFonts w:cs="Times New Roman"/>
          <w:noProof/>
          <w:sz w:val="26"/>
          <w:szCs w:val="26"/>
          <w:rtl/>
          <w:lang w:eastAsia="fr-FR"/>
        </w:rPr>
        <w:t>مقاولات</w:t>
      </w:r>
      <w:r w:rsidR="005D1526" w:rsidRP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وارتفاعا حسب 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34</w:t>
      </w:r>
      <w:r w:rsidR="006E6AA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>منهم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 xml:space="preserve">ويعزى 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هذا </w:t>
      </w:r>
      <w:r w:rsidR="00CA5D2F">
        <w:rPr>
          <w:rFonts w:cs="Times New Roman" w:hint="cs"/>
          <w:noProof/>
          <w:sz w:val="26"/>
          <w:szCs w:val="26"/>
          <w:rtl/>
          <w:lang w:eastAsia="fr-FR"/>
        </w:rPr>
        <w:t xml:space="preserve"> التطور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أساسا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من جهة،</w:t>
      </w:r>
      <w:r w:rsidR="007004AD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إلى الارتفاع المرتقب على مستوى "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أنشطة</w:t>
      </w:r>
      <w:r w:rsidR="00D66EB0" w:rsidRPr="006100C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البناء</w:t>
      </w:r>
      <w:r w:rsidR="00D66EB0" w:rsidRPr="006100C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>المتخصصة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 xml:space="preserve">ومن جهة اخرى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الى التراجع المنتظر في انشطة </w:t>
      </w:r>
      <w:r w:rsidR="007004AD" w:rsidRPr="00AD1337">
        <w:rPr>
          <w:rFonts w:cs="Times New Roman"/>
          <w:noProof/>
          <w:sz w:val="26"/>
          <w:szCs w:val="26"/>
          <w:rtl/>
          <w:lang w:eastAsia="fr-FR"/>
        </w:rPr>
        <w:t>"تشیید</w:t>
      </w:r>
      <w:r w:rsidR="007004AD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7004AD" w:rsidRPr="00AD1337">
        <w:rPr>
          <w:rFonts w:cs="Times New Roman"/>
          <w:noProof/>
          <w:sz w:val="26"/>
          <w:szCs w:val="26"/>
          <w:rtl/>
          <w:lang w:eastAsia="fr-FR"/>
        </w:rPr>
        <w:t>المباني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D66EB0" w:rsidRPr="00AD1337" w:rsidRDefault="00D66EB0" w:rsidP="006E6AA0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كما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58</w:t>
      </w:r>
      <w:r w:rsidR="006E6AA0" w:rsidRPr="00AD1337">
        <w:rPr>
          <w:rFonts w:cs="Times New Roman" w:hint="cs"/>
          <w:noProof/>
          <w:sz w:val="26"/>
          <w:szCs w:val="26"/>
          <w:rtl/>
          <w:lang w:eastAsia="fr-FR"/>
        </w:rPr>
        <w:t>%</w:t>
      </w:r>
      <w:r w:rsidR="006E6AA0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المقاولين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الفصل </w:t>
      </w:r>
      <w:r w:rsidR="00E46CA3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سنة 2</w:t>
      </w:r>
      <w:r>
        <w:rPr>
          <w:rFonts w:cs="Times New Roman" w:hint="cs"/>
          <w:noProof/>
          <w:sz w:val="26"/>
          <w:szCs w:val="26"/>
          <w:rtl/>
          <w:lang w:eastAsia="fr-FR"/>
        </w:rPr>
        <w:t>017.</w:t>
      </w:r>
    </w:p>
    <w:p w:rsidR="00340BFB" w:rsidRDefault="00D66EB0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</w:t>
      </w:r>
      <w:r w:rsidR="00A65A3B">
        <w:rPr>
          <w:rFonts w:cs="Times New Roman"/>
          <w:noProof/>
          <w:sz w:val="26"/>
          <w:szCs w:val="26"/>
          <w:lang w:eastAsia="fr-FR"/>
        </w:rPr>
        <w:t xml:space="preserve">       </w:t>
      </w:r>
      <w:r w:rsidR="00A65A3B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                 </w:t>
      </w:r>
    </w:p>
    <w:p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015824" w:rsidRPr="00AD1337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sectPr w:rsidR="00015824" w:rsidRPr="00AD1337" w:rsidSect="00325724">
      <w:footerReference w:type="default" r:id="rId17"/>
      <w:pgSz w:w="11906" w:h="16838"/>
      <w:pgMar w:top="1418" w:right="1418" w:bottom="1418" w:left="1418" w:header="709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47B" w:rsidRDefault="003F347B" w:rsidP="000E251D">
      <w:r>
        <w:separator/>
      </w:r>
    </w:p>
  </w:endnote>
  <w:endnote w:type="continuationSeparator" w:id="0">
    <w:p w:rsidR="003F347B" w:rsidRDefault="003F347B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"/>
      <w:gridCol w:w="8370"/>
    </w:tblGrid>
    <w:tr w:rsidR="002249B4" w:rsidTr="00E7401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auto"/>
        </w:tcPr>
        <w:p w:rsidR="002249B4" w:rsidRPr="00E74010" w:rsidRDefault="00E725BB">
          <w:pPr>
            <w:pStyle w:val="Pieddepage"/>
            <w:jc w:val="right"/>
            <w:rPr>
              <w:b/>
              <w:color w:val="FFFFFF" w:themeColor="background1"/>
            </w:rPr>
          </w:pPr>
          <w:r w:rsidRPr="00E74010">
            <w:fldChar w:fldCharType="begin"/>
          </w:r>
          <w:r w:rsidR="002249B4" w:rsidRPr="00E74010">
            <w:instrText xml:space="preserve"> PAGE   \* MERGEFORMAT </w:instrText>
          </w:r>
          <w:r w:rsidRPr="00E74010">
            <w:fldChar w:fldCharType="separate"/>
          </w:r>
          <w:r w:rsidR="003F347B">
            <w:rPr>
              <w:noProof/>
              <w:rtl/>
            </w:rPr>
            <w:t>1</w:t>
          </w:r>
          <w:r w:rsidRPr="00E74010"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49B4" w:rsidRPr="00E74010" w:rsidRDefault="002249B4" w:rsidP="00E46CA3">
          <w:pPr>
            <w:rPr>
              <w:rFonts w:asciiTheme="majorBidi" w:hAnsiTheme="majorBidi" w:cstheme="majorBidi"/>
              <w:sz w:val="22"/>
              <w:szCs w:val="22"/>
              <w:lang w:bidi="ar-MA"/>
            </w:rPr>
          </w:pPr>
          <w:r w:rsidRPr="002249B4">
            <w:rPr>
              <w:rFonts w:asciiTheme="majorBidi" w:hAnsiTheme="majorBidi" w:cstheme="majorBidi"/>
              <w:sz w:val="22"/>
              <w:szCs w:val="22"/>
              <w:rtl/>
            </w:rPr>
            <w:t>البحوث الفصلية حول الظرفية الاقتصادية</w:t>
          </w:r>
          <w:r w:rsidRPr="002249B4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</w:t>
          </w:r>
          <w:r w:rsidR="008C2C36" w:rsidRPr="008C2C36">
            <w:rPr>
              <w:rFonts w:asciiTheme="majorBidi" w:hAnsiTheme="majorBidi" w:cstheme="majorBidi" w:hint="cs"/>
              <w:sz w:val="22"/>
              <w:szCs w:val="22"/>
              <w:rtl/>
            </w:rPr>
            <w:t>"الصناعة و البناء"</w:t>
          </w:r>
          <w:r w:rsidRPr="002249B4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 </w:t>
          </w:r>
          <w:r w:rsidR="008C2C36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                                  </w:t>
          </w:r>
          <w:r w:rsidRPr="002249B4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  </w:t>
          </w:r>
          <w:r w:rsidR="00E46CA3">
            <w:rPr>
              <w:rFonts w:asciiTheme="majorBidi" w:hAnsiTheme="majorBidi" w:cstheme="majorBidi" w:hint="cs"/>
              <w:sz w:val="22"/>
              <w:szCs w:val="22"/>
              <w:rtl/>
            </w:rPr>
            <w:t>دجنبر</w:t>
          </w:r>
          <w:r w:rsidRPr="002249B4">
            <w:rPr>
              <w:rFonts w:asciiTheme="majorBidi" w:hAnsiTheme="majorBidi" w:cstheme="majorBidi" w:hint="cs"/>
              <w:sz w:val="22"/>
              <w:szCs w:val="22"/>
              <w:rtl/>
            </w:rPr>
            <w:t xml:space="preserve"> -2017-</w:t>
          </w:r>
        </w:p>
      </w:tc>
    </w:tr>
  </w:tbl>
  <w:p w:rsidR="000E251D" w:rsidRPr="002249B4" w:rsidRDefault="000E251D" w:rsidP="002249B4">
    <w:pPr>
      <w:pStyle w:val="Pieddepage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47B" w:rsidRDefault="003F347B" w:rsidP="000E251D">
      <w:r>
        <w:separator/>
      </w:r>
    </w:p>
  </w:footnote>
  <w:footnote w:type="continuationSeparator" w:id="0">
    <w:p w:rsidR="003F347B" w:rsidRDefault="003F347B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7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19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2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567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559FB"/>
    <w:rsid w:val="000028BF"/>
    <w:rsid w:val="00005B0D"/>
    <w:rsid w:val="00005DF0"/>
    <w:rsid w:val="00006D1C"/>
    <w:rsid w:val="00007707"/>
    <w:rsid w:val="000154FE"/>
    <w:rsid w:val="00015824"/>
    <w:rsid w:val="0001667E"/>
    <w:rsid w:val="00025B4D"/>
    <w:rsid w:val="00027E35"/>
    <w:rsid w:val="00032689"/>
    <w:rsid w:val="0003658F"/>
    <w:rsid w:val="00036FC3"/>
    <w:rsid w:val="000421E6"/>
    <w:rsid w:val="000462D3"/>
    <w:rsid w:val="00047173"/>
    <w:rsid w:val="0004779D"/>
    <w:rsid w:val="00050947"/>
    <w:rsid w:val="000516D7"/>
    <w:rsid w:val="00052A22"/>
    <w:rsid w:val="00052CFD"/>
    <w:rsid w:val="000553E3"/>
    <w:rsid w:val="0006047A"/>
    <w:rsid w:val="0006322D"/>
    <w:rsid w:val="00063239"/>
    <w:rsid w:val="000654DD"/>
    <w:rsid w:val="000657C4"/>
    <w:rsid w:val="0007049E"/>
    <w:rsid w:val="0007070B"/>
    <w:rsid w:val="000711FC"/>
    <w:rsid w:val="0007691D"/>
    <w:rsid w:val="00077408"/>
    <w:rsid w:val="00082557"/>
    <w:rsid w:val="000838A8"/>
    <w:rsid w:val="00083993"/>
    <w:rsid w:val="00084C8F"/>
    <w:rsid w:val="00085DD0"/>
    <w:rsid w:val="00093354"/>
    <w:rsid w:val="000A060A"/>
    <w:rsid w:val="000A6CCA"/>
    <w:rsid w:val="000B7837"/>
    <w:rsid w:val="000D0C27"/>
    <w:rsid w:val="000D227B"/>
    <w:rsid w:val="000D528C"/>
    <w:rsid w:val="000E1F37"/>
    <w:rsid w:val="000E251D"/>
    <w:rsid w:val="000E41C4"/>
    <w:rsid w:val="000E5983"/>
    <w:rsid w:val="000E650E"/>
    <w:rsid w:val="000F4865"/>
    <w:rsid w:val="000F5AAA"/>
    <w:rsid w:val="000F5E53"/>
    <w:rsid w:val="000F7FCB"/>
    <w:rsid w:val="00104B56"/>
    <w:rsid w:val="00107A72"/>
    <w:rsid w:val="00107F1C"/>
    <w:rsid w:val="00112B0B"/>
    <w:rsid w:val="001158C0"/>
    <w:rsid w:val="0012078A"/>
    <w:rsid w:val="00120B7A"/>
    <w:rsid w:val="001210CE"/>
    <w:rsid w:val="001241FB"/>
    <w:rsid w:val="00126CE9"/>
    <w:rsid w:val="0013195B"/>
    <w:rsid w:val="00132A8E"/>
    <w:rsid w:val="001354E2"/>
    <w:rsid w:val="00140D5A"/>
    <w:rsid w:val="00142697"/>
    <w:rsid w:val="00143138"/>
    <w:rsid w:val="00143950"/>
    <w:rsid w:val="001529DA"/>
    <w:rsid w:val="00162D9A"/>
    <w:rsid w:val="00166E4D"/>
    <w:rsid w:val="001703CF"/>
    <w:rsid w:val="00170A3E"/>
    <w:rsid w:val="001711F3"/>
    <w:rsid w:val="001732E6"/>
    <w:rsid w:val="00173BA5"/>
    <w:rsid w:val="00174239"/>
    <w:rsid w:val="0017456E"/>
    <w:rsid w:val="001751C1"/>
    <w:rsid w:val="001762D6"/>
    <w:rsid w:val="00176CFE"/>
    <w:rsid w:val="001826A5"/>
    <w:rsid w:val="00182F91"/>
    <w:rsid w:val="00183681"/>
    <w:rsid w:val="00184198"/>
    <w:rsid w:val="00184F33"/>
    <w:rsid w:val="001872CC"/>
    <w:rsid w:val="0018778B"/>
    <w:rsid w:val="00190968"/>
    <w:rsid w:val="001930C0"/>
    <w:rsid w:val="001938B7"/>
    <w:rsid w:val="00195A85"/>
    <w:rsid w:val="001973DF"/>
    <w:rsid w:val="001A1344"/>
    <w:rsid w:val="001A18E2"/>
    <w:rsid w:val="001A778D"/>
    <w:rsid w:val="001B4146"/>
    <w:rsid w:val="001B52D7"/>
    <w:rsid w:val="001B5BA6"/>
    <w:rsid w:val="001B6BB1"/>
    <w:rsid w:val="001C220A"/>
    <w:rsid w:val="001C3436"/>
    <w:rsid w:val="001C3E3F"/>
    <w:rsid w:val="001C58C3"/>
    <w:rsid w:val="001C76EE"/>
    <w:rsid w:val="001D26A0"/>
    <w:rsid w:val="001D3760"/>
    <w:rsid w:val="001D4ABF"/>
    <w:rsid w:val="001D6BA5"/>
    <w:rsid w:val="001E1085"/>
    <w:rsid w:val="001E2FEF"/>
    <w:rsid w:val="001E6433"/>
    <w:rsid w:val="001E6A8E"/>
    <w:rsid w:val="001E7CF3"/>
    <w:rsid w:val="001F2C4F"/>
    <w:rsid w:val="001F3500"/>
    <w:rsid w:val="001F3BB0"/>
    <w:rsid w:val="001F46A9"/>
    <w:rsid w:val="0020243C"/>
    <w:rsid w:val="00203A6B"/>
    <w:rsid w:val="00204032"/>
    <w:rsid w:val="00205020"/>
    <w:rsid w:val="00206740"/>
    <w:rsid w:val="00207013"/>
    <w:rsid w:val="002077CD"/>
    <w:rsid w:val="00211D51"/>
    <w:rsid w:val="00217272"/>
    <w:rsid w:val="002173B7"/>
    <w:rsid w:val="002205D3"/>
    <w:rsid w:val="0022350B"/>
    <w:rsid w:val="002249B4"/>
    <w:rsid w:val="00224A45"/>
    <w:rsid w:val="00226884"/>
    <w:rsid w:val="00237BFF"/>
    <w:rsid w:val="00240EBB"/>
    <w:rsid w:val="00244B83"/>
    <w:rsid w:val="00245D64"/>
    <w:rsid w:val="00247941"/>
    <w:rsid w:val="002479F7"/>
    <w:rsid w:val="002508B1"/>
    <w:rsid w:val="00260BD3"/>
    <w:rsid w:val="00261807"/>
    <w:rsid w:val="002626E5"/>
    <w:rsid w:val="00262DC5"/>
    <w:rsid w:val="0026369E"/>
    <w:rsid w:val="00270EA6"/>
    <w:rsid w:val="002719EC"/>
    <w:rsid w:val="002729E4"/>
    <w:rsid w:val="00273943"/>
    <w:rsid w:val="002749E6"/>
    <w:rsid w:val="00274FC7"/>
    <w:rsid w:val="002821ED"/>
    <w:rsid w:val="002847C5"/>
    <w:rsid w:val="0029288C"/>
    <w:rsid w:val="00293A67"/>
    <w:rsid w:val="002964A0"/>
    <w:rsid w:val="002A6F5C"/>
    <w:rsid w:val="002A70D3"/>
    <w:rsid w:val="002A7384"/>
    <w:rsid w:val="002B290B"/>
    <w:rsid w:val="002B72E0"/>
    <w:rsid w:val="002C15BC"/>
    <w:rsid w:val="002C5B68"/>
    <w:rsid w:val="002C6BBC"/>
    <w:rsid w:val="002C6C93"/>
    <w:rsid w:val="002D14E3"/>
    <w:rsid w:val="002E0005"/>
    <w:rsid w:val="002E13BA"/>
    <w:rsid w:val="002E4C07"/>
    <w:rsid w:val="002F100B"/>
    <w:rsid w:val="002F2296"/>
    <w:rsid w:val="002F2D8C"/>
    <w:rsid w:val="002F382A"/>
    <w:rsid w:val="003024E2"/>
    <w:rsid w:val="00306037"/>
    <w:rsid w:val="00310816"/>
    <w:rsid w:val="003108B5"/>
    <w:rsid w:val="0031235E"/>
    <w:rsid w:val="00314A87"/>
    <w:rsid w:val="00314D4E"/>
    <w:rsid w:val="00316A86"/>
    <w:rsid w:val="00322C86"/>
    <w:rsid w:val="00325724"/>
    <w:rsid w:val="00325AA0"/>
    <w:rsid w:val="00326198"/>
    <w:rsid w:val="00331B24"/>
    <w:rsid w:val="0033390F"/>
    <w:rsid w:val="00334989"/>
    <w:rsid w:val="00337524"/>
    <w:rsid w:val="00337591"/>
    <w:rsid w:val="00337681"/>
    <w:rsid w:val="00340099"/>
    <w:rsid w:val="0034059B"/>
    <w:rsid w:val="00340BFB"/>
    <w:rsid w:val="00342945"/>
    <w:rsid w:val="00343A3B"/>
    <w:rsid w:val="00344CE3"/>
    <w:rsid w:val="00346AFF"/>
    <w:rsid w:val="00361087"/>
    <w:rsid w:val="00362D44"/>
    <w:rsid w:val="00364CD0"/>
    <w:rsid w:val="003677B3"/>
    <w:rsid w:val="003705C6"/>
    <w:rsid w:val="00375BF0"/>
    <w:rsid w:val="00377535"/>
    <w:rsid w:val="00380648"/>
    <w:rsid w:val="003818DB"/>
    <w:rsid w:val="00386611"/>
    <w:rsid w:val="003873E4"/>
    <w:rsid w:val="00393E8F"/>
    <w:rsid w:val="003A276D"/>
    <w:rsid w:val="003A3C13"/>
    <w:rsid w:val="003A4559"/>
    <w:rsid w:val="003B6D89"/>
    <w:rsid w:val="003C1C1B"/>
    <w:rsid w:val="003C322F"/>
    <w:rsid w:val="003D0C3D"/>
    <w:rsid w:val="003D4F40"/>
    <w:rsid w:val="003E2303"/>
    <w:rsid w:val="003E3FC2"/>
    <w:rsid w:val="003E7962"/>
    <w:rsid w:val="003F3157"/>
    <w:rsid w:val="003F347B"/>
    <w:rsid w:val="003F59E9"/>
    <w:rsid w:val="003F6332"/>
    <w:rsid w:val="003F757B"/>
    <w:rsid w:val="004000CA"/>
    <w:rsid w:val="00401B9E"/>
    <w:rsid w:val="00401ED0"/>
    <w:rsid w:val="00403042"/>
    <w:rsid w:val="004062D5"/>
    <w:rsid w:val="00406CD7"/>
    <w:rsid w:val="00412BF2"/>
    <w:rsid w:val="0041501B"/>
    <w:rsid w:val="004172A0"/>
    <w:rsid w:val="004233BB"/>
    <w:rsid w:val="0042530F"/>
    <w:rsid w:val="00426664"/>
    <w:rsid w:val="00427A13"/>
    <w:rsid w:val="004324FC"/>
    <w:rsid w:val="0043599C"/>
    <w:rsid w:val="00436426"/>
    <w:rsid w:val="00436AEC"/>
    <w:rsid w:val="00437834"/>
    <w:rsid w:val="00440497"/>
    <w:rsid w:val="00440A42"/>
    <w:rsid w:val="004456AB"/>
    <w:rsid w:val="00445963"/>
    <w:rsid w:val="00447FBF"/>
    <w:rsid w:val="004551FE"/>
    <w:rsid w:val="004559FB"/>
    <w:rsid w:val="004573EE"/>
    <w:rsid w:val="00463BA2"/>
    <w:rsid w:val="0046579C"/>
    <w:rsid w:val="00465F18"/>
    <w:rsid w:val="004666CE"/>
    <w:rsid w:val="00470EFE"/>
    <w:rsid w:val="0047141D"/>
    <w:rsid w:val="00472AC5"/>
    <w:rsid w:val="00474170"/>
    <w:rsid w:val="00474E92"/>
    <w:rsid w:val="00480C55"/>
    <w:rsid w:val="00482288"/>
    <w:rsid w:val="0048318F"/>
    <w:rsid w:val="00485220"/>
    <w:rsid w:val="00490CC8"/>
    <w:rsid w:val="00493B38"/>
    <w:rsid w:val="00493B58"/>
    <w:rsid w:val="004955CB"/>
    <w:rsid w:val="00496A1C"/>
    <w:rsid w:val="00496B2B"/>
    <w:rsid w:val="004A0990"/>
    <w:rsid w:val="004A1CE4"/>
    <w:rsid w:val="004A2020"/>
    <w:rsid w:val="004A5D85"/>
    <w:rsid w:val="004B02A8"/>
    <w:rsid w:val="004B45CB"/>
    <w:rsid w:val="004B506C"/>
    <w:rsid w:val="004B7082"/>
    <w:rsid w:val="004B7154"/>
    <w:rsid w:val="004C2ACE"/>
    <w:rsid w:val="004C5BDA"/>
    <w:rsid w:val="004D03DC"/>
    <w:rsid w:val="004D0E23"/>
    <w:rsid w:val="004E71EC"/>
    <w:rsid w:val="004E72B3"/>
    <w:rsid w:val="004F0A6F"/>
    <w:rsid w:val="004F64BA"/>
    <w:rsid w:val="0050230A"/>
    <w:rsid w:val="005044D9"/>
    <w:rsid w:val="005055E7"/>
    <w:rsid w:val="0050605A"/>
    <w:rsid w:val="00507BE5"/>
    <w:rsid w:val="005102E3"/>
    <w:rsid w:val="005142C2"/>
    <w:rsid w:val="0051593C"/>
    <w:rsid w:val="00516ACF"/>
    <w:rsid w:val="00525527"/>
    <w:rsid w:val="00530CEF"/>
    <w:rsid w:val="0054614A"/>
    <w:rsid w:val="00553842"/>
    <w:rsid w:val="0056149E"/>
    <w:rsid w:val="00561B82"/>
    <w:rsid w:val="00561CC4"/>
    <w:rsid w:val="0056350E"/>
    <w:rsid w:val="00565BB9"/>
    <w:rsid w:val="0057004E"/>
    <w:rsid w:val="005734CB"/>
    <w:rsid w:val="00573CA1"/>
    <w:rsid w:val="0058261F"/>
    <w:rsid w:val="005830D8"/>
    <w:rsid w:val="00585BD6"/>
    <w:rsid w:val="00592ED6"/>
    <w:rsid w:val="00593F00"/>
    <w:rsid w:val="005949A9"/>
    <w:rsid w:val="00597456"/>
    <w:rsid w:val="005A0B83"/>
    <w:rsid w:val="005A153A"/>
    <w:rsid w:val="005A21C1"/>
    <w:rsid w:val="005A2EE2"/>
    <w:rsid w:val="005A2F81"/>
    <w:rsid w:val="005B0459"/>
    <w:rsid w:val="005C1452"/>
    <w:rsid w:val="005C5608"/>
    <w:rsid w:val="005C5BF2"/>
    <w:rsid w:val="005C5EAA"/>
    <w:rsid w:val="005C7FAE"/>
    <w:rsid w:val="005D128C"/>
    <w:rsid w:val="005D1526"/>
    <w:rsid w:val="005D275B"/>
    <w:rsid w:val="005D2A5B"/>
    <w:rsid w:val="005D49E6"/>
    <w:rsid w:val="005D791E"/>
    <w:rsid w:val="005D7E0F"/>
    <w:rsid w:val="005E3687"/>
    <w:rsid w:val="005E39DC"/>
    <w:rsid w:val="005E3C7C"/>
    <w:rsid w:val="005E6BA5"/>
    <w:rsid w:val="005F0291"/>
    <w:rsid w:val="005F4100"/>
    <w:rsid w:val="005F4246"/>
    <w:rsid w:val="005F4468"/>
    <w:rsid w:val="005F4963"/>
    <w:rsid w:val="005F4B22"/>
    <w:rsid w:val="005F581F"/>
    <w:rsid w:val="005F7F5A"/>
    <w:rsid w:val="00600352"/>
    <w:rsid w:val="006032A4"/>
    <w:rsid w:val="006100C0"/>
    <w:rsid w:val="00613E60"/>
    <w:rsid w:val="006143A0"/>
    <w:rsid w:val="00617CBA"/>
    <w:rsid w:val="0062169A"/>
    <w:rsid w:val="0062212A"/>
    <w:rsid w:val="00625BF8"/>
    <w:rsid w:val="0063369B"/>
    <w:rsid w:val="00633EEC"/>
    <w:rsid w:val="00636E0B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54198"/>
    <w:rsid w:val="00660F38"/>
    <w:rsid w:val="00663F53"/>
    <w:rsid w:val="006641B2"/>
    <w:rsid w:val="00666607"/>
    <w:rsid w:val="00673E57"/>
    <w:rsid w:val="00680583"/>
    <w:rsid w:val="00684106"/>
    <w:rsid w:val="0068589B"/>
    <w:rsid w:val="006876CE"/>
    <w:rsid w:val="006926C0"/>
    <w:rsid w:val="0069333C"/>
    <w:rsid w:val="0069453B"/>
    <w:rsid w:val="006A0E3F"/>
    <w:rsid w:val="006A18DF"/>
    <w:rsid w:val="006A299F"/>
    <w:rsid w:val="006B0F68"/>
    <w:rsid w:val="006B2587"/>
    <w:rsid w:val="006B7980"/>
    <w:rsid w:val="006C1577"/>
    <w:rsid w:val="006C1F1B"/>
    <w:rsid w:val="006C7BC4"/>
    <w:rsid w:val="006D07BA"/>
    <w:rsid w:val="006D0FD4"/>
    <w:rsid w:val="006D3AD2"/>
    <w:rsid w:val="006D51ED"/>
    <w:rsid w:val="006D5E77"/>
    <w:rsid w:val="006D77E1"/>
    <w:rsid w:val="006E1145"/>
    <w:rsid w:val="006E2123"/>
    <w:rsid w:val="006E4579"/>
    <w:rsid w:val="006E4CF0"/>
    <w:rsid w:val="006E661A"/>
    <w:rsid w:val="006E6AA0"/>
    <w:rsid w:val="006E6C59"/>
    <w:rsid w:val="006E7C13"/>
    <w:rsid w:val="006F45F9"/>
    <w:rsid w:val="006F4AEC"/>
    <w:rsid w:val="006F681C"/>
    <w:rsid w:val="006F6A60"/>
    <w:rsid w:val="006F7803"/>
    <w:rsid w:val="00700124"/>
    <w:rsid w:val="007004AD"/>
    <w:rsid w:val="00701EF7"/>
    <w:rsid w:val="00710412"/>
    <w:rsid w:val="007151AC"/>
    <w:rsid w:val="00715A4E"/>
    <w:rsid w:val="00716BCD"/>
    <w:rsid w:val="007229BC"/>
    <w:rsid w:val="007246DA"/>
    <w:rsid w:val="00732E82"/>
    <w:rsid w:val="00733F9C"/>
    <w:rsid w:val="00741EDC"/>
    <w:rsid w:val="00742D5D"/>
    <w:rsid w:val="00743304"/>
    <w:rsid w:val="00747D2E"/>
    <w:rsid w:val="00754718"/>
    <w:rsid w:val="0076571C"/>
    <w:rsid w:val="00766750"/>
    <w:rsid w:val="007673F4"/>
    <w:rsid w:val="00767DE1"/>
    <w:rsid w:val="007737C4"/>
    <w:rsid w:val="00784772"/>
    <w:rsid w:val="0078558E"/>
    <w:rsid w:val="00785E54"/>
    <w:rsid w:val="00786CC5"/>
    <w:rsid w:val="0079634C"/>
    <w:rsid w:val="00796595"/>
    <w:rsid w:val="00796E2F"/>
    <w:rsid w:val="007A0FB5"/>
    <w:rsid w:val="007A105D"/>
    <w:rsid w:val="007A21DC"/>
    <w:rsid w:val="007A4F6A"/>
    <w:rsid w:val="007A6CE7"/>
    <w:rsid w:val="007B2DC9"/>
    <w:rsid w:val="007C17D7"/>
    <w:rsid w:val="007C39BB"/>
    <w:rsid w:val="007C439E"/>
    <w:rsid w:val="007D3AC1"/>
    <w:rsid w:val="007D7194"/>
    <w:rsid w:val="007E0E7D"/>
    <w:rsid w:val="007E1694"/>
    <w:rsid w:val="007E1726"/>
    <w:rsid w:val="007E17C2"/>
    <w:rsid w:val="007E4ECA"/>
    <w:rsid w:val="007E6ABC"/>
    <w:rsid w:val="007F0E03"/>
    <w:rsid w:val="007F0F88"/>
    <w:rsid w:val="007F36C5"/>
    <w:rsid w:val="007F6CB8"/>
    <w:rsid w:val="008013C6"/>
    <w:rsid w:val="00801747"/>
    <w:rsid w:val="00802260"/>
    <w:rsid w:val="00802CF8"/>
    <w:rsid w:val="00804166"/>
    <w:rsid w:val="00805FAF"/>
    <w:rsid w:val="00806102"/>
    <w:rsid w:val="00813DC1"/>
    <w:rsid w:val="00814740"/>
    <w:rsid w:val="00814D8C"/>
    <w:rsid w:val="0082039D"/>
    <w:rsid w:val="00823856"/>
    <w:rsid w:val="00826B2D"/>
    <w:rsid w:val="00827D5B"/>
    <w:rsid w:val="00832F49"/>
    <w:rsid w:val="008340F7"/>
    <w:rsid w:val="00842958"/>
    <w:rsid w:val="00852F48"/>
    <w:rsid w:val="0085677C"/>
    <w:rsid w:val="00856AA8"/>
    <w:rsid w:val="008576C0"/>
    <w:rsid w:val="0086080B"/>
    <w:rsid w:val="008634D8"/>
    <w:rsid w:val="00863C9C"/>
    <w:rsid w:val="00863F07"/>
    <w:rsid w:val="00870B7B"/>
    <w:rsid w:val="00871420"/>
    <w:rsid w:val="0087225E"/>
    <w:rsid w:val="00872EF0"/>
    <w:rsid w:val="00876CCF"/>
    <w:rsid w:val="00881CE2"/>
    <w:rsid w:val="0088576A"/>
    <w:rsid w:val="00887DD2"/>
    <w:rsid w:val="00895598"/>
    <w:rsid w:val="008972CF"/>
    <w:rsid w:val="008979E8"/>
    <w:rsid w:val="008A0153"/>
    <w:rsid w:val="008A0C50"/>
    <w:rsid w:val="008A6770"/>
    <w:rsid w:val="008A7828"/>
    <w:rsid w:val="008B06D3"/>
    <w:rsid w:val="008B1E99"/>
    <w:rsid w:val="008B4C41"/>
    <w:rsid w:val="008B641D"/>
    <w:rsid w:val="008C29E1"/>
    <w:rsid w:val="008C2C36"/>
    <w:rsid w:val="008C3DC3"/>
    <w:rsid w:val="008D59AE"/>
    <w:rsid w:val="008D61F3"/>
    <w:rsid w:val="008D6974"/>
    <w:rsid w:val="008D7762"/>
    <w:rsid w:val="008E0AA7"/>
    <w:rsid w:val="008E1590"/>
    <w:rsid w:val="008F0B1F"/>
    <w:rsid w:val="008F23EA"/>
    <w:rsid w:val="008F554C"/>
    <w:rsid w:val="008F656B"/>
    <w:rsid w:val="00901B98"/>
    <w:rsid w:val="009028CE"/>
    <w:rsid w:val="00904B58"/>
    <w:rsid w:val="00905C0E"/>
    <w:rsid w:val="00910F07"/>
    <w:rsid w:val="009113DD"/>
    <w:rsid w:val="009113E6"/>
    <w:rsid w:val="0091366F"/>
    <w:rsid w:val="00915963"/>
    <w:rsid w:val="00922AA3"/>
    <w:rsid w:val="00931D5D"/>
    <w:rsid w:val="00933889"/>
    <w:rsid w:val="00935EB2"/>
    <w:rsid w:val="009360BC"/>
    <w:rsid w:val="00940E24"/>
    <w:rsid w:val="00941076"/>
    <w:rsid w:val="00943253"/>
    <w:rsid w:val="00953868"/>
    <w:rsid w:val="00960092"/>
    <w:rsid w:val="00960FCA"/>
    <w:rsid w:val="00963048"/>
    <w:rsid w:val="00967215"/>
    <w:rsid w:val="009703E9"/>
    <w:rsid w:val="00970F77"/>
    <w:rsid w:val="00971FBF"/>
    <w:rsid w:val="00972B7F"/>
    <w:rsid w:val="00975A24"/>
    <w:rsid w:val="00976F21"/>
    <w:rsid w:val="00980D11"/>
    <w:rsid w:val="0098262F"/>
    <w:rsid w:val="00982EF0"/>
    <w:rsid w:val="00983089"/>
    <w:rsid w:val="009841DB"/>
    <w:rsid w:val="00984E6A"/>
    <w:rsid w:val="00987981"/>
    <w:rsid w:val="00990E56"/>
    <w:rsid w:val="009911D9"/>
    <w:rsid w:val="009921DD"/>
    <w:rsid w:val="0099293B"/>
    <w:rsid w:val="009A0A20"/>
    <w:rsid w:val="009A1F57"/>
    <w:rsid w:val="009A3C12"/>
    <w:rsid w:val="009A628F"/>
    <w:rsid w:val="009A68B8"/>
    <w:rsid w:val="009A7006"/>
    <w:rsid w:val="009C0042"/>
    <w:rsid w:val="009C780E"/>
    <w:rsid w:val="009D1660"/>
    <w:rsid w:val="009D62E4"/>
    <w:rsid w:val="009D6334"/>
    <w:rsid w:val="009E19DD"/>
    <w:rsid w:val="009E6644"/>
    <w:rsid w:val="009E7C8E"/>
    <w:rsid w:val="009F28DD"/>
    <w:rsid w:val="009F41E7"/>
    <w:rsid w:val="009F6CC2"/>
    <w:rsid w:val="00A00149"/>
    <w:rsid w:val="00A01226"/>
    <w:rsid w:val="00A0209F"/>
    <w:rsid w:val="00A03A78"/>
    <w:rsid w:val="00A03EC1"/>
    <w:rsid w:val="00A06584"/>
    <w:rsid w:val="00A17405"/>
    <w:rsid w:val="00A175B3"/>
    <w:rsid w:val="00A179F2"/>
    <w:rsid w:val="00A31842"/>
    <w:rsid w:val="00A4347D"/>
    <w:rsid w:val="00A44E94"/>
    <w:rsid w:val="00A460BB"/>
    <w:rsid w:val="00A474C3"/>
    <w:rsid w:val="00A5009D"/>
    <w:rsid w:val="00A541EC"/>
    <w:rsid w:val="00A60F75"/>
    <w:rsid w:val="00A611C5"/>
    <w:rsid w:val="00A61648"/>
    <w:rsid w:val="00A62A48"/>
    <w:rsid w:val="00A62E38"/>
    <w:rsid w:val="00A63143"/>
    <w:rsid w:val="00A65A3B"/>
    <w:rsid w:val="00A71C65"/>
    <w:rsid w:val="00A74EC9"/>
    <w:rsid w:val="00A75FC1"/>
    <w:rsid w:val="00A8775A"/>
    <w:rsid w:val="00A9088B"/>
    <w:rsid w:val="00A91ABC"/>
    <w:rsid w:val="00A95855"/>
    <w:rsid w:val="00A9770D"/>
    <w:rsid w:val="00AB040C"/>
    <w:rsid w:val="00AB3EBB"/>
    <w:rsid w:val="00AB4F2D"/>
    <w:rsid w:val="00AB5A51"/>
    <w:rsid w:val="00AC0BAD"/>
    <w:rsid w:val="00AC1D46"/>
    <w:rsid w:val="00AC68C9"/>
    <w:rsid w:val="00AD0872"/>
    <w:rsid w:val="00AD08B3"/>
    <w:rsid w:val="00AD1337"/>
    <w:rsid w:val="00AD2EE7"/>
    <w:rsid w:val="00AD3318"/>
    <w:rsid w:val="00AD4B6C"/>
    <w:rsid w:val="00AE3D51"/>
    <w:rsid w:val="00AE5259"/>
    <w:rsid w:val="00AE5C5D"/>
    <w:rsid w:val="00AE63CF"/>
    <w:rsid w:val="00AF0BD7"/>
    <w:rsid w:val="00AF2340"/>
    <w:rsid w:val="00AF5A6B"/>
    <w:rsid w:val="00AF721F"/>
    <w:rsid w:val="00B007D9"/>
    <w:rsid w:val="00B050BE"/>
    <w:rsid w:val="00B1017E"/>
    <w:rsid w:val="00B11E39"/>
    <w:rsid w:val="00B120F8"/>
    <w:rsid w:val="00B12E1A"/>
    <w:rsid w:val="00B14E52"/>
    <w:rsid w:val="00B205F6"/>
    <w:rsid w:val="00B22AEE"/>
    <w:rsid w:val="00B23860"/>
    <w:rsid w:val="00B25491"/>
    <w:rsid w:val="00B2616A"/>
    <w:rsid w:val="00B26CE3"/>
    <w:rsid w:val="00B27ABE"/>
    <w:rsid w:val="00B31E81"/>
    <w:rsid w:val="00B32A94"/>
    <w:rsid w:val="00B32D9C"/>
    <w:rsid w:val="00B33893"/>
    <w:rsid w:val="00B349BE"/>
    <w:rsid w:val="00B369B6"/>
    <w:rsid w:val="00B448DD"/>
    <w:rsid w:val="00B44F01"/>
    <w:rsid w:val="00B45920"/>
    <w:rsid w:val="00B45EFC"/>
    <w:rsid w:val="00B511E9"/>
    <w:rsid w:val="00B53DD5"/>
    <w:rsid w:val="00B56B5F"/>
    <w:rsid w:val="00B5733C"/>
    <w:rsid w:val="00B640ED"/>
    <w:rsid w:val="00B67F05"/>
    <w:rsid w:val="00B70A22"/>
    <w:rsid w:val="00B70F5A"/>
    <w:rsid w:val="00B807BE"/>
    <w:rsid w:val="00B8169C"/>
    <w:rsid w:val="00B81DC7"/>
    <w:rsid w:val="00B83673"/>
    <w:rsid w:val="00B85EDC"/>
    <w:rsid w:val="00B876DF"/>
    <w:rsid w:val="00B91B98"/>
    <w:rsid w:val="00B94146"/>
    <w:rsid w:val="00B9578F"/>
    <w:rsid w:val="00B97EEB"/>
    <w:rsid w:val="00BA2CCF"/>
    <w:rsid w:val="00BA4E38"/>
    <w:rsid w:val="00BA5872"/>
    <w:rsid w:val="00BA5C5A"/>
    <w:rsid w:val="00BA5F97"/>
    <w:rsid w:val="00BA602D"/>
    <w:rsid w:val="00BA6A7F"/>
    <w:rsid w:val="00BB03F8"/>
    <w:rsid w:val="00BB16A6"/>
    <w:rsid w:val="00BB3509"/>
    <w:rsid w:val="00BB5334"/>
    <w:rsid w:val="00BB54A8"/>
    <w:rsid w:val="00BC4F68"/>
    <w:rsid w:val="00BD094C"/>
    <w:rsid w:val="00BD30AF"/>
    <w:rsid w:val="00BE00BE"/>
    <w:rsid w:val="00BF28C3"/>
    <w:rsid w:val="00BF2E0A"/>
    <w:rsid w:val="00BF5F21"/>
    <w:rsid w:val="00BF64B1"/>
    <w:rsid w:val="00C04184"/>
    <w:rsid w:val="00C04B92"/>
    <w:rsid w:val="00C0631A"/>
    <w:rsid w:val="00C066E4"/>
    <w:rsid w:val="00C075D3"/>
    <w:rsid w:val="00C1107B"/>
    <w:rsid w:val="00C1146E"/>
    <w:rsid w:val="00C1397C"/>
    <w:rsid w:val="00C16361"/>
    <w:rsid w:val="00C22B99"/>
    <w:rsid w:val="00C231AC"/>
    <w:rsid w:val="00C261FA"/>
    <w:rsid w:val="00C26AB6"/>
    <w:rsid w:val="00C27532"/>
    <w:rsid w:val="00C276E6"/>
    <w:rsid w:val="00C301AB"/>
    <w:rsid w:val="00C316F7"/>
    <w:rsid w:val="00C32680"/>
    <w:rsid w:val="00C36985"/>
    <w:rsid w:val="00C40F00"/>
    <w:rsid w:val="00C46166"/>
    <w:rsid w:val="00C56AAB"/>
    <w:rsid w:val="00C633BC"/>
    <w:rsid w:val="00C637F5"/>
    <w:rsid w:val="00C64ABE"/>
    <w:rsid w:val="00C7540C"/>
    <w:rsid w:val="00C759B3"/>
    <w:rsid w:val="00C8074C"/>
    <w:rsid w:val="00C8219C"/>
    <w:rsid w:val="00C8289F"/>
    <w:rsid w:val="00C9110F"/>
    <w:rsid w:val="00C94596"/>
    <w:rsid w:val="00C94AC9"/>
    <w:rsid w:val="00C95132"/>
    <w:rsid w:val="00C95443"/>
    <w:rsid w:val="00C95E78"/>
    <w:rsid w:val="00C97B2B"/>
    <w:rsid w:val="00CA5D2F"/>
    <w:rsid w:val="00CB0274"/>
    <w:rsid w:val="00CB1CF8"/>
    <w:rsid w:val="00CB21AD"/>
    <w:rsid w:val="00CB34EF"/>
    <w:rsid w:val="00CB5B9D"/>
    <w:rsid w:val="00CC316A"/>
    <w:rsid w:val="00CC3A4E"/>
    <w:rsid w:val="00CC4A78"/>
    <w:rsid w:val="00CC5BC5"/>
    <w:rsid w:val="00CD18C6"/>
    <w:rsid w:val="00CD3752"/>
    <w:rsid w:val="00CD72FA"/>
    <w:rsid w:val="00CE0410"/>
    <w:rsid w:val="00CE126F"/>
    <w:rsid w:val="00CE13A8"/>
    <w:rsid w:val="00CE7B29"/>
    <w:rsid w:val="00CF3734"/>
    <w:rsid w:val="00CF4006"/>
    <w:rsid w:val="00CF5085"/>
    <w:rsid w:val="00CF6C90"/>
    <w:rsid w:val="00D03C03"/>
    <w:rsid w:val="00D06A8C"/>
    <w:rsid w:val="00D10B11"/>
    <w:rsid w:val="00D12516"/>
    <w:rsid w:val="00D125B6"/>
    <w:rsid w:val="00D26F4C"/>
    <w:rsid w:val="00D27CAA"/>
    <w:rsid w:val="00D304DD"/>
    <w:rsid w:val="00D31D01"/>
    <w:rsid w:val="00D34FF3"/>
    <w:rsid w:val="00D3783A"/>
    <w:rsid w:val="00D423FB"/>
    <w:rsid w:val="00D5158B"/>
    <w:rsid w:val="00D5435F"/>
    <w:rsid w:val="00D55CFC"/>
    <w:rsid w:val="00D60A60"/>
    <w:rsid w:val="00D63BA7"/>
    <w:rsid w:val="00D65D53"/>
    <w:rsid w:val="00D669C1"/>
    <w:rsid w:val="00D66EB0"/>
    <w:rsid w:val="00D6798F"/>
    <w:rsid w:val="00D70B72"/>
    <w:rsid w:val="00D71BA4"/>
    <w:rsid w:val="00D72320"/>
    <w:rsid w:val="00D73F28"/>
    <w:rsid w:val="00D7558A"/>
    <w:rsid w:val="00D767E9"/>
    <w:rsid w:val="00D8017F"/>
    <w:rsid w:val="00D80C65"/>
    <w:rsid w:val="00D823FE"/>
    <w:rsid w:val="00D845F1"/>
    <w:rsid w:val="00D84A07"/>
    <w:rsid w:val="00D8576F"/>
    <w:rsid w:val="00D97663"/>
    <w:rsid w:val="00D9772D"/>
    <w:rsid w:val="00DA0446"/>
    <w:rsid w:val="00DA0708"/>
    <w:rsid w:val="00DA140F"/>
    <w:rsid w:val="00DA1921"/>
    <w:rsid w:val="00DA1F61"/>
    <w:rsid w:val="00DA79BD"/>
    <w:rsid w:val="00DB1800"/>
    <w:rsid w:val="00DB37A2"/>
    <w:rsid w:val="00DB57C1"/>
    <w:rsid w:val="00DB58BF"/>
    <w:rsid w:val="00DC2341"/>
    <w:rsid w:val="00DD3437"/>
    <w:rsid w:val="00DD7A42"/>
    <w:rsid w:val="00DE28B8"/>
    <w:rsid w:val="00DE6B94"/>
    <w:rsid w:val="00DF16A1"/>
    <w:rsid w:val="00E122E1"/>
    <w:rsid w:val="00E13DB8"/>
    <w:rsid w:val="00E15843"/>
    <w:rsid w:val="00E16988"/>
    <w:rsid w:val="00E20C84"/>
    <w:rsid w:val="00E23F42"/>
    <w:rsid w:val="00E24835"/>
    <w:rsid w:val="00E26C06"/>
    <w:rsid w:val="00E30BAD"/>
    <w:rsid w:val="00E30FD6"/>
    <w:rsid w:val="00E357A9"/>
    <w:rsid w:val="00E36C16"/>
    <w:rsid w:val="00E37B14"/>
    <w:rsid w:val="00E422E0"/>
    <w:rsid w:val="00E43EF0"/>
    <w:rsid w:val="00E44BD8"/>
    <w:rsid w:val="00E460CB"/>
    <w:rsid w:val="00E46CA3"/>
    <w:rsid w:val="00E50DDF"/>
    <w:rsid w:val="00E512AD"/>
    <w:rsid w:val="00E56D4F"/>
    <w:rsid w:val="00E62BEA"/>
    <w:rsid w:val="00E725BB"/>
    <w:rsid w:val="00E74010"/>
    <w:rsid w:val="00E7439A"/>
    <w:rsid w:val="00E74597"/>
    <w:rsid w:val="00E803D0"/>
    <w:rsid w:val="00E817EE"/>
    <w:rsid w:val="00E85168"/>
    <w:rsid w:val="00E8542C"/>
    <w:rsid w:val="00E91F69"/>
    <w:rsid w:val="00E92EB3"/>
    <w:rsid w:val="00E94AAC"/>
    <w:rsid w:val="00E94B54"/>
    <w:rsid w:val="00E95835"/>
    <w:rsid w:val="00E976A2"/>
    <w:rsid w:val="00EA1C16"/>
    <w:rsid w:val="00EA6B13"/>
    <w:rsid w:val="00EB282D"/>
    <w:rsid w:val="00EB48EA"/>
    <w:rsid w:val="00EB4B38"/>
    <w:rsid w:val="00EB4C83"/>
    <w:rsid w:val="00EB62D5"/>
    <w:rsid w:val="00EC04D1"/>
    <w:rsid w:val="00EC19A3"/>
    <w:rsid w:val="00EC58D2"/>
    <w:rsid w:val="00EC719D"/>
    <w:rsid w:val="00EC75C5"/>
    <w:rsid w:val="00ED2514"/>
    <w:rsid w:val="00ED2687"/>
    <w:rsid w:val="00ED6DD1"/>
    <w:rsid w:val="00ED7663"/>
    <w:rsid w:val="00EE06B7"/>
    <w:rsid w:val="00EE2467"/>
    <w:rsid w:val="00EE27A7"/>
    <w:rsid w:val="00EE2FC3"/>
    <w:rsid w:val="00EE3A3C"/>
    <w:rsid w:val="00EE3B01"/>
    <w:rsid w:val="00EE44C7"/>
    <w:rsid w:val="00EE5ADC"/>
    <w:rsid w:val="00EE65F7"/>
    <w:rsid w:val="00EF2FAE"/>
    <w:rsid w:val="00EF5E49"/>
    <w:rsid w:val="00EF6C75"/>
    <w:rsid w:val="00EF7137"/>
    <w:rsid w:val="00EF74BE"/>
    <w:rsid w:val="00EF78BA"/>
    <w:rsid w:val="00F02EC5"/>
    <w:rsid w:val="00F1017D"/>
    <w:rsid w:val="00F115D6"/>
    <w:rsid w:val="00F11907"/>
    <w:rsid w:val="00F14CDC"/>
    <w:rsid w:val="00F17282"/>
    <w:rsid w:val="00F22ABD"/>
    <w:rsid w:val="00F23263"/>
    <w:rsid w:val="00F23A1E"/>
    <w:rsid w:val="00F25447"/>
    <w:rsid w:val="00F258C6"/>
    <w:rsid w:val="00F30252"/>
    <w:rsid w:val="00F340AD"/>
    <w:rsid w:val="00F34762"/>
    <w:rsid w:val="00F36DC3"/>
    <w:rsid w:val="00F4332F"/>
    <w:rsid w:val="00F467EA"/>
    <w:rsid w:val="00F47DC1"/>
    <w:rsid w:val="00F5313C"/>
    <w:rsid w:val="00F5385F"/>
    <w:rsid w:val="00F55B8D"/>
    <w:rsid w:val="00F615EC"/>
    <w:rsid w:val="00F648DB"/>
    <w:rsid w:val="00F65198"/>
    <w:rsid w:val="00F65576"/>
    <w:rsid w:val="00F65EE7"/>
    <w:rsid w:val="00F71699"/>
    <w:rsid w:val="00F72E2A"/>
    <w:rsid w:val="00F744BD"/>
    <w:rsid w:val="00F755A8"/>
    <w:rsid w:val="00F778E1"/>
    <w:rsid w:val="00F815EE"/>
    <w:rsid w:val="00F83D5D"/>
    <w:rsid w:val="00F8496F"/>
    <w:rsid w:val="00F97AE5"/>
    <w:rsid w:val="00FA2F35"/>
    <w:rsid w:val="00FA7EEA"/>
    <w:rsid w:val="00FB117E"/>
    <w:rsid w:val="00FB3ED7"/>
    <w:rsid w:val="00FC2D66"/>
    <w:rsid w:val="00FD03BE"/>
    <w:rsid w:val="00FD23D4"/>
    <w:rsid w:val="00FD3870"/>
    <w:rsid w:val="00FD60BB"/>
    <w:rsid w:val="00FD669F"/>
    <w:rsid w:val="00FE19B8"/>
    <w:rsid w:val="00FE1D43"/>
    <w:rsid w:val="00FE4064"/>
    <w:rsid w:val="00FF3B82"/>
    <w:rsid w:val="00FF5095"/>
    <w:rsid w:val="00FF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آراء أرباب مقاولات الصناعة التحويلية 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(النسبة ب %)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4144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30.810000000000006</c:v>
                </c:pt>
                <c:pt idx="1">
                  <c:v>9.860000000000003</c:v>
                </c:pt>
                <c:pt idx="2">
                  <c:v>8.81</c:v>
                </c:pt>
                <c:pt idx="3">
                  <c:v>7.2502389050155625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40.17</c:v>
                </c:pt>
                <c:pt idx="1">
                  <c:v>64.349999999999994</c:v>
                </c:pt>
                <c:pt idx="2">
                  <c:v>71.89</c:v>
                </c:pt>
                <c:pt idx="3">
                  <c:v>79.994692237491989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29.02</c:v>
                </c:pt>
                <c:pt idx="1">
                  <c:v>25.79</c:v>
                </c:pt>
                <c:pt idx="2">
                  <c:v>19.309999999999999</c:v>
                </c:pt>
                <c:pt idx="3">
                  <c:v>12.755068857492452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1.79</c:v>
                </c:pt>
                <c:pt idx="1">
                  <c:v>-15.93</c:v>
                </c:pt>
                <c:pt idx="2">
                  <c:v>-10.5</c:v>
                </c:pt>
                <c:pt idx="3">
                  <c:v>-5.5048299524768893</c:v>
                </c:pt>
              </c:numCache>
            </c:numRef>
          </c:val>
        </c:ser>
        <c:axId val="96203136"/>
        <c:axId val="96204672"/>
      </c:barChart>
      <c:catAx>
        <c:axId val="9620313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6204672"/>
        <c:crosses val="autoZero"/>
        <c:auto val="1"/>
        <c:lblAlgn val="ctr"/>
        <c:lblOffset val="100"/>
        <c:tickLblSkip val="1"/>
      </c:catAx>
      <c:valAx>
        <c:axId val="96204672"/>
        <c:scaling>
          <c:orientation val="minMax"/>
          <c:max val="100"/>
          <c:min val="-2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6203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33182827671024"/>
          <c:y val="0.35647828295656864"/>
          <c:w val="0.1655000642402219"/>
          <c:h val="0.29890314113961808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799" b="1" i="0" u="none" strike="noStrike" baseline="0"/>
              <a:t>أرباب </a:t>
            </a: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الاستخراجية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799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2368398194829961"/>
          <c:y val="4.9623070975049324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83.940000000000026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14.82</c:v>
                </c:pt>
                <c:pt idx="1">
                  <c:v>93.940000000000026</c:v>
                </c:pt>
                <c:pt idx="2">
                  <c:v>91.39</c:v>
                </c:pt>
                <c:pt idx="3">
                  <c:v>21.853628661835256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1.24</c:v>
                </c:pt>
                <c:pt idx="1">
                  <c:v>6.06</c:v>
                </c:pt>
                <c:pt idx="2">
                  <c:v>8.61</c:v>
                </c:pt>
                <c:pt idx="3">
                  <c:v>78.146371338164656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82.710000000000022</c:v>
                </c:pt>
                <c:pt idx="1">
                  <c:v>-6.06</c:v>
                </c:pt>
                <c:pt idx="2">
                  <c:v>-8.61</c:v>
                </c:pt>
                <c:pt idx="3">
                  <c:v>-78.146371338164656</c:v>
                </c:pt>
              </c:numCache>
            </c:numRef>
          </c:val>
        </c:ser>
        <c:axId val="127116800"/>
        <c:axId val="127118336"/>
      </c:barChart>
      <c:catAx>
        <c:axId val="12711680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6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7118336"/>
        <c:crosses val="autoZero"/>
        <c:auto val="1"/>
        <c:lblAlgn val="ctr"/>
        <c:lblOffset val="100"/>
        <c:tickLblSkip val="1"/>
      </c:catAx>
      <c:valAx>
        <c:axId val="127118336"/>
        <c:scaling>
          <c:orientation val="minMax"/>
          <c:max val="100"/>
          <c:min val="-10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7116800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3409619237"/>
          <c:y val="0.44950153015105476"/>
          <c:w val="0.17535716308842694"/>
          <c:h val="0.29890330098779355"/>
        </c:manualLayout>
      </c:layout>
      <c:txPr>
        <a:bodyPr/>
        <a:lstStyle/>
        <a:p>
          <a:pPr>
            <a:defRPr sz="6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8181977252843432"/>
          <c:y val="3.211463431935873E-2"/>
        </c:manualLayout>
      </c:layout>
    </c:title>
    <c:plotArea>
      <c:layout>
        <c:manualLayout>
          <c:layoutTarget val="inner"/>
          <c:xMode val="edge"/>
          <c:yMode val="edge"/>
          <c:x val="0.13482040772300719"/>
          <c:y val="0.15722584862765759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92</c:v>
                </c:pt>
                <c:pt idx="1">
                  <c:v>0</c:v>
                </c:pt>
                <c:pt idx="2">
                  <c:v>0</c:v>
                </c:pt>
                <c:pt idx="3">
                  <c:v>83.449659429099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6.98</c:v>
                </c:pt>
                <c:pt idx="1">
                  <c:v>95.98</c:v>
                </c:pt>
                <c:pt idx="2">
                  <c:v>100</c:v>
                </c:pt>
                <c:pt idx="3">
                  <c:v>7.9977573567999087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1.02</c:v>
                </c:pt>
                <c:pt idx="1">
                  <c:v>4.0199999999999996</c:v>
                </c:pt>
                <c:pt idx="2">
                  <c:v>0</c:v>
                </c:pt>
                <c:pt idx="3">
                  <c:v>8.5525832141012028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90.990000000000023</c:v>
                </c:pt>
                <c:pt idx="1">
                  <c:v>-4.0199999999999996</c:v>
                </c:pt>
                <c:pt idx="2">
                  <c:v>0</c:v>
                </c:pt>
                <c:pt idx="3">
                  <c:v>74.897076214997711</c:v>
                </c:pt>
              </c:numCache>
            </c:numRef>
          </c:val>
        </c:ser>
        <c:axId val="127056128"/>
        <c:axId val="127066112"/>
      </c:barChart>
      <c:catAx>
        <c:axId val="12705612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7066112"/>
        <c:crosses val="autoZero"/>
        <c:auto val="1"/>
        <c:lblAlgn val="ctr"/>
        <c:lblOffset val="100"/>
        <c:tickLblSkip val="1"/>
      </c:catAx>
      <c:valAx>
        <c:axId val="127066112"/>
        <c:scaling>
          <c:orientation val="minMax"/>
          <c:max val="110"/>
          <c:min val="-1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7056128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662366672"/>
          <c:y val="0.34106425885953445"/>
          <c:w val="0.17535675061893852"/>
          <c:h val="0.2989033127615805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28515316892"/>
          <c:y val="4.4712699374117475E-2"/>
        </c:manualLayout>
      </c:layout>
    </c:title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86.990000000000023</c:v>
                </c:pt>
                <c:pt idx="1">
                  <c:v>7.96</c:v>
                </c:pt>
                <c:pt idx="2">
                  <c:v>83.649999999999991</c:v>
                </c:pt>
                <c:pt idx="3">
                  <c:v>75.684168333610927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13.01</c:v>
                </c:pt>
                <c:pt idx="1">
                  <c:v>92.04</c:v>
                </c:pt>
                <c:pt idx="2">
                  <c:v>16.350000000000001</c:v>
                </c:pt>
                <c:pt idx="3">
                  <c:v>16.354424281029889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7.9614073853591432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86.990000000000023</c:v>
                </c:pt>
                <c:pt idx="1">
                  <c:v>7.96</c:v>
                </c:pt>
                <c:pt idx="2">
                  <c:v>83.649999999999991</c:v>
                </c:pt>
                <c:pt idx="3">
                  <c:v>67.722760948251818</c:v>
                </c:pt>
              </c:numCache>
            </c:numRef>
          </c:val>
        </c:ser>
        <c:axId val="131857792"/>
        <c:axId val="132928640"/>
      </c:barChart>
      <c:catAx>
        <c:axId val="13185779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2928640"/>
        <c:crosses val="autoZero"/>
        <c:auto val="1"/>
        <c:lblAlgn val="ctr"/>
        <c:lblOffset val="100"/>
        <c:tickLblSkip val="1"/>
      </c:catAx>
      <c:valAx>
        <c:axId val="132928640"/>
        <c:scaling>
          <c:orientation val="minMax"/>
          <c:max val="110"/>
          <c:min val="-1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1857792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916065561734853"/>
          <c:y val="0.34610498687664387"/>
          <c:w val="0.1391667125525394"/>
          <c:h val="0.29890329093478907"/>
        </c:manualLayout>
      </c:layout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r>
              <a:rPr lang="ar-MA" sz="800"/>
              <a:t>آراء </a:t>
            </a:r>
            <a:r>
              <a:rPr lang="ar-MA" sz="800" b="1" i="0" u="none" strike="noStrike" baseline="0"/>
              <a:t>أرباب </a:t>
            </a:r>
            <a:r>
              <a:rPr lang="ar-MA" sz="800"/>
              <a:t>مقاولات قطاع البناء </a:t>
            </a:r>
            <a:endParaRPr lang="fr-FR" sz="800"/>
          </a:p>
          <a:p>
            <a:pPr>
              <a:defRPr sz="800"/>
            </a:pPr>
            <a:r>
              <a:rPr lang="ar-MA" sz="800"/>
              <a:t>(النسبة ب %)</a:t>
            </a:r>
            <a:endParaRPr lang="fr-FR" sz="800"/>
          </a:p>
        </c:rich>
      </c:tx>
      <c:layout>
        <c:manualLayout>
          <c:xMode val="edge"/>
          <c:yMode val="edge"/>
          <c:x val="0.2622792430666448"/>
          <c:y val="5.5555555555555558E-3"/>
        </c:manualLayout>
      </c:layout>
    </c:title>
    <c:plotArea>
      <c:layout>
        <c:manualLayout>
          <c:layoutTarget val="inner"/>
          <c:xMode val="edge"/>
          <c:yMode val="edge"/>
          <c:x val="8.3216873339934508E-2"/>
          <c:y val="0.18583367868490122"/>
          <c:w val="0.71440992031684669"/>
          <c:h val="0.604536998664640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25.829394711077732</c:v>
                </c:pt>
                <c:pt idx="1">
                  <c:v>7.1987909999999955</c:v>
                </c:pt>
                <c:pt idx="2">
                  <c:v>32.879166999999995</c:v>
                </c:pt>
                <c:pt idx="3">
                  <c:v>33.972467999999999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50.465013488424582</c:v>
                </c:pt>
                <c:pt idx="1">
                  <c:v>72.858129000000005</c:v>
                </c:pt>
                <c:pt idx="2">
                  <c:v>36.865296000000001</c:v>
                </c:pt>
                <c:pt idx="3">
                  <c:v>45.91151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23.7055894420422</c:v>
                </c:pt>
                <c:pt idx="1">
                  <c:v>19.943078</c:v>
                </c:pt>
                <c:pt idx="2">
                  <c:v>30.255533999999969</c:v>
                </c:pt>
                <c:pt idx="3">
                  <c:v>20.116019999999999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2.1238045585223451</c:v>
                </c:pt>
                <c:pt idx="1">
                  <c:v>-12.744286999999998</c:v>
                </c:pt>
                <c:pt idx="2">
                  <c:v>2.6236320000000002</c:v>
                </c:pt>
                <c:pt idx="3">
                  <c:v>13.856447000000024</c:v>
                </c:pt>
              </c:numCache>
            </c:numRef>
          </c:val>
        </c:ser>
        <c:axId val="132956928"/>
        <c:axId val="132958464"/>
      </c:barChart>
      <c:catAx>
        <c:axId val="13295692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32958464"/>
        <c:crosses val="autoZero"/>
        <c:auto val="1"/>
        <c:lblAlgn val="ctr"/>
        <c:lblOffset val="100"/>
      </c:catAx>
      <c:valAx>
        <c:axId val="1329584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2956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80581098691363"/>
          <c:y val="0.33365966754155951"/>
          <c:w val="0.17876511939504094"/>
          <c:h val="0.33139938757655546"/>
        </c:manualLayout>
      </c:layout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931" b="1" i="0" baseline="0"/>
              <a:t>توقعات </a:t>
            </a:r>
            <a:r>
              <a:rPr lang="ar-MA" sz="828" b="1" i="0" u="none" strike="noStrike" baseline="0"/>
              <a:t>أرباب </a:t>
            </a:r>
            <a:r>
              <a:rPr lang="ar-MA" sz="931" b="1" i="0" baseline="0"/>
              <a:t>مقاولات الصناعة حول الانتاج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828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9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26460770065"/>
          <c:y val="1.7962088072324297E-2"/>
        </c:manualLayout>
      </c:layout>
    </c:title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9345"/>
          <c:h val="0.6616706625502587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43.32</c:v>
                </c:pt>
                <c:pt idx="1">
                  <c:v>86.43</c:v>
                </c:pt>
                <c:pt idx="2">
                  <c:v>9.75</c:v>
                </c:pt>
                <c:pt idx="3">
                  <c:v>92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44.349999999999994</c:v>
                </c:pt>
                <c:pt idx="1">
                  <c:v>13.15</c:v>
                </c:pt>
                <c:pt idx="2">
                  <c:v>14.57</c:v>
                </c:pt>
                <c:pt idx="3">
                  <c:v>6.98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12.32</c:v>
                </c:pt>
                <c:pt idx="1">
                  <c:v>0.42000000000000015</c:v>
                </c:pt>
                <c:pt idx="2">
                  <c:v>75.679999999999978</c:v>
                </c:pt>
                <c:pt idx="3">
                  <c:v>1.02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31</c:v>
                </c:pt>
                <c:pt idx="1">
                  <c:v>86.01</c:v>
                </c:pt>
                <c:pt idx="2">
                  <c:v>-65.930000000000007</c:v>
                </c:pt>
                <c:pt idx="3">
                  <c:v>90.990000000000023</c:v>
                </c:pt>
              </c:numCache>
            </c:numRef>
          </c:val>
        </c:ser>
        <c:axId val="133040000"/>
        <c:axId val="133041536"/>
      </c:barChart>
      <c:catAx>
        <c:axId val="13304000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t" anchorCtr="1"/>
          <a:lstStyle/>
          <a:p>
            <a:pPr>
              <a:defRPr sz="931" b="1"/>
            </a:pPr>
            <a:endParaRPr lang="fr-FR"/>
          </a:p>
        </c:txPr>
        <c:crossAx val="133041536"/>
        <c:crosses val="autoZero"/>
        <c:lblAlgn val="ctr"/>
        <c:lblOffset val="100"/>
        <c:tickLblSkip val="1"/>
      </c:catAx>
      <c:valAx>
        <c:axId val="1330415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3040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45177483885"/>
          <c:y val="0.26607135219208711"/>
          <c:w val="0.18000254822516121"/>
          <c:h val="0.29890347039953596"/>
        </c:manualLayout>
      </c:layout>
      <c:txPr>
        <a:bodyPr/>
        <a:lstStyle/>
        <a:p>
          <a:pPr>
            <a:defRPr sz="82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plotArea>
      <c:layout>
        <c:manualLayout>
          <c:layoutTarget val="inner"/>
          <c:xMode val="edge"/>
          <c:yMode val="edge"/>
          <c:x val="0.1123094060916804"/>
          <c:y val="0.21134397725975937"/>
          <c:w val="0.71323398907384139"/>
          <c:h val="0.6307287873600840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33.820974861954966</c:v>
                </c:pt>
                <c:pt idx="1">
                  <c:v>21.326253999999999</c:v>
                </c:pt>
                <c:pt idx="2">
                  <c:v>35.35333</c:v>
                </c:pt>
                <c:pt idx="3">
                  <c:v>42.545033000000011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39.4285703299294</c:v>
                </c:pt>
                <c:pt idx="1">
                  <c:v>45.363488999999994</c:v>
                </c:pt>
                <c:pt idx="2">
                  <c:v>28.051151000000033</c:v>
                </c:pt>
                <c:pt idx="3">
                  <c:v>46.158350000000013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26.750452098102556</c:v>
                </c:pt>
                <c:pt idx="1">
                  <c:v>33.310254999999998</c:v>
                </c:pt>
                <c:pt idx="2">
                  <c:v>36.595516000000067</c:v>
                </c:pt>
                <c:pt idx="3">
                  <c:v>11.296614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7.0705231228078746</c:v>
                </c:pt>
                <c:pt idx="1">
                  <c:v>-11.984001000000001</c:v>
                </c:pt>
                <c:pt idx="2">
                  <c:v>-1.2421850000000001</c:v>
                </c:pt>
                <c:pt idx="3">
                  <c:v>31.248418999999966</c:v>
                </c:pt>
              </c:numCache>
            </c:numRef>
          </c:val>
        </c:ser>
        <c:axId val="133094400"/>
        <c:axId val="133104384"/>
      </c:barChart>
      <c:catAx>
        <c:axId val="133094400"/>
        <c:scaling>
          <c:orientation val="minMax"/>
        </c:scaling>
        <c:axPos val="b"/>
        <c:majorGridlines/>
        <c:numFmt formatCode="General" sourceLinked="0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33104384"/>
        <c:crosses val="autoZero"/>
        <c:auto val="1"/>
        <c:lblAlgn val="ctr"/>
        <c:lblOffset val="100"/>
      </c:catAx>
      <c:valAx>
        <c:axId val="133104384"/>
        <c:scaling>
          <c:orientation val="minMax"/>
        </c:scaling>
        <c:axPos val="l"/>
        <c:majorGridlines/>
        <c:numFmt formatCode="0" sourceLinked="1"/>
        <c:tickLblPos val="low"/>
        <c:crossAx val="133094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28462728804199"/>
          <c:y val="0.33147419072616147"/>
          <c:w val="0.15571535761228925"/>
          <c:h val="0.36488670357253722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0.10465</cdr:x>
      <cdr:y>4.14968E-7</cdr:y>
    </cdr:from>
    <cdr:to>
      <cdr:x>0.75872</cdr:x>
      <cdr:y>0.16206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342902" y="1"/>
          <a:ext cx="2143124" cy="3905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/>
            <a:t> </a:t>
          </a:r>
          <a:r>
            <a:rPr lang="ar-MA" sz="900" b="1" i="0" baseline="0"/>
            <a:t>توقعات أرباب المقاولات لأنشطة قطاع البناء </a:t>
          </a:r>
          <a:endParaRPr lang="fr-FR" sz="900" b="1"/>
        </a:p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 i="0" baseline="0"/>
            <a:t> (النسبة ب %)</a:t>
          </a:r>
          <a:endParaRPr lang="fr-FR" sz="900" b="1"/>
        </a:p>
        <a:p xmlns:a="http://schemas.openxmlformats.org/drawingml/2006/main">
          <a:r>
            <a:rPr lang="fr-FR" sz="900" b="1" baseline="0"/>
            <a:t> </a:t>
          </a:r>
          <a:r>
            <a:rPr lang="ar-MA" sz="900" b="1" baseline="0"/>
            <a:t> </a:t>
          </a:r>
          <a:endParaRPr lang="fr-FR" sz="900" b="1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4F801-192B-472B-AA0C-B462DAB4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2017-12-19T17:53:00Z</cp:lastPrinted>
  <dcterms:created xsi:type="dcterms:W3CDTF">2017-12-19T23:33:00Z</dcterms:created>
  <dcterms:modified xsi:type="dcterms:W3CDTF">2017-12-19T23:33:00Z</dcterms:modified>
</cp:coreProperties>
</file>