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5C5705">
      <w:pPr>
        <w:pStyle w:val="Titre"/>
      </w:pPr>
      <w:r>
        <w:t xml:space="preserve">                         </w:t>
      </w:r>
    </w:p>
    <w:p w:rsidR="00FE6A6C" w:rsidRPr="000572D2" w:rsidRDefault="00FE6A6C" w:rsidP="00FE6A6C">
      <w:pPr>
        <w:bidi/>
        <w:jc w:val="center"/>
        <w:rPr>
          <w:rFonts w:cs="Simplified Arabic"/>
          <w:b/>
          <w:bCs/>
          <w:shadow/>
          <w:color w:val="984806" w:themeColor="accent6" w:themeShade="80"/>
          <w:sz w:val="32"/>
          <w:szCs w:val="32"/>
          <w:rtl/>
        </w:rPr>
      </w:pP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 xml:space="preserve">مذكرة إخبارية </w:t>
      </w:r>
    </w:p>
    <w:p w:rsidR="00FE6A6C" w:rsidRPr="00751671" w:rsidRDefault="00FE6A6C" w:rsidP="00FE6A6C">
      <w:pPr>
        <w:bidi/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 xml:space="preserve">الحساب التابع للسياحة لسنة </w:t>
      </w:r>
      <w:r w:rsidRPr="000572D2">
        <w:rPr>
          <w:rFonts w:cs="Simplified Arabic"/>
          <w:b/>
          <w:bCs/>
          <w:shadow/>
          <w:color w:val="984806" w:themeColor="accent6" w:themeShade="80"/>
          <w:sz w:val="32"/>
          <w:szCs w:val="32"/>
        </w:rPr>
        <w:t>6</w:t>
      </w: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>201</w:t>
      </w:r>
    </w:p>
    <w:p w:rsidR="00FE6A6C" w:rsidRDefault="00FE6A6C" w:rsidP="00FE6A6C">
      <w:pPr>
        <w:bidi/>
        <w:jc w:val="center"/>
        <w:rPr>
          <w:rFonts w:cs="Simplified Arabic"/>
          <w:b/>
          <w:bCs/>
          <w:sz w:val="32"/>
          <w:szCs w:val="32"/>
        </w:rPr>
      </w:pPr>
    </w:p>
    <w:p w:rsidR="005C5705" w:rsidRDefault="005C5705" w:rsidP="005C5705">
      <w:pPr>
        <w:bidi/>
        <w:jc w:val="center"/>
        <w:rPr>
          <w:rFonts w:cs="Simplified Arabic"/>
          <w:b/>
          <w:bCs/>
          <w:sz w:val="32"/>
          <w:szCs w:val="32"/>
        </w:rPr>
      </w:pPr>
    </w:p>
    <w:p w:rsidR="005C5705" w:rsidRDefault="005C5705" w:rsidP="005C5705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FE6A6C" w:rsidRPr="000572D2" w:rsidRDefault="00FE6A6C" w:rsidP="00BF1080">
      <w:pPr>
        <w:bidi/>
        <w:ind w:left="-91" w:firstLine="799"/>
        <w:jc w:val="both"/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</w:pP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>أظهرت نتائج الحساب التابع للسياحة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  <w:t xml:space="preserve"> 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 xml:space="preserve">لسنة 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  <w:t>2016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</w:rPr>
        <w:t>ارتفاعا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 xml:space="preserve"> في الناتج الداخلي الإجمالي لنشاط القطاع السياحي بنسبة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</w:rPr>
        <w:t xml:space="preserve">%5 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</w:rPr>
        <w:t xml:space="preserve"> مقارنة مع 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 xml:space="preserve">سنة 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  <w:t>2015</w:t>
      </w:r>
      <w:r w:rsidR="002639D4" w:rsidRPr="000572D2">
        <w:rPr>
          <w:rFonts w:asciiTheme="minorHAnsi" w:hAnsiTheme="minorHAnsi" w:cs="Simplified Arabic"/>
          <w:sz w:val="32"/>
          <w:szCs w:val="32"/>
          <w:rtl/>
        </w:rPr>
        <w:t>،</w:t>
      </w:r>
      <w:r w:rsidR="002639D4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="00AE2D8A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>وتجدر الإشارة إلى</w:t>
      </w:r>
      <w:r w:rsidR="00BF1080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 xml:space="preserve"> أن</w:t>
      </w:r>
      <w:r w:rsidR="00AE2D8A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 xml:space="preserve"> </w:t>
      </w:r>
      <w:r w:rsidR="00BF1080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 xml:space="preserve">مساهمة </w:t>
      </w:r>
      <w:r w:rsidR="00BF1080" w:rsidRPr="002639D4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>السياحـة الداخليـة والمصدرة</w:t>
      </w:r>
      <w:r w:rsidR="00BF1080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 xml:space="preserve"> عرفت </w:t>
      </w:r>
      <w:r w:rsidR="002639D4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>تحسن</w:t>
      </w:r>
      <w:r w:rsidR="00BF1080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>ا</w:t>
      </w:r>
      <w:r w:rsidR="002639D4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 xml:space="preserve"> مستمر</w:t>
      </w:r>
      <w:r w:rsidR="00BF1080">
        <w:rPr>
          <w:rFonts w:asciiTheme="minorHAnsi" w:hAnsiTheme="minorHAnsi" w:cs="Simplified Arabic" w:hint="cs"/>
          <w:b/>
          <w:bCs/>
          <w:i/>
          <w:iCs/>
          <w:sz w:val="32"/>
          <w:szCs w:val="32"/>
          <w:rtl/>
          <w:lang w:bidi="ar-MA"/>
        </w:rPr>
        <w:t>ا</w:t>
      </w:r>
      <w:r w:rsidRPr="000572D2">
        <w:rPr>
          <w:rFonts w:asciiTheme="minorHAnsi" w:hAnsiTheme="minorHAnsi" w:cs="Simplified Arabic"/>
          <w:b/>
          <w:bCs/>
          <w:i/>
          <w:iCs/>
          <w:sz w:val="32"/>
          <w:szCs w:val="32"/>
          <w:rtl/>
          <w:lang w:bidi="ar-MA"/>
        </w:rPr>
        <w:t>.</w:t>
      </w:r>
    </w:p>
    <w:p w:rsidR="00FE6A6C" w:rsidRPr="000572D2" w:rsidRDefault="00FE6A6C" w:rsidP="00FE6A6C">
      <w:pPr>
        <w:bidi/>
        <w:ind w:left="-91"/>
        <w:jc w:val="both"/>
        <w:rPr>
          <w:rFonts w:asciiTheme="minorHAnsi" w:hAnsiTheme="minorHAnsi" w:cs="Simplified Arabic"/>
          <w:b/>
          <w:bCs/>
          <w:i/>
          <w:iCs/>
          <w:sz w:val="16"/>
          <w:szCs w:val="16"/>
          <w:rtl/>
          <w:lang w:bidi="ar-MA"/>
        </w:rPr>
      </w:pPr>
    </w:p>
    <w:p w:rsidR="00FE6A6C" w:rsidRPr="000572D2" w:rsidRDefault="00FE6A6C" w:rsidP="005C5705">
      <w:pPr>
        <w:bidi/>
        <w:spacing w:before="120" w:after="360"/>
        <w:ind w:left="83" w:firstLine="625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وقد بلغت قيمة 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الاستهلاك الداخلي للسياحـة</w:t>
      </w:r>
      <w:r w:rsidRPr="000572D2">
        <w:rPr>
          <w:rStyle w:val="Appelnotedebasdep"/>
          <w:rFonts w:asciiTheme="minorHAnsi" w:hAnsiTheme="minorHAnsi" w:cs="Simplified Arabic"/>
          <w:position w:val="10"/>
          <w:sz w:val="16"/>
          <w:szCs w:val="20"/>
          <w:rtl/>
        </w:rPr>
        <w:footnoteReference w:id="2"/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</w:rPr>
        <w:t>114,8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عوض 110,3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، محققة بذلك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ارتفاعا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قدره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4,1</w:t>
      </w:r>
      <w:r w:rsidRPr="000572D2">
        <w:rPr>
          <w:rFonts w:asciiTheme="minorHAnsi" w:hAnsiTheme="minorHAnsi" w:cs="Simplified Arabic"/>
          <w:sz w:val="32"/>
          <w:szCs w:val="32"/>
          <w:rtl/>
        </w:rPr>
        <w:t>. وذلك نتيجة لت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حسن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لاستهلاك الداخلي 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بنسبة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</w:rPr>
        <w:t>%2,5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منتقلا من 75,4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Pr="000572D2">
        <w:rPr>
          <w:rFonts w:asciiTheme="minorHAnsi" w:hAnsiTheme="minorHAnsi" w:cs="Simplified Arabic"/>
          <w:sz w:val="32"/>
          <w:szCs w:val="32"/>
        </w:rPr>
        <w:t>77,3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واستهلاك ا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لسياحـة الداخليـة والمصدرة</w:t>
      </w:r>
      <w:r w:rsidRPr="00180891">
        <w:rPr>
          <w:rStyle w:val="Appelnotedebasdep"/>
          <w:rFonts w:asciiTheme="minorHAnsi" w:hAnsiTheme="minorHAnsi" w:cs="Simplified Arabic"/>
          <w:position w:val="8"/>
          <w:sz w:val="16"/>
          <w:szCs w:val="20"/>
          <w:rtl/>
        </w:rPr>
        <w:footnoteReference w:id="3"/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بنسبة </w:t>
      </w:r>
      <w:r w:rsidRPr="000572D2">
        <w:rPr>
          <w:rFonts w:asciiTheme="minorHAnsi" w:hAnsiTheme="minorHAnsi" w:cs="Simplified Arabic"/>
          <w:sz w:val="32"/>
          <w:szCs w:val="32"/>
        </w:rPr>
        <w:t>7,4</w:t>
      </w:r>
      <w:r w:rsidRPr="000572D2">
        <w:rPr>
          <w:rFonts w:asciiTheme="minorHAnsi" w:hAnsiTheme="minorHAnsi" w:cs="Simplified Arabic"/>
          <w:sz w:val="4"/>
          <w:szCs w:val="4"/>
          <w:rtl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منتقلا من 34,9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Pr="000572D2">
        <w:rPr>
          <w:rFonts w:asciiTheme="minorHAnsi" w:hAnsiTheme="minorHAnsi" w:cs="Simplified Arabic"/>
          <w:sz w:val="32"/>
          <w:szCs w:val="32"/>
        </w:rPr>
        <w:t>37,5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>.</w:t>
      </w:r>
    </w:p>
    <w:p w:rsidR="00FE6A6C" w:rsidRPr="000572D2" w:rsidRDefault="00FE6A6C" w:rsidP="005A7944">
      <w:pPr>
        <w:bidi/>
        <w:spacing w:before="120" w:after="360"/>
        <w:ind w:left="83" w:firstLine="625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و في هذا السياق،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تراجعت حصة 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لاستهلاك الداخلي 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Pr="000572D2">
        <w:rPr>
          <w:rFonts w:asciiTheme="minorHAnsi" w:hAnsiTheme="minorHAnsi" w:cs="Simplified Arabic"/>
          <w:sz w:val="32"/>
          <w:szCs w:val="32"/>
          <w:rtl/>
        </w:rPr>
        <w:t>،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</w:rPr>
        <w:t>في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</w:rPr>
        <w:t>الاستهلاك الداخلي للسياحـة،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ب </w:t>
      </w:r>
      <w:r w:rsidRPr="000572D2">
        <w:rPr>
          <w:rFonts w:asciiTheme="minorHAnsi" w:hAnsiTheme="minorHAnsi" w:cs="Simplified Arabic"/>
          <w:sz w:val="32"/>
          <w:szCs w:val="32"/>
        </w:rPr>
        <w:t>1,1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نقطة منتقلة من 68,4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Pr="000572D2">
        <w:rPr>
          <w:rFonts w:asciiTheme="minorHAnsi" w:hAnsiTheme="minorHAnsi" w:cs="Simplified Arabic"/>
          <w:sz w:val="32"/>
          <w:szCs w:val="32"/>
        </w:rPr>
        <w:t>%67,3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. في حين </w:t>
      </w:r>
      <w:r w:rsidR="002639D4">
        <w:rPr>
          <w:rFonts w:asciiTheme="minorHAnsi" w:hAnsiTheme="minorHAnsi" w:cs="Simplified Arabic" w:hint="cs"/>
          <w:sz w:val="32"/>
          <w:szCs w:val="32"/>
          <w:rtl/>
        </w:rPr>
        <w:t>بلغت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حصة استهلاك 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السياحـة الداخليـة والمصدرة</w:t>
      </w:r>
      <w:r w:rsidR="002639D4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2639D4" w:rsidRPr="000572D2">
        <w:rPr>
          <w:rFonts w:asciiTheme="minorHAnsi" w:hAnsiTheme="minorHAnsi" w:cs="Simplified Arabic"/>
          <w:sz w:val="32"/>
          <w:szCs w:val="32"/>
        </w:rPr>
        <w:t>%32,7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2639D4">
        <w:rPr>
          <w:rFonts w:asciiTheme="minorHAnsi" w:hAnsiTheme="minorHAnsi" w:cs="Simplified Arabic"/>
          <w:sz w:val="32"/>
          <w:szCs w:val="32"/>
          <w:rtl/>
        </w:rPr>
        <w:t>سنة</w:t>
      </w:r>
      <w:r w:rsidR="002639D4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2639D4" w:rsidRPr="000572D2">
        <w:rPr>
          <w:rFonts w:asciiTheme="minorHAnsi" w:hAnsiTheme="minorHAnsi" w:cs="Simplified Arabic"/>
          <w:sz w:val="32"/>
          <w:szCs w:val="32"/>
        </w:rPr>
        <w:t>2016</w:t>
      </w:r>
      <w:r w:rsidR="002639D4">
        <w:rPr>
          <w:rFonts w:asciiTheme="minorHAnsi" w:hAnsiTheme="minorHAnsi" w:cs="Simplified Arabic" w:hint="cs"/>
          <w:sz w:val="32"/>
          <w:szCs w:val="32"/>
          <w:rtl/>
        </w:rPr>
        <w:t xml:space="preserve"> مقابل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31,6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="005A7944">
        <w:rPr>
          <w:rFonts w:asciiTheme="minorHAnsi" w:hAnsiTheme="minorHAnsi" w:cs="Simplified Arabic" w:hint="cs"/>
          <w:sz w:val="32"/>
          <w:szCs w:val="32"/>
          <w:rtl/>
        </w:rPr>
        <w:t xml:space="preserve"> و 6</w:t>
      </w:r>
      <w:r w:rsidR="002639D4" w:rsidRPr="000572D2">
        <w:rPr>
          <w:rFonts w:asciiTheme="minorHAnsi" w:hAnsiTheme="minorHAnsi" w:cs="Simplified Arabic"/>
          <w:sz w:val="32"/>
          <w:szCs w:val="32"/>
        </w:rPr>
        <w:t>,</w:t>
      </w:r>
      <w:r w:rsidR="005A7944">
        <w:rPr>
          <w:rFonts w:asciiTheme="minorHAnsi" w:hAnsiTheme="minorHAnsi" w:cs="Simplified Arabic" w:hint="cs"/>
          <w:sz w:val="32"/>
          <w:szCs w:val="32"/>
          <w:rtl/>
        </w:rPr>
        <w:t>26</w:t>
      </w:r>
      <w:r w:rsidR="005A7944" w:rsidRPr="000572D2">
        <w:rPr>
          <w:rFonts w:asciiTheme="minorHAnsi" w:hAnsiTheme="minorHAnsi" w:cs="Simplified Arabic"/>
          <w:sz w:val="32"/>
          <w:szCs w:val="32"/>
        </w:rPr>
        <w:t>%</w:t>
      </w:r>
      <w:r w:rsidR="005A7944">
        <w:rPr>
          <w:rFonts w:asciiTheme="minorHAnsi" w:hAnsiTheme="minorHAnsi" w:cs="Simplified Arabic" w:hint="cs"/>
          <w:sz w:val="32"/>
          <w:szCs w:val="32"/>
          <w:rtl/>
        </w:rPr>
        <w:t xml:space="preserve"> سنة 2010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. </w:t>
      </w:r>
    </w:p>
    <w:p w:rsidR="00FE6A6C" w:rsidRPr="000572D2" w:rsidRDefault="00FE6A6C" w:rsidP="00FE6A6C">
      <w:pPr>
        <w:bidi/>
        <w:spacing w:before="120" w:after="360"/>
        <w:ind w:firstLine="708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lastRenderedPageBreak/>
        <w:t xml:space="preserve">و هكذا، بلغ إنتاج القطاع السياحي </w:t>
      </w:r>
      <w:r w:rsidRPr="000572D2">
        <w:rPr>
          <w:rFonts w:asciiTheme="minorHAnsi" w:hAnsiTheme="minorHAnsi" w:cs="Simplified Arabic"/>
          <w:sz w:val="32"/>
          <w:szCs w:val="32"/>
        </w:rPr>
        <w:t>100,8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عوض 96,1 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محققة بذلك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ارتفاعا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بمعدل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4,9</w:t>
      </w:r>
      <w:r w:rsidRPr="000572D2">
        <w:rPr>
          <w:rFonts w:asciiTheme="minorHAnsi" w:hAnsiTheme="minorHAnsi" w:cs="Simplified Arabic"/>
          <w:sz w:val="32"/>
          <w:szCs w:val="32"/>
          <w:rtl/>
        </w:rPr>
        <w:t>. و من جهتها، سجلت</w:t>
      </w:r>
      <w:r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القيمة المضافة للقطاع السياحـي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نموا </w:t>
      </w: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نسبته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5,3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 لتبلغ </w:t>
      </w:r>
      <w:r w:rsidRPr="000572D2">
        <w:rPr>
          <w:rFonts w:asciiTheme="minorHAnsi" w:hAnsiTheme="minorHAnsi" w:cs="Simplified Arabic"/>
          <w:sz w:val="32"/>
          <w:szCs w:val="32"/>
        </w:rPr>
        <w:t>52,9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عوض 2</w:t>
      </w:r>
      <w:r w:rsidRPr="000572D2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Pr="000572D2">
        <w:rPr>
          <w:rFonts w:asciiTheme="minorHAnsi" w:hAnsiTheme="minorHAnsi" w:cs="Simplified Arabic"/>
          <w:sz w:val="32"/>
          <w:szCs w:val="32"/>
          <w:rtl/>
        </w:rPr>
        <w:t>50 مليار درهم السنة الماضية.</w:t>
      </w:r>
    </w:p>
    <w:p w:rsidR="00C97B19" w:rsidRDefault="00FE6A6C" w:rsidP="008E4419">
      <w:pPr>
        <w:bidi/>
        <w:spacing w:before="120" w:after="360"/>
        <w:ind w:firstLine="708"/>
        <w:jc w:val="both"/>
        <w:rPr>
          <w:rFonts w:asciiTheme="minorHAnsi" w:hAnsiTheme="minorHAnsi" w:cs="Simplified Arabic"/>
          <w:sz w:val="32"/>
          <w:szCs w:val="32"/>
        </w:rPr>
      </w:pP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وأخذا بعين الاعتبار ارتفاع صافي الضرائب من الإعانـــات على المنتجات السياحية بنسبة  </w:t>
      </w:r>
      <w:r w:rsidRPr="000572D2">
        <w:rPr>
          <w:rFonts w:asciiTheme="minorHAnsi" w:hAnsiTheme="minorHAnsi" w:cs="Simplified Arabic"/>
          <w:sz w:val="32"/>
          <w:szCs w:val="32"/>
        </w:rPr>
        <w:t>%4,1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Pr="000572D2">
        <w:rPr>
          <w:rFonts w:asciiTheme="minorHAnsi" w:hAnsiTheme="minorHAnsi" w:cs="Simplified Arabic"/>
          <w:sz w:val="32"/>
          <w:szCs w:val="32"/>
        </w:rPr>
        <w:t>2016</w:t>
      </w:r>
      <w:r w:rsidRPr="000572D2">
        <w:rPr>
          <w:rFonts w:asciiTheme="minorHAnsi" w:hAnsiTheme="minorHAnsi" w:cs="Simplified Arabic"/>
          <w:sz w:val="32"/>
          <w:szCs w:val="32"/>
          <w:rtl/>
        </w:rPr>
        <w:t>،</w:t>
      </w:r>
      <w:r w:rsidRPr="000572D2">
        <w:rPr>
          <w:rFonts w:asciiTheme="minorHAnsi" w:hAnsiTheme="minorHAnsi" w:cs="Simplified Arabic"/>
          <w:sz w:val="32"/>
          <w:szCs w:val="32"/>
        </w:rPr>
        <w:t xml:space="preserve"> 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بلغ الناتج الداخلي الإجمالي للسياحة </w:t>
      </w:r>
      <w:r w:rsidRPr="000572D2">
        <w:rPr>
          <w:rFonts w:asciiTheme="minorHAnsi" w:hAnsiTheme="minorHAnsi" w:cs="Simplified Arabic"/>
          <w:sz w:val="32"/>
          <w:szCs w:val="32"/>
        </w:rPr>
        <w:t>66,9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عوض 63,7</w:t>
      </w:r>
      <w:r w:rsidRPr="000572D2">
        <w:rPr>
          <w:rFonts w:asciiTheme="minorHAnsi" w:hAnsiTheme="minorHAnsi" w:cs="Simplified Arabic"/>
          <w:sz w:val="32"/>
          <w:szCs w:val="32"/>
        </w:rPr>
        <w:t xml:space="preserve">  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مليار درهم سنة </w:t>
      </w:r>
      <w:r w:rsidRPr="000572D2">
        <w:rPr>
          <w:rFonts w:asciiTheme="minorHAnsi" w:hAnsiTheme="minorHAnsi" w:cs="Simplified Arabic"/>
          <w:sz w:val="32"/>
          <w:szCs w:val="32"/>
        </w:rPr>
        <w:t>2015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، محققا ارتفاعا قدره </w:t>
      </w:r>
      <w:r w:rsidRPr="000572D2">
        <w:rPr>
          <w:rFonts w:asciiTheme="minorHAnsi" w:hAnsiTheme="minorHAnsi" w:cs="Simplified Arabic"/>
          <w:sz w:val="32"/>
          <w:szCs w:val="32"/>
        </w:rPr>
        <w:t>%5</w:t>
      </w:r>
      <w:r w:rsidR="00282576">
        <w:rPr>
          <w:rFonts w:asciiTheme="minorHAnsi" w:hAnsiTheme="minorHAnsi" w:cs="Simplified Arabic" w:hint="cs"/>
          <w:sz w:val="32"/>
          <w:szCs w:val="32"/>
          <w:rtl/>
        </w:rPr>
        <w:t>.</w:t>
      </w:r>
      <w:r w:rsidR="00C97B1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BF1080">
        <w:rPr>
          <w:rFonts w:asciiTheme="minorHAnsi" w:hAnsiTheme="minorHAnsi" w:cs="Simplified Arabic" w:hint="cs"/>
          <w:sz w:val="32"/>
          <w:szCs w:val="32"/>
          <w:rtl/>
        </w:rPr>
        <w:t>و</w:t>
      </w:r>
      <w:r w:rsidR="00C97B19">
        <w:rPr>
          <w:rFonts w:asciiTheme="minorHAnsi" w:hAnsiTheme="minorHAnsi" w:cs="Simplified Arabic" w:hint="cs"/>
          <w:sz w:val="32"/>
          <w:szCs w:val="32"/>
          <w:rtl/>
        </w:rPr>
        <w:t xml:space="preserve">رغم أن وتيرة مساهمة </w:t>
      </w:r>
      <w:r w:rsidR="00C97B19" w:rsidRPr="00DA30B9">
        <w:rPr>
          <w:rFonts w:cs="Simplified Arabic" w:hint="cs"/>
          <w:sz w:val="32"/>
          <w:szCs w:val="32"/>
          <w:rtl/>
        </w:rPr>
        <w:t>قطاع السياحة</w:t>
      </w:r>
      <w:r w:rsidR="00C97B19">
        <w:rPr>
          <w:rFonts w:cs="Simplified Arabic" w:hint="cs"/>
          <w:sz w:val="32"/>
          <w:szCs w:val="32"/>
          <w:rtl/>
        </w:rPr>
        <w:t xml:space="preserve"> 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>في الناتج الداخلي الإجمالي الوطني</w:t>
      </w:r>
      <w:r w:rsidR="00C97B19">
        <w:rPr>
          <w:rFonts w:asciiTheme="minorHAnsi" w:hAnsiTheme="minorHAnsi" w:cs="Simplified Arabic" w:hint="cs"/>
          <w:sz w:val="32"/>
          <w:szCs w:val="32"/>
          <w:rtl/>
        </w:rPr>
        <w:t xml:space="preserve"> عرفت انخفاضا مستمرا </w:t>
      </w:r>
      <w:r w:rsidR="00C97B19">
        <w:rPr>
          <w:rFonts w:cs="Simplified Arabic" w:hint="cs"/>
          <w:sz w:val="32"/>
          <w:szCs w:val="32"/>
          <w:rtl/>
        </w:rPr>
        <w:t>من</w:t>
      </w:r>
      <w:r w:rsidR="00BF1080" w:rsidRPr="000572D2">
        <w:rPr>
          <w:rFonts w:asciiTheme="minorHAnsi" w:hAnsiTheme="minorHAnsi" w:cs="Simplified Arabic"/>
          <w:sz w:val="32"/>
          <w:szCs w:val="32"/>
          <w:rtl/>
        </w:rPr>
        <w:t>ذ</w:t>
      </w:r>
      <w:r w:rsidR="00C97B19">
        <w:rPr>
          <w:rFonts w:cs="Simplified Arabic" w:hint="cs"/>
          <w:sz w:val="32"/>
          <w:szCs w:val="32"/>
          <w:rtl/>
        </w:rPr>
        <w:t xml:space="preserve"> سنة 2010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>،</w:t>
      </w:r>
      <w:r w:rsidR="00C97B1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ED251E">
        <w:rPr>
          <w:rFonts w:asciiTheme="minorHAnsi" w:hAnsiTheme="minorHAnsi" w:cs="Simplified Arabic" w:hint="cs"/>
          <w:sz w:val="32"/>
          <w:szCs w:val="32"/>
          <w:rtl/>
          <w:lang w:bidi="ar-MA"/>
        </w:rPr>
        <w:t>فإ</w:t>
      </w:r>
      <w:r w:rsidR="00C97B19">
        <w:rPr>
          <w:rFonts w:asciiTheme="minorHAnsi" w:hAnsiTheme="minorHAnsi" w:cs="Simplified Arabic" w:hint="cs"/>
          <w:sz w:val="32"/>
          <w:szCs w:val="32"/>
          <w:rtl/>
        </w:rPr>
        <w:t xml:space="preserve">نها سجلت تحسنا في الآونة الأخيرة لتصل إلى </w:t>
      </w:r>
      <w:r w:rsidR="00C97B19" w:rsidRPr="000572D2">
        <w:rPr>
          <w:rFonts w:asciiTheme="minorHAnsi" w:hAnsiTheme="minorHAnsi" w:cs="Simplified Arabic"/>
          <w:sz w:val="32"/>
          <w:szCs w:val="32"/>
        </w:rPr>
        <w:t>%6,6</w:t>
      </w:r>
      <w:r w:rsidR="00C97B19" w:rsidRPr="00C97B19">
        <w:rPr>
          <w:rFonts w:cs="Simplified Arabic" w:hint="cs"/>
          <w:sz w:val="32"/>
          <w:szCs w:val="32"/>
          <w:rtl/>
        </w:rPr>
        <w:t xml:space="preserve"> </w:t>
      </w:r>
      <w:r w:rsidR="00C97B19">
        <w:rPr>
          <w:rFonts w:cs="Simplified Arabic" w:hint="cs"/>
          <w:sz w:val="32"/>
          <w:szCs w:val="32"/>
          <w:rtl/>
        </w:rPr>
        <w:t xml:space="preserve">سنة </w:t>
      </w:r>
      <w:r w:rsidR="00C97B19" w:rsidRPr="000572D2">
        <w:rPr>
          <w:rFonts w:asciiTheme="minorHAnsi" w:hAnsiTheme="minorHAnsi" w:cs="Simplified Arabic"/>
          <w:sz w:val="32"/>
          <w:szCs w:val="32"/>
        </w:rPr>
        <w:t>2016</w:t>
      </w:r>
      <w:r w:rsidR="00C97B19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 xml:space="preserve">عوض </w:t>
      </w:r>
      <w:r w:rsidR="00C97B19" w:rsidRPr="000572D2">
        <w:rPr>
          <w:rFonts w:asciiTheme="minorHAnsi" w:hAnsiTheme="minorHAnsi" w:cs="Simplified Arabic"/>
          <w:sz w:val="32"/>
          <w:szCs w:val="32"/>
        </w:rPr>
        <w:t>%6,5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C97B19">
        <w:rPr>
          <w:rFonts w:cs="Simplified Arabic" w:hint="cs"/>
          <w:sz w:val="32"/>
          <w:szCs w:val="32"/>
          <w:rtl/>
        </w:rPr>
        <w:t>سنة 2015</w:t>
      </w:r>
      <w:r w:rsidR="008E4419">
        <w:rPr>
          <w:rFonts w:cs="Simplified Arabic"/>
          <w:sz w:val="32"/>
          <w:szCs w:val="32"/>
        </w:rPr>
        <w:t>.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</w:p>
    <w:p w:rsidR="005C5705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2C6DD4" w:rsidRDefault="002C6DD4" w:rsidP="002C6DD4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5C5705" w:rsidRPr="000572D2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</w:rPr>
      </w:pPr>
    </w:p>
    <w:p w:rsidR="00FE6A6C" w:rsidRPr="005C5705" w:rsidRDefault="00FE6A6C" w:rsidP="00FE6A6C">
      <w:pPr>
        <w:bidi/>
        <w:jc w:val="both"/>
        <w:rPr>
          <w:rFonts w:ascii="Book Antiqua" w:hAnsi="Book Antiqua" w:cs="Simplified Arabic"/>
          <w:sz w:val="20"/>
          <w:szCs w:val="20"/>
        </w:rPr>
      </w:pPr>
      <w:r w:rsidRPr="005C5705">
        <w:rPr>
          <w:rFonts w:ascii="Book Antiqua" w:hAnsi="Book Antiqua" w:cs="Simplified Arabic" w:hint="cs"/>
          <w:sz w:val="20"/>
          <w:szCs w:val="20"/>
          <w:rtl/>
        </w:rPr>
        <w:t>وتوجد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رفقته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الجداول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المتعلقة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بنتائج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الحساب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التابع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للسياحة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لسنة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2016.</w:t>
      </w: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FE6A6C" w:rsidRDefault="00FE6A6C" w:rsidP="00FE6A6C">
      <w:pPr>
        <w:bidi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523BA0" w:rsidRDefault="001973C2" w:rsidP="001973C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 w:rsidR="00523BA0">
        <w:rPr>
          <w:rFonts w:ascii="Arial" w:hAnsi="Arial"/>
          <w:b/>
          <w:bCs/>
          <w:sz w:val="28"/>
          <w:szCs w:val="28"/>
        </w:rPr>
        <w:br w:type="page"/>
      </w:r>
    </w:p>
    <w:p w:rsidR="00523BA0" w:rsidRDefault="00523BA0" w:rsidP="00523BA0">
      <w:pPr>
        <w:bidi/>
        <w:spacing w:after="240"/>
        <w:ind w:right="510" w:hanging="285"/>
        <w:jc w:val="both"/>
        <w:rPr>
          <w:rFonts w:cs="Simplified Arabic"/>
          <w:b/>
          <w:bCs/>
          <w:color w:val="984806" w:themeColor="accent6" w:themeShade="80"/>
          <w:sz w:val="28"/>
          <w:szCs w:val="28"/>
        </w:rPr>
      </w:pPr>
    </w:p>
    <w:p w:rsidR="00523BA0" w:rsidRPr="00EF735A" w:rsidRDefault="00523BA0" w:rsidP="00ED251E">
      <w:pPr>
        <w:bidi/>
        <w:spacing w:after="240"/>
        <w:ind w:right="510" w:hanging="285"/>
        <w:jc w:val="left"/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</w:pPr>
      <w:r w:rsidRPr="00EF735A"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  <w:t>الاستهلاك الداخلي للسياحة (بملايين الدراهم)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523BA0" w:rsidRPr="00A01735" w:rsidTr="00257D44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b/>
                <w:bCs/>
                <w:color w:val="FF0000"/>
              </w:rPr>
              <w:t>%</w:t>
            </w:r>
            <w:r w:rsidRPr="00C17073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EF735A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C17073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cs="Simplified Arabic" w:hint="cs"/>
                <w:b/>
                <w:bCs/>
                <w:color w:val="FF0000"/>
                <w:rtl/>
              </w:rPr>
              <w:t>أنواع الاستهلاك السياحي</w:t>
            </w:r>
          </w:p>
        </w:tc>
      </w:tr>
      <w:tr w:rsidR="00523BA0" w:rsidRPr="00734AE5" w:rsidTr="00257D44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</w:pPr>
          </w:p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800080"/>
              </w:rPr>
              <w:t>4,1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800080"/>
              </w:rPr>
              <w:t>114 755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800080"/>
              </w:rPr>
              <w:t>110 272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23BA0" w:rsidRPr="00B03C7E" w:rsidRDefault="00523BA0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C17073">
              <w:rPr>
                <w:rFonts w:cs="Simplified Arabic" w:hint="cs"/>
                <w:b/>
                <w:bCs/>
                <w:color w:val="7030A0"/>
                <w:rtl/>
              </w:rPr>
              <w:t>الاستهلاك الداخلي للسياحة</w:t>
            </w:r>
          </w:p>
        </w:tc>
      </w:tr>
      <w:tr w:rsidR="00523BA0" w:rsidRPr="00B04857" w:rsidTr="00257D44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2,5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77 287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75 383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AA558D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 w:hint="cs"/>
                <w:rtl/>
              </w:rPr>
              <w:t xml:space="preserve">  </w:t>
            </w:r>
            <w:r w:rsidR="0012648A">
              <w:rPr>
                <w:rFonts w:cs="Simplified Arabic"/>
              </w:rPr>
              <w:t xml:space="preserve">  </w:t>
            </w:r>
            <w:r w:rsidRPr="00C17073">
              <w:rPr>
                <w:rFonts w:cs="Simplified Arabic" w:hint="cs"/>
                <w:rtl/>
              </w:rPr>
              <w:t xml:space="preserve"> السياحة المستقبلة  </w:t>
            </w:r>
          </w:p>
        </w:tc>
      </w:tr>
      <w:tr w:rsidR="00523BA0" w:rsidRPr="00936ACA" w:rsidTr="00257D44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7,4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37 469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34 888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AA558D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 xml:space="preserve">  </w:t>
            </w:r>
            <w:r w:rsidR="0012648A">
              <w:rPr>
                <w:rFonts w:cs="Simplified Arabic"/>
              </w:rPr>
              <w:t xml:space="preserve">  </w:t>
            </w:r>
            <w:r w:rsidRPr="00C17073">
              <w:rPr>
                <w:rFonts w:cs="Simplified Arabic" w:hint="cs"/>
                <w:rtl/>
              </w:rPr>
              <w:t xml:space="preserve"> السياحة الداخلية و المصدرة  </w:t>
            </w:r>
          </w:p>
          <w:p w:rsidR="00523BA0" w:rsidRPr="00C17073" w:rsidRDefault="00523BA0" w:rsidP="0012648A">
            <w:pPr>
              <w:bidi/>
              <w:rPr>
                <w:rFonts w:cs="Simplified Arabic"/>
              </w:rPr>
            </w:pPr>
          </w:p>
        </w:tc>
      </w:tr>
      <w:tr w:rsidR="00523BA0" w:rsidRPr="0051217F" w:rsidTr="00257D44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23BA0" w:rsidRPr="008F776F" w:rsidRDefault="00523BA0" w:rsidP="00257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Default="00523BA0" w:rsidP="00257D44">
            <w:pPr>
              <w:rPr>
                <w:rFonts w:ascii="Calibri" w:hAnsi="Calibri" w:cs="Arial"/>
                <w:rtl/>
              </w:rPr>
            </w:pPr>
          </w:p>
          <w:p w:rsidR="00523BA0" w:rsidRDefault="00523BA0" w:rsidP="00257D44">
            <w:pPr>
              <w:rPr>
                <w:rFonts w:ascii="Calibri" w:hAnsi="Calibri" w:cs="Arial"/>
              </w:rPr>
            </w:pPr>
          </w:p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FD2A21" w:rsidRDefault="00523BA0" w:rsidP="00ED251E">
      <w:pPr>
        <w:bidi/>
        <w:spacing w:after="120"/>
        <w:ind w:hanging="284"/>
        <w:jc w:val="left"/>
        <w:rPr>
          <w:bCs/>
          <w:sz w:val="40"/>
          <w:szCs w:val="40"/>
          <w:rtl/>
        </w:rPr>
      </w:pPr>
      <w:r w:rsidRPr="009005DE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>القيمة المضافة والناتج الداخلي الإجمالي للسياحة</w:t>
      </w:r>
      <w:r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(</w:t>
      </w:r>
      <w:r w:rsidRPr="009005DE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>بملايين الدراهم</w:t>
      </w:r>
      <w:r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>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523BA0" w:rsidRPr="00A01735" w:rsidTr="00257D44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b/>
                <w:bCs/>
                <w:color w:val="FF0000"/>
              </w:rPr>
              <w:t>%</w:t>
            </w:r>
            <w:r w:rsidRPr="00B2558B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cs="Simplified Arabic"/>
                <w:b/>
                <w:bCs/>
                <w:color w:val="FF0000"/>
                <w:rtl/>
              </w:rPr>
              <w:t>العمليات</w:t>
            </w:r>
          </w:p>
        </w:tc>
      </w:tr>
      <w:tr w:rsidR="00523BA0" w:rsidRPr="00734AE5" w:rsidTr="00257D44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523BA0">
              <w:rPr>
                <w:rFonts w:asciiTheme="majorBidi" w:hAnsiTheme="majorBidi" w:cstheme="majorBidi"/>
              </w:rPr>
              <w:t>4,9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</w:rPr>
            </w:pPr>
            <w:r w:rsidRPr="00523BA0">
              <w:rPr>
                <w:rFonts w:asciiTheme="majorBidi" w:hAnsiTheme="majorBidi" w:cstheme="majorBidi"/>
              </w:rPr>
              <w:t>100 768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</w:rPr>
            </w:pPr>
            <w:r w:rsidRPr="00523BA0">
              <w:rPr>
                <w:rFonts w:asciiTheme="majorBidi" w:hAnsiTheme="majorBidi" w:cstheme="majorBidi"/>
              </w:rPr>
              <w:t>96 054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</w:p>
        </w:tc>
      </w:tr>
      <w:tr w:rsidR="00523BA0" w:rsidRPr="00B04857" w:rsidTr="00257D44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5,3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52 868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50 219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القيمة المضافة للسياحة</w:t>
            </w:r>
          </w:p>
        </w:tc>
      </w:tr>
      <w:tr w:rsidR="00523BA0" w:rsidRPr="00936ACA" w:rsidTr="00257D44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4,1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13 988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23BA0">
              <w:rPr>
                <w:rFonts w:asciiTheme="majorBidi" w:hAnsiTheme="majorBidi" w:cstheme="majorBidi"/>
                <w:color w:val="000000"/>
              </w:rPr>
              <w:t>13 441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BA0" w:rsidRPr="00C17073" w:rsidRDefault="00523BA0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صافي</w:t>
            </w:r>
            <w:r w:rsidRPr="00C17073">
              <w:rPr>
                <w:rFonts w:cs="Simplified Arabic" w:hint="cs"/>
                <w:rtl/>
              </w:rPr>
              <w:t xml:space="preserve"> ال</w:t>
            </w:r>
            <w:r w:rsidRPr="00C17073">
              <w:rPr>
                <w:rFonts w:cs="Simplified Arabic"/>
                <w:rtl/>
              </w:rPr>
              <w:t>ضرائب من الإعانات على المنتوجات</w:t>
            </w:r>
          </w:p>
        </w:tc>
      </w:tr>
      <w:tr w:rsidR="00523BA0" w:rsidRPr="009005DE" w:rsidTr="00257D44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7030A0"/>
              </w:rPr>
              <w:t>5,0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523BA0" w:rsidRDefault="00523BA0" w:rsidP="00257D44">
            <w:pPr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7030A0"/>
              </w:rPr>
              <w:t>66 856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523BA0" w:rsidRDefault="00523BA0" w:rsidP="00523BA0">
            <w:pPr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12648A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23BA0">
              <w:rPr>
                <w:rFonts w:asciiTheme="majorBidi" w:hAnsiTheme="majorBidi" w:cstheme="majorBidi"/>
                <w:b/>
                <w:bCs/>
                <w:color w:val="7030A0"/>
              </w:rPr>
              <w:t>63</w:t>
            </w:r>
            <w:r w:rsidR="00ED251E">
              <w:rPr>
                <w:rFonts w:asciiTheme="majorBidi" w:hAnsiTheme="majorBidi" w:cstheme="majorBidi" w:hint="cs"/>
                <w:b/>
                <w:bCs/>
                <w:color w:val="7030A0"/>
                <w:rtl/>
              </w:rPr>
              <w:t xml:space="preserve"> </w:t>
            </w:r>
            <w:r w:rsidRPr="00523BA0">
              <w:rPr>
                <w:rFonts w:asciiTheme="majorBidi" w:hAnsiTheme="majorBidi" w:cstheme="majorBidi"/>
                <w:b/>
                <w:bCs/>
                <w:color w:val="7030A0"/>
              </w:rPr>
              <w:t>660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BA0" w:rsidRPr="009005DE" w:rsidRDefault="00523BA0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9005DE">
              <w:rPr>
                <w:rFonts w:cs="Simplified Arabic"/>
                <w:b/>
                <w:bCs/>
                <w:color w:val="7030A0"/>
                <w:rtl/>
              </w:rPr>
              <w:t xml:space="preserve">الناتج الداخلي 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الإجمالي ل</w:t>
            </w:r>
            <w:r w:rsidRPr="009005DE">
              <w:rPr>
                <w:rFonts w:cs="Simplified Arabic"/>
                <w:b/>
                <w:bCs/>
                <w:color w:val="7030A0"/>
                <w:rtl/>
              </w:rPr>
              <w:t>لسياح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ة</w:t>
            </w:r>
          </w:p>
        </w:tc>
      </w:tr>
      <w:tr w:rsidR="00523BA0" w:rsidRPr="0051217F" w:rsidTr="00257D44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23BA0" w:rsidRPr="008F776F" w:rsidRDefault="00523BA0" w:rsidP="00257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Default="00523BA0" w:rsidP="00257D44">
            <w:pPr>
              <w:rPr>
                <w:rFonts w:ascii="Calibri" w:hAnsi="Calibri" w:cs="Arial"/>
                <w:rtl/>
              </w:rPr>
            </w:pPr>
          </w:p>
          <w:p w:rsidR="00523BA0" w:rsidRDefault="00523BA0" w:rsidP="00257D44">
            <w:pPr>
              <w:rPr>
                <w:rFonts w:ascii="Calibri" w:hAnsi="Calibri" w:cs="Arial"/>
              </w:rPr>
            </w:pPr>
          </w:p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9005DE" w:rsidRDefault="00523BA0" w:rsidP="00ED251E">
      <w:pPr>
        <w:bidi/>
        <w:spacing w:after="240"/>
        <w:ind w:left="-285"/>
        <w:jc w:val="left"/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</w:pPr>
      <w:r w:rsidRPr="009005DE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مساهمة السياحة في الاقتصاد الوطني (ب </w:t>
      </w:r>
      <w:r w:rsidRPr="009005DE">
        <w:rPr>
          <w:rFonts w:cs="Simplified Arabic"/>
          <w:b/>
          <w:bCs/>
          <w:color w:val="984806" w:themeColor="accent6" w:themeShade="80"/>
          <w:sz w:val="28"/>
          <w:szCs w:val="28"/>
        </w:rPr>
        <w:t>%</w:t>
      </w:r>
      <w:r w:rsidRPr="009005DE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"/>
        <w:gridCol w:w="1326"/>
        <w:gridCol w:w="160"/>
        <w:gridCol w:w="1258"/>
        <w:gridCol w:w="160"/>
        <w:gridCol w:w="5667"/>
      </w:tblGrid>
      <w:tr w:rsidR="00523BA0" w:rsidRPr="00A01735" w:rsidTr="00257D44">
        <w:trPr>
          <w:trHeight w:hRule="exact" w:val="454"/>
          <w:tblHeader/>
        </w:trPr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23BA0" w:rsidRPr="00EF735A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23BA0" w:rsidRPr="00B2558B" w:rsidRDefault="00523BA0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BA0" w:rsidRPr="00B2558B" w:rsidRDefault="00523BA0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  <w:lang w:bidi="ar-MA"/>
              </w:rPr>
              <w:t>معدلات</w:t>
            </w:r>
          </w:p>
        </w:tc>
      </w:tr>
      <w:tr w:rsidR="00523BA0" w:rsidRPr="00C17073" w:rsidTr="00257D44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257D44">
            <w:pPr>
              <w:jc w:val="center"/>
              <w:rPr>
                <w:color w:val="000000"/>
              </w:rPr>
            </w:pPr>
            <w:r w:rsidRPr="00523BA0">
              <w:rPr>
                <w:color w:val="000000"/>
              </w:rPr>
              <w:t>6,4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23BA0" w:rsidRPr="00523BA0" w:rsidRDefault="00523BA0" w:rsidP="00257D44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257D44">
            <w:pPr>
              <w:jc w:val="center"/>
              <w:rPr>
                <w:color w:val="000000"/>
              </w:rPr>
            </w:pPr>
            <w:r w:rsidRPr="00523BA0">
              <w:rPr>
                <w:color w:val="000000"/>
              </w:rPr>
              <w:t>6,1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  <w:r w:rsidRPr="00C17073">
              <w:rPr>
                <w:rFonts w:cs="Simplified Arabic" w:hint="cs"/>
                <w:rtl/>
              </w:rPr>
              <w:t>/ الإنتاج الوطني</w:t>
            </w:r>
          </w:p>
        </w:tc>
      </w:tr>
      <w:tr w:rsidR="00523BA0" w:rsidRPr="00C17073" w:rsidTr="00257D44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9005DE" w:rsidRDefault="00523BA0" w:rsidP="0025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9005DE" w:rsidRDefault="00523BA0" w:rsidP="0025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 للسياحة/ القيمة المضافة للاقتصاد الوطني</w:t>
            </w:r>
          </w:p>
        </w:tc>
      </w:tr>
      <w:tr w:rsidR="00523BA0" w:rsidRPr="00C17073" w:rsidTr="00257D44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9005DE" w:rsidRDefault="00523BA0" w:rsidP="0025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9005DE" w:rsidRDefault="00523BA0" w:rsidP="0025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C17073" w:rsidRDefault="00523BA0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للسياحة/ الناتج الداخلي الإجمالي الوطني</w:t>
            </w:r>
          </w:p>
        </w:tc>
      </w:tr>
      <w:tr w:rsidR="00523BA0" w:rsidRPr="008E076B" w:rsidTr="00257D44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257D44">
            <w:pPr>
              <w:jc w:val="center"/>
              <w:rPr>
                <w:b/>
                <w:bCs/>
                <w:color w:val="7030A0"/>
              </w:rPr>
            </w:pPr>
            <w:r w:rsidRPr="00523BA0">
              <w:rPr>
                <w:b/>
                <w:bCs/>
                <w:color w:val="7030A0"/>
              </w:rPr>
              <w:t>6,6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523BA0" w:rsidRDefault="00523BA0" w:rsidP="00257D44">
            <w:pPr>
              <w:rPr>
                <w:rFonts w:ascii="Calibri" w:hAnsi="Calibri" w:cs="Arial"/>
                <w:b/>
                <w:bCs/>
                <w:color w:val="7030A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523BA0" w:rsidRDefault="00523BA0" w:rsidP="00257D44">
            <w:pPr>
              <w:jc w:val="center"/>
              <w:rPr>
                <w:b/>
                <w:bCs/>
                <w:color w:val="7030A0"/>
              </w:rPr>
            </w:pPr>
            <w:r w:rsidRPr="00523BA0">
              <w:rPr>
                <w:b/>
                <w:bCs/>
                <w:color w:val="7030A0"/>
              </w:rPr>
              <w:t>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BA0" w:rsidRPr="009005DE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BA0" w:rsidRPr="008E076B" w:rsidRDefault="00523BA0" w:rsidP="00257D44">
            <w:pPr>
              <w:rPr>
                <w:rFonts w:cs="Simplified Arabic"/>
                <w:b/>
                <w:bCs/>
                <w:color w:val="7030A0"/>
                <w:rtl/>
              </w:rPr>
            </w:pPr>
            <w:r w:rsidRPr="008E076B">
              <w:rPr>
                <w:rFonts w:cs="Simplified Arabic" w:hint="cs"/>
                <w:b/>
                <w:bCs/>
                <w:color w:val="7030A0"/>
                <w:rtl/>
              </w:rPr>
              <w:t>الناتج الداخلي الإجمالي للسياحة / الناتج الداخلي لإجمالي الوطني</w:t>
            </w:r>
          </w:p>
        </w:tc>
      </w:tr>
      <w:tr w:rsidR="00523BA0" w:rsidRPr="0051217F" w:rsidTr="00257D44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23BA0" w:rsidRDefault="00523BA0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3BA0" w:rsidRPr="0051217F" w:rsidRDefault="00523BA0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Default="00523BA0" w:rsidP="00523BA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sectPr w:rsidR="006C21ED" w:rsidRPr="00ED3925" w:rsidSect="005C57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3E" w:rsidRDefault="007D6E3E">
      <w:r>
        <w:separator/>
      </w:r>
    </w:p>
  </w:endnote>
  <w:endnote w:type="continuationSeparator" w:id="1">
    <w:p w:rsidR="007D6E3E" w:rsidRDefault="007D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85111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85111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76.6pt;margin-top:2.05pt;width:221.95pt;height:37.35pt;z-index:251658752" stroked="f">
          <v:textbox style="mso-next-textbox:#_x0000_s2053">
            <w:txbxContent>
              <w:p w:rsidR="00457A41" w:rsidRPr="00C10BDD" w:rsidRDefault="00457A41" w:rsidP="00C0202B">
                <w:pPr>
                  <w:bidi/>
                  <w:spacing w:before="60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="00C0202B">
                  <w:rPr>
                    <w:rFonts w:ascii="Arial" w:hAnsi="Arial" w:cs="MCS AL SHAMAL" w:hint="cs"/>
                    <w:color w:val="993366"/>
                    <w:sz w:val="20"/>
                    <w:szCs w:val="20"/>
                    <w:rtl/>
                    <w:lang w:bidi="ar-MA"/>
                  </w:rPr>
                  <w:t> </w:t>
                </w:r>
                <w:r w:rsidR="00C0202B">
                  <w:rPr>
                    <w:rFonts w:ascii="Arial" w:hAnsi="Arial" w:cs="MCS AL SHAMAL"/>
                    <w:color w:val="993366"/>
                    <w:sz w:val="20"/>
                    <w:szCs w:val="20"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31.35pt;margin-top:-1.9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-48.65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5.35pt;margin-top:-20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6.35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3E" w:rsidRDefault="007D6E3E">
      <w:r>
        <w:separator/>
      </w:r>
    </w:p>
  </w:footnote>
  <w:footnote w:type="continuationSeparator" w:id="1">
    <w:p w:rsidR="007D6E3E" w:rsidRDefault="007D6E3E">
      <w:r>
        <w:continuationSeparator/>
      </w:r>
    </w:p>
  </w:footnote>
  <w:footnote w:id="2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الاستهلاك الإجمالي </w:t>
      </w:r>
      <w:r w:rsidRPr="006A04B9">
        <w:rPr>
          <w:sz w:val="22"/>
          <w:szCs w:val="22"/>
          <w:rtl/>
        </w:rPr>
        <w:t>للسياحة المستقبلة</w:t>
      </w:r>
      <w:r w:rsidRPr="006A04B9">
        <w:rPr>
          <w:rFonts w:hint="cs"/>
          <w:sz w:val="22"/>
          <w:szCs w:val="22"/>
          <w:rtl/>
        </w:rPr>
        <w:t xml:space="preserve"> و</w:t>
      </w:r>
      <w:r w:rsidRPr="006A04B9">
        <w:rPr>
          <w:sz w:val="22"/>
          <w:szCs w:val="22"/>
          <w:rtl/>
        </w:rPr>
        <w:t>السياحـة الداخليـة والمصدرة</w:t>
      </w:r>
      <w:r w:rsidRPr="00F51B9C">
        <w:rPr>
          <w:rFonts w:hint="cs"/>
          <w:sz w:val="22"/>
          <w:szCs w:val="22"/>
          <w:rtl/>
        </w:rPr>
        <w:t xml:space="preserve"> </w:t>
      </w:r>
      <w:r w:rsidRPr="006A04B9">
        <w:rPr>
          <w:rFonts w:hint="cs"/>
          <w:sz w:val="22"/>
          <w:szCs w:val="22"/>
          <w:rtl/>
        </w:rPr>
        <w:t>.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تهم ما أنفقه المقيمون داخل التراب الوطني.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50A6E"/>
    <w:rsid w:val="000554EE"/>
    <w:rsid w:val="00060321"/>
    <w:rsid w:val="000622EE"/>
    <w:rsid w:val="00063606"/>
    <w:rsid w:val="00063C51"/>
    <w:rsid w:val="00064386"/>
    <w:rsid w:val="0006553F"/>
    <w:rsid w:val="00070037"/>
    <w:rsid w:val="000731D6"/>
    <w:rsid w:val="00081BE5"/>
    <w:rsid w:val="00082A28"/>
    <w:rsid w:val="00085E86"/>
    <w:rsid w:val="00093022"/>
    <w:rsid w:val="00097844"/>
    <w:rsid w:val="000A3BE9"/>
    <w:rsid w:val="000A4F68"/>
    <w:rsid w:val="000B2A3E"/>
    <w:rsid w:val="000B3D51"/>
    <w:rsid w:val="000C5E54"/>
    <w:rsid w:val="000C7682"/>
    <w:rsid w:val="000D25AF"/>
    <w:rsid w:val="000E21D3"/>
    <w:rsid w:val="000E7503"/>
    <w:rsid w:val="000F6A29"/>
    <w:rsid w:val="00100AF5"/>
    <w:rsid w:val="00102905"/>
    <w:rsid w:val="001063C7"/>
    <w:rsid w:val="00107113"/>
    <w:rsid w:val="00110E92"/>
    <w:rsid w:val="00114C7E"/>
    <w:rsid w:val="00115CF8"/>
    <w:rsid w:val="00116A79"/>
    <w:rsid w:val="00116B4A"/>
    <w:rsid w:val="00120AF1"/>
    <w:rsid w:val="0012265F"/>
    <w:rsid w:val="00125DFC"/>
    <w:rsid w:val="0012648A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973C2"/>
    <w:rsid w:val="001A0BC6"/>
    <w:rsid w:val="001A116A"/>
    <w:rsid w:val="001A1A9C"/>
    <w:rsid w:val="001A7093"/>
    <w:rsid w:val="001B3A93"/>
    <w:rsid w:val="001B5762"/>
    <w:rsid w:val="001C3920"/>
    <w:rsid w:val="001C4BE1"/>
    <w:rsid w:val="001D07F7"/>
    <w:rsid w:val="001D0B13"/>
    <w:rsid w:val="001D34E6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39D4"/>
    <w:rsid w:val="00264343"/>
    <w:rsid w:val="002648C4"/>
    <w:rsid w:val="00264D30"/>
    <w:rsid w:val="002712BB"/>
    <w:rsid w:val="00271922"/>
    <w:rsid w:val="0027672E"/>
    <w:rsid w:val="002817C4"/>
    <w:rsid w:val="00282576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59C7"/>
    <w:rsid w:val="002A5A7C"/>
    <w:rsid w:val="002A688F"/>
    <w:rsid w:val="002A739B"/>
    <w:rsid w:val="002B5535"/>
    <w:rsid w:val="002C02CC"/>
    <w:rsid w:val="002C09B2"/>
    <w:rsid w:val="002C6433"/>
    <w:rsid w:val="002C6DD4"/>
    <w:rsid w:val="002D022C"/>
    <w:rsid w:val="002D3BD2"/>
    <w:rsid w:val="002D49EF"/>
    <w:rsid w:val="002D5C16"/>
    <w:rsid w:val="002D7578"/>
    <w:rsid w:val="002E7DC6"/>
    <w:rsid w:val="002F3B72"/>
    <w:rsid w:val="002F6F50"/>
    <w:rsid w:val="0030605C"/>
    <w:rsid w:val="003121A0"/>
    <w:rsid w:val="00314191"/>
    <w:rsid w:val="00316A57"/>
    <w:rsid w:val="0031735D"/>
    <w:rsid w:val="003243B5"/>
    <w:rsid w:val="003249B8"/>
    <w:rsid w:val="00326824"/>
    <w:rsid w:val="00327972"/>
    <w:rsid w:val="003347C0"/>
    <w:rsid w:val="0033724B"/>
    <w:rsid w:val="00341BE6"/>
    <w:rsid w:val="00346F33"/>
    <w:rsid w:val="003471DB"/>
    <w:rsid w:val="00351D4C"/>
    <w:rsid w:val="003557D2"/>
    <w:rsid w:val="00357DF4"/>
    <w:rsid w:val="00365219"/>
    <w:rsid w:val="003671BE"/>
    <w:rsid w:val="00374572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7C9A"/>
    <w:rsid w:val="003C357A"/>
    <w:rsid w:val="003D5077"/>
    <w:rsid w:val="003D7036"/>
    <w:rsid w:val="003E5335"/>
    <w:rsid w:val="003E5DDB"/>
    <w:rsid w:val="003E6F0A"/>
    <w:rsid w:val="003F28EA"/>
    <w:rsid w:val="003F445E"/>
    <w:rsid w:val="00401D3E"/>
    <w:rsid w:val="0040201B"/>
    <w:rsid w:val="00403A20"/>
    <w:rsid w:val="00407B06"/>
    <w:rsid w:val="00415408"/>
    <w:rsid w:val="00416E5B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7A41"/>
    <w:rsid w:val="00460388"/>
    <w:rsid w:val="00462676"/>
    <w:rsid w:val="00464561"/>
    <w:rsid w:val="00466581"/>
    <w:rsid w:val="00467F88"/>
    <w:rsid w:val="004744FF"/>
    <w:rsid w:val="00475BA5"/>
    <w:rsid w:val="00481E24"/>
    <w:rsid w:val="00484E8D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43FD"/>
    <w:rsid w:val="004D423A"/>
    <w:rsid w:val="004E0373"/>
    <w:rsid w:val="004E17D0"/>
    <w:rsid w:val="004E3167"/>
    <w:rsid w:val="004E36E2"/>
    <w:rsid w:val="004E5F26"/>
    <w:rsid w:val="004E67F8"/>
    <w:rsid w:val="004F505B"/>
    <w:rsid w:val="004F5172"/>
    <w:rsid w:val="004F572F"/>
    <w:rsid w:val="004F57F8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3BA0"/>
    <w:rsid w:val="005256D9"/>
    <w:rsid w:val="00525EF9"/>
    <w:rsid w:val="0052635A"/>
    <w:rsid w:val="00531787"/>
    <w:rsid w:val="00532366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2403"/>
    <w:rsid w:val="00585A9E"/>
    <w:rsid w:val="00586213"/>
    <w:rsid w:val="00587B62"/>
    <w:rsid w:val="00590E1B"/>
    <w:rsid w:val="00594250"/>
    <w:rsid w:val="00594D60"/>
    <w:rsid w:val="00595235"/>
    <w:rsid w:val="005A7944"/>
    <w:rsid w:val="005B0675"/>
    <w:rsid w:val="005B0A04"/>
    <w:rsid w:val="005B2989"/>
    <w:rsid w:val="005B3582"/>
    <w:rsid w:val="005B48EA"/>
    <w:rsid w:val="005C28E5"/>
    <w:rsid w:val="005C3582"/>
    <w:rsid w:val="005C5705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165D"/>
    <w:rsid w:val="005F4D57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32B3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3883"/>
    <w:rsid w:val="006A4A25"/>
    <w:rsid w:val="006B2B90"/>
    <w:rsid w:val="006B5F68"/>
    <w:rsid w:val="006C21ED"/>
    <w:rsid w:val="006D10A0"/>
    <w:rsid w:val="006D22BC"/>
    <w:rsid w:val="006D4F49"/>
    <w:rsid w:val="006D5BB8"/>
    <w:rsid w:val="006D7AEF"/>
    <w:rsid w:val="006D7BF3"/>
    <w:rsid w:val="006D7FA4"/>
    <w:rsid w:val="006E2219"/>
    <w:rsid w:val="006E2C7A"/>
    <w:rsid w:val="006E456F"/>
    <w:rsid w:val="006E5679"/>
    <w:rsid w:val="006E7909"/>
    <w:rsid w:val="006F0A43"/>
    <w:rsid w:val="006F6D7E"/>
    <w:rsid w:val="006F6E1A"/>
    <w:rsid w:val="00700E75"/>
    <w:rsid w:val="007117DB"/>
    <w:rsid w:val="007206D4"/>
    <w:rsid w:val="00721870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6E3E"/>
    <w:rsid w:val="007D73A9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111A"/>
    <w:rsid w:val="00852402"/>
    <w:rsid w:val="00853E6D"/>
    <w:rsid w:val="0086177A"/>
    <w:rsid w:val="00861B29"/>
    <w:rsid w:val="00863E70"/>
    <w:rsid w:val="00866410"/>
    <w:rsid w:val="0087042E"/>
    <w:rsid w:val="008712A1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A2CAA"/>
    <w:rsid w:val="008A4CF7"/>
    <w:rsid w:val="008A5D50"/>
    <w:rsid w:val="008A6A9C"/>
    <w:rsid w:val="008B071A"/>
    <w:rsid w:val="008B32BE"/>
    <w:rsid w:val="008B3DBA"/>
    <w:rsid w:val="008B41EC"/>
    <w:rsid w:val="008B4A5F"/>
    <w:rsid w:val="008C170C"/>
    <w:rsid w:val="008C2B3E"/>
    <w:rsid w:val="008C2C3C"/>
    <w:rsid w:val="008C79BB"/>
    <w:rsid w:val="008D1587"/>
    <w:rsid w:val="008D244F"/>
    <w:rsid w:val="008D38D9"/>
    <w:rsid w:val="008D693E"/>
    <w:rsid w:val="008D767F"/>
    <w:rsid w:val="008E279E"/>
    <w:rsid w:val="008E4419"/>
    <w:rsid w:val="008E513B"/>
    <w:rsid w:val="008E57C2"/>
    <w:rsid w:val="008F416D"/>
    <w:rsid w:val="008F6D54"/>
    <w:rsid w:val="00900744"/>
    <w:rsid w:val="00900B2E"/>
    <w:rsid w:val="00905C15"/>
    <w:rsid w:val="00911D8D"/>
    <w:rsid w:val="0092264F"/>
    <w:rsid w:val="00930BC1"/>
    <w:rsid w:val="00931126"/>
    <w:rsid w:val="00932151"/>
    <w:rsid w:val="00944B4F"/>
    <w:rsid w:val="00945878"/>
    <w:rsid w:val="009501D7"/>
    <w:rsid w:val="0095153B"/>
    <w:rsid w:val="00953DB4"/>
    <w:rsid w:val="00961216"/>
    <w:rsid w:val="00961C69"/>
    <w:rsid w:val="00964ED6"/>
    <w:rsid w:val="00965163"/>
    <w:rsid w:val="00970294"/>
    <w:rsid w:val="00970EB5"/>
    <w:rsid w:val="009750B7"/>
    <w:rsid w:val="009801E4"/>
    <w:rsid w:val="00984C53"/>
    <w:rsid w:val="00984CEE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42C1"/>
    <w:rsid w:val="009B68BD"/>
    <w:rsid w:val="009C0E61"/>
    <w:rsid w:val="009C322A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50DB"/>
    <w:rsid w:val="00A25AF0"/>
    <w:rsid w:val="00A30D62"/>
    <w:rsid w:val="00A322D1"/>
    <w:rsid w:val="00A3434A"/>
    <w:rsid w:val="00A3593F"/>
    <w:rsid w:val="00A37370"/>
    <w:rsid w:val="00A37E02"/>
    <w:rsid w:val="00A37E64"/>
    <w:rsid w:val="00A37F6E"/>
    <w:rsid w:val="00A44584"/>
    <w:rsid w:val="00A5496C"/>
    <w:rsid w:val="00A55F75"/>
    <w:rsid w:val="00A610E0"/>
    <w:rsid w:val="00A6210F"/>
    <w:rsid w:val="00A6364D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66F5"/>
    <w:rsid w:val="00A87B84"/>
    <w:rsid w:val="00A925A2"/>
    <w:rsid w:val="00AA3E6A"/>
    <w:rsid w:val="00AA48F7"/>
    <w:rsid w:val="00AA558D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2D8A"/>
    <w:rsid w:val="00AE3BF1"/>
    <w:rsid w:val="00AE4320"/>
    <w:rsid w:val="00AE61E0"/>
    <w:rsid w:val="00AF3B45"/>
    <w:rsid w:val="00AF4157"/>
    <w:rsid w:val="00AF442C"/>
    <w:rsid w:val="00AF56D7"/>
    <w:rsid w:val="00AF74CA"/>
    <w:rsid w:val="00B03647"/>
    <w:rsid w:val="00B03879"/>
    <w:rsid w:val="00B03C7E"/>
    <w:rsid w:val="00B065DA"/>
    <w:rsid w:val="00B10250"/>
    <w:rsid w:val="00B12082"/>
    <w:rsid w:val="00B13710"/>
    <w:rsid w:val="00B20C66"/>
    <w:rsid w:val="00B247B4"/>
    <w:rsid w:val="00B24B25"/>
    <w:rsid w:val="00B31049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3CD6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B57F8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12C8"/>
    <w:rsid w:val="00BF1080"/>
    <w:rsid w:val="00BF2A09"/>
    <w:rsid w:val="00BF5EE8"/>
    <w:rsid w:val="00C005F2"/>
    <w:rsid w:val="00C0202B"/>
    <w:rsid w:val="00C02BDF"/>
    <w:rsid w:val="00C03E14"/>
    <w:rsid w:val="00C10731"/>
    <w:rsid w:val="00C10BDD"/>
    <w:rsid w:val="00C14DCE"/>
    <w:rsid w:val="00C16026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DE2"/>
    <w:rsid w:val="00C6558A"/>
    <w:rsid w:val="00C700B7"/>
    <w:rsid w:val="00C7289A"/>
    <w:rsid w:val="00C77AA4"/>
    <w:rsid w:val="00C83E7A"/>
    <w:rsid w:val="00C84722"/>
    <w:rsid w:val="00C92504"/>
    <w:rsid w:val="00C92E38"/>
    <w:rsid w:val="00C97B19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3217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333C5"/>
    <w:rsid w:val="00D37C0F"/>
    <w:rsid w:val="00D40AE4"/>
    <w:rsid w:val="00D4135D"/>
    <w:rsid w:val="00D46A93"/>
    <w:rsid w:val="00D4763E"/>
    <w:rsid w:val="00D60382"/>
    <w:rsid w:val="00D71FF6"/>
    <w:rsid w:val="00D820EB"/>
    <w:rsid w:val="00D82174"/>
    <w:rsid w:val="00D82E00"/>
    <w:rsid w:val="00DA3A4B"/>
    <w:rsid w:val="00DA5F6D"/>
    <w:rsid w:val="00DB27A9"/>
    <w:rsid w:val="00DB293A"/>
    <w:rsid w:val="00DB41D2"/>
    <w:rsid w:val="00DB5B3F"/>
    <w:rsid w:val="00DB6B2E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A7B80"/>
    <w:rsid w:val="00EB40D1"/>
    <w:rsid w:val="00EB537F"/>
    <w:rsid w:val="00EB5AC5"/>
    <w:rsid w:val="00EB7741"/>
    <w:rsid w:val="00EC6140"/>
    <w:rsid w:val="00EC7393"/>
    <w:rsid w:val="00ED251E"/>
    <w:rsid w:val="00ED61AD"/>
    <w:rsid w:val="00EE0046"/>
    <w:rsid w:val="00EE549F"/>
    <w:rsid w:val="00EE5D39"/>
    <w:rsid w:val="00EF0AA8"/>
    <w:rsid w:val="00EF13CA"/>
    <w:rsid w:val="00F04237"/>
    <w:rsid w:val="00F04FAF"/>
    <w:rsid w:val="00F1016F"/>
    <w:rsid w:val="00F11331"/>
    <w:rsid w:val="00F11938"/>
    <w:rsid w:val="00F13493"/>
    <w:rsid w:val="00F14900"/>
    <w:rsid w:val="00F15891"/>
    <w:rsid w:val="00F16832"/>
    <w:rsid w:val="00F24784"/>
    <w:rsid w:val="00F2657B"/>
    <w:rsid w:val="00F30486"/>
    <w:rsid w:val="00F30675"/>
    <w:rsid w:val="00F317B3"/>
    <w:rsid w:val="00F35B0B"/>
    <w:rsid w:val="00F35C32"/>
    <w:rsid w:val="00F36AE0"/>
    <w:rsid w:val="00F41603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2A08"/>
    <w:rsid w:val="00F94487"/>
    <w:rsid w:val="00F94BFA"/>
    <w:rsid w:val="00FA1FD9"/>
    <w:rsid w:val="00FA2B84"/>
    <w:rsid w:val="00FA3929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A6C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57"/>
    <w:pPr>
      <w:jc w:val="right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514-EA70-4629-B78F-8D978E2F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2</cp:revision>
  <cp:lastPrinted>2017-10-18T12:47:00Z</cp:lastPrinted>
  <dcterms:created xsi:type="dcterms:W3CDTF">2017-10-18T16:12:00Z</dcterms:created>
  <dcterms:modified xsi:type="dcterms:W3CDTF">2017-10-18T16:12:00Z</dcterms:modified>
</cp:coreProperties>
</file>