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C53E20" w:rsidRDefault="00FC0530" w:rsidP="00C53E20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68376070" r:id="rId9"/>
        </w:pict>
      </w:r>
    </w:p>
    <w:p w:rsidR="00AB0915" w:rsidRPr="00C53E20" w:rsidRDefault="00AB0915" w:rsidP="00C53E20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C53E20" w:rsidRDefault="00AB0915" w:rsidP="00C53E20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C53E20" w:rsidRDefault="00AB0915" w:rsidP="00C53E20">
      <w:pPr>
        <w:autoSpaceDE w:val="0"/>
        <w:autoSpaceDN w:val="0"/>
        <w:bidi/>
        <w:adjustRightInd w:val="0"/>
        <w:spacing w:after="0" w:line="40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1644D1" w:rsidRPr="00C53E20" w:rsidRDefault="006D0FCE" w:rsidP="006D0FCE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</w:rPr>
        <w:t xml:space="preserve">                </w:t>
      </w:r>
    </w:p>
    <w:p w:rsidR="00FE5A03" w:rsidRPr="00C53E20" w:rsidRDefault="00FE5A03" w:rsidP="00C53E20">
      <w:pPr>
        <w:autoSpaceDE w:val="0"/>
        <w:autoSpaceDN w:val="0"/>
        <w:bidi/>
        <w:adjustRightInd w:val="0"/>
        <w:spacing w:after="0" w:line="40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8B4499" w:rsidRPr="00C53E20" w:rsidRDefault="008B4499" w:rsidP="00C53E20">
      <w:pPr>
        <w:pStyle w:val="Paragraphedeliste"/>
        <w:bidi/>
        <w:spacing w:after="0" w:line="400" w:lineRule="exact"/>
        <w:ind w:left="0"/>
        <w:contextualSpacing w:val="0"/>
        <w:jc w:val="center"/>
        <w:rPr>
          <w:rFonts w:ascii="Simplified Arabic" w:hAnsi="Simplified Arabic" w:cs="Simplified Arabic"/>
          <w:bCs/>
          <w:color w:val="0000FF"/>
          <w:sz w:val="36"/>
          <w:szCs w:val="36"/>
        </w:rPr>
      </w:pP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</w:rPr>
        <w:t xml:space="preserve">مذكرة إخبارية </w:t>
      </w:r>
    </w:p>
    <w:p w:rsidR="008B4499" w:rsidRPr="00C53E20" w:rsidRDefault="008B4499" w:rsidP="00C53E20">
      <w:pPr>
        <w:pStyle w:val="Paragraphedeliste"/>
        <w:bidi/>
        <w:spacing w:after="0" w:line="400" w:lineRule="exact"/>
        <w:ind w:left="0"/>
        <w:contextualSpacing w:val="0"/>
        <w:jc w:val="center"/>
        <w:rPr>
          <w:rFonts w:ascii="Simplified Arabic" w:hAnsi="Simplified Arabic" w:cs="Simplified Arabic"/>
          <w:bCs/>
          <w:color w:val="0000FF"/>
          <w:sz w:val="36"/>
          <w:szCs w:val="36"/>
        </w:rPr>
      </w:pP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</w:rPr>
        <w:t>للمندوبية السامية للتخطيط</w:t>
      </w:r>
    </w:p>
    <w:p w:rsidR="008B4499" w:rsidRPr="00C53E20" w:rsidRDefault="008B4499" w:rsidP="00C53E20">
      <w:pPr>
        <w:pStyle w:val="Paragraphedeliste"/>
        <w:bidi/>
        <w:spacing w:after="0" w:line="400" w:lineRule="exact"/>
        <w:ind w:left="0"/>
        <w:contextualSpacing w:val="0"/>
        <w:jc w:val="center"/>
        <w:rPr>
          <w:rFonts w:ascii="Simplified Arabic" w:hAnsi="Simplified Arabic" w:cs="Simplified Arabic"/>
          <w:bCs/>
          <w:color w:val="0000FF"/>
          <w:sz w:val="36"/>
          <w:szCs w:val="36"/>
          <w:rtl/>
          <w:lang w:bidi="ar-MA"/>
        </w:rPr>
      </w:pP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</w:rPr>
        <w:t>بمناسبة اليوم العالمي</w:t>
      </w: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  <w:lang w:bidi="ar-MA"/>
        </w:rPr>
        <w:t xml:space="preserve"> للأشخاص المسنين</w:t>
      </w:r>
    </w:p>
    <w:p w:rsidR="008B4499" w:rsidRPr="00C53E20" w:rsidRDefault="008B4499" w:rsidP="00C53E20">
      <w:pPr>
        <w:pStyle w:val="Paragraphedeliste"/>
        <w:bidi/>
        <w:spacing w:after="0" w:line="400" w:lineRule="exact"/>
        <w:ind w:left="0"/>
        <w:contextualSpacing w:val="0"/>
        <w:jc w:val="center"/>
        <w:rPr>
          <w:rFonts w:ascii="Simplified Arabic" w:hAnsi="Simplified Arabic" w:cs="Simplified Arabic"/>
          <w:bCs/>
          <w:color w:val="0000FF"/>
          <w:sz w:val="36"/>
          <w:szCs w:val="36"/>
          <w:rtl/>
          <w:lang w:bidi="ar-MA"/>
        </w:rPr>
      </w:pP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  <w:lang w:bidi="ar-MA"/>
        </w:rPr>
        <w:t>فاتح أكتوبر 2017</w:t>
      </w:r>
    </w:p>
    <w:p w:rsidR="009F1AE1" w:rsidRPr="00C53E20" w:rsidRDefault="009F1AE1" w:rsidP="00C53E20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2D4B6E" w:rsidRPr="00F43AE2" w:rsidRDefault="008B4499" w:rsidP="00F43AE2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يحتفل المجتمع الدولي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591EC8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في الفاتح أكتوبر من كل سنة،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باليوم العالمي للأشخاص المسنين. 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</w:rPr>
        <w:t>و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هي فرصة للوقوف على أوضاعهم، حقوقهم واحتياجاتهم. 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حيث </w:t>
      </w:r>
      <w:r w:rsidR="002D4B6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اختارت منظومة الأمم المتحدة، </w:t>
      </w:r>
      <w:r w:rsidR="003F5A7F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هاته </w:t>
      </w:r>
      <w:r w:rsidR="00C53E20" w:rsidRPr="00C53E20">
        <w:rPr>
          <w:rFonts w:ascii="Simplified Arabic" w:hAnsi="Simplified Arabic" w:cs="Simplified Arabic"/>
          <w:b/>
          <w:sz w:val="28"/>
          <w:szCs w:val="28"/>
          <w:rtl/>
        </w:rPr>
        <w:t>السنة</w:t>
      </w:r>
      <w:r w:rsidR="003F5A7F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، </w:t>
      </w:r>
      <w:r w:rsidR="002D4B6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موضوع: " </w:t>
      </w:r>
      <w:r w:rsidR="002D4B6E" w:rsidRPr="00C53E20">
        <w:rPr>
          <w:rFonts w:ascii="Simplified Arabic" w:hAnsi="Simplified Arabic" w:cs="Simplified Arabic"/>
          <w:bCs/>
          <w:sz w:val="28"/>
          <w:szCs w:val="28"/>
          <w:rtl/>
        </w:rPr>
        <w:t>الخطى نحو المستقبل من خلال اكتشاف مواهب المسنين ومساهماتهم ومشاركاتهم في المجتمع "</w:t>
      </w:r>
      <w:r w:rsidR="002D4B6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. </w:t>
      </w:r>
      <w:r w:rsidR="003F5A7F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بهاته المناسبة، تعرض المندوبية السامية للتخطيط، بعض مظاهر 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الوضعية الديمغرافية والسوسيو </w:t>
      </w:r>
      <w:r w:rsidR="00591EC8">
        <w:rPr>
          <w:rFonts w:ascii="Simplified Arabic" w:hAnsi="Simplified Arabic" w:cs="Simplified Arabic"/>
          <w:b/>
          <w:sz w:val="28"/>
          <w:szCs w:val="28"/>
          <w:rtl/>
        </w:rPr>
        <w:t>–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اجتماعية لل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>أشخاص المسنين (60 سنة فما فوق) بالمغرب.</w:t>
      </w:r>
      <w:r w:rsidR="00F43AE2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="00F43AE2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F43AE2" w:rsidRPr="00F43AE2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MA"/>
        </w:rPr>
        <w:t>حسب</w:t>
      </w:r>
      <w:r w:rsidR="00F43AE2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MA"/>
        </w:rPr>
        <w:t xml:space="preserve"> معطيات </w:t>
      </w:r>
      <w:r w:rsidR="00F43AE2" w:rsidRPr="00C53E20">
        <w:rPr>
          <w:rFonts w:ascii="Simplified Arabic" w:hAnsi="Simplified Arabic" w:cs="Simplified Arabic"/>
          <w:b/>
          <w:sz w:val="28"/>
          <w:szCs w:val="28"/>
          <w:rtl/>
        </w:rPr>
        <w:t>الإحصاء العام للسكان والسكنى لسنة 2014</w:t>
      </w:r>
      <w:r w:rsidR="00F43AE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 ونتائج الإسقاطات الديموغرافية في أفق  سنة 2050.</w:t>
      </w:r>
    </w:p>
    <w:p w:rsidR="00D37BDE" w:rsidRPr="00C53E20" w:rsidRDefault="00D37BDE" w:rsidP="00F43AE2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</w:rPr>
      </w:pP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نسبة الأشخاص المسنين</w:t>
      </w:r>
      <w:r w:rsidR="00F43AE2"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 xml:space="preserve"> في ارتفاع متسارع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</w:t>
      </w:r>
    </w:p>
    <w:p w:rsidR="00D37BDE" w:rsidRDefault="00F43AE2" w:rsidP="00111BD7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تزايد عدد </w:t>
      </w:r>
      <w:r w:rsidR="00EA7869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الأشخاص المسنين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بثلات مرات ونصف بين سنة 1960  وسنة 2014  منتقلا من</w:t>
      </w:r>
      <w:r w:rsidR="00EA7869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836000 شخصا إلى 3,2 مليون شخصا</w:t>
      </w:r>
      <w:r w:rsidR="00EA7869">
        <w:rPr>
          <w:rFonts w:ascii="Simplified Arabic" w:hAnsi="Simplified Arabic" w:cs="Simplified Arabic" w:hint="cs"/>
          <w:b/>
          <w:sz w:val="28"/>
          <w:szCs w:val="28"/>
          <w:rtl/>
        </w:rPr>
        <w:t>، حيث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ارتفعت نسب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تهم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EA7869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من مجموع السكان 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من 7,2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>إلى 9,4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وستعرف هذه النسبة، حسب الإسقاطات الديموغراغية للمندوبية السامية للتخطيط ارتفاعا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لتصل إلى </w:t>
      </w:r>
      <w:r w:rsidR="0083431C">
        <w:rPr>
          <w:rFonts w:ascii="Simplified Arabic" w:hAnsi="Simplified Arabic" w:cs="Simplified Arabic"/>
          <w:b/>
          <w:sz w:val="28"/>
          <w:szCs w:val="28"/>
        </w:rPr>
        <w:t>23,2%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سنة 2050 </w:t>
      </w:r>
      <w:r w:rsidR="00111BD7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مع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عدد </w:t>
      </w:r>
      <w:r w:rsidR="00111BD7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ل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لأشخاص المسنين</w:t>
      </w:r>
      <w:r w:rsidR="00111BD7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يناهز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83431C">
        <w:rPr>
          <w:rFonts w:ascii="Simplified Arabic" w:hAnsi="Simplified Arabic" w:cs="Simplified Arabic"/>
          <w:b/>
          <w:sz w:val="28"/>
          <w:szCs w:val="28"/>
          <w:lang w:bidi="ar-MA"/>
        </w:rPr>
        <w:t>10,1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مليون فرد.</w:t>
      </w:r>
    </w:p>
    <w:p w:rsidR="0083431C" w:rsidRPr="00C53E20" w:rsidRDefault="0083431C" w:rsidP="0083431C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</w:rPr>
      </w:pPr>
      <w:r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أ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غلب الأشخاص المسن</w:t>
      </w:r>
      <w:r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ي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ن أميون</w:t>
      </w:r>
    </w:p>
    <w:p w:rsidR="0083431C" w:rsidRPr="00C53E20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70%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من الأشخاص المسنين أميون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و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2,5%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لهم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مستوى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تعليمي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عال. و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يتبين أن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الأمية أكثر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انتشارا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بين الأشخاص المسنين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الوسط القروي (85,9%) مقارنة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مع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الوسط الحضري (58,2%). </w:t>
      </w:r>
      <w:r w:rsidRPr="00C53E20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و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يلاحظ أن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النساء المسنات أكثر أمية من الرجال المسنين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بنسب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85,0%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و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53,5%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على التوالي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.</w:t>
      </w:r>
    </w:p>
    <w:p w:rsidR="0083431C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تتراجع مشارك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ة الاشخاص المسنين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في الحياة العملية مع التقدم في السن.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بحيث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يقدر معدل النشاط عند الرجال البالغين ما بين 60-64 سنة</w:t>
      </w:r>
      <w:r w:rsidRPr="007E518C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بـ 52,3%، ليتراجع إلى 15,7%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عند البالغين 75 سنة فما فوق.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كما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يتراجع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هذا المعدل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عند النساء من 7,3%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إلى 1,7%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على التوالي.</w:t>
      </w:r>
    </w:p>
    <w:p w:rsidR="0083431C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</w:p>
    <w:p w:rsidR="0083431C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</w:p>
    <w:p w:rsidR="0083431C" w:rsidRPr="0083431C" w:rsidRDefault="0083431C" w:rsidP="0083431C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</w:rPr>
      </w:pPr>
      <w:r w:rsidRPr="0083431C"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lastRenderedPageBreak/>
        <w:t>ساكنة من أشخاص مسنين لازالت نسبيا شابة</w:t>
      </w:r>
    </w:p>
    <w:p w:rsidR="0083431C" w:rsidRPr="00C53E20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يبلغ معدل الأعمار بالنسبة لمجموع الأشخاص المسنين 67,9 سنة، دون فرق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يذكر بين الجنسين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.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هذا و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ي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توزع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هذا المعدل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حسب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وسط الإقامة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إلى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69,2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سنة في الوسط الحضري و70,4 في الوسط القروي.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كما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تبلغ نسبة الأشخاص البالغين ما بين 60-74 سنة 73,7%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من مجموع الأشخاص المسنين</w:t>
      </w:r>
      <w:r w:rsidRPr="00C53E20">
        <w:rPr>
          <w:rFonts w:ascii="Simplified Arabic" w:hAnsi="Simplified Arabic" w:cs="Simplified Arabic"/>
          <w:b/>
          <w:sz w:val="28"/>
          <w:szCs w:val="28"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البالغين 60 سنة فما فوق (%62,3 في فرنسا سنة 2014). مما ي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بين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أن ساكنة الأشخاص المسنين في المغرب مازالت شابة نسبيا مقارنة بنظيراتها في بلدان أخرى، وأننا في بداية شيخوخة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الساكنة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.</w:t>
      </w:r>
    </w:p>
    <w:p w:rsidR="004678D7" w:rsidRPr="00C53E20" w:rsidRDefault="004678D7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50,8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من الأشخاص البالغين 60 سنة فما فوق 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سنة 2014 </w:t>
      </w:r>
      <w:r w:rsidR="00890296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هن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نساء، وأزيد من النصف (59,4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%)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EA7869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يتواجدون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بالوسط الحضري. 92,1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من الرجال البالغين 60 سنة فما فوق متزوجين مقابل 44,5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للنساء. في حين، أن 50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من النساء هن أرامل، 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>مقابل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أقل من 5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لدى الرجال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.</w:t>
      </w:r>
      <w:r w:rsidR="00BF7E18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وأخيرا نجد أن 5,4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BF7E18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من النساء </w:t>
      </w:r>
      <w:r w:rsidR="000A4D24" w:rsidRPr="00C53E20">
        <w:rPr>
          <w:rFonts w:ascii="Simplified Arabic" w:hAnsi="Simplified Arabic" w:cs="Simplified Arabic"/>
          <w:b/>
          <w:sz w:val="28"/>
          <w:szCs w:val="28"/>
          <w:rtl/>
        </w:rPr>
        <w:t>ما زلن</w:t>
      </w:r>
      <w:r w:rsidR="00BF7E18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عازبات أو مطلقات مقابل 2,9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="00BF7E18" w:rsidRPr="00C53E20">
        <w:rPr>
          <w:rFonts w:ascii="Simplified Arabic" w:hAnsi="Simplified Arabic" w:cs="Simplified Arabic"/>
          <w:b/>
          <w:sz w:val="28"/>
          <w:szCs w:val="28"/>
          <w:rtl/>
        </w:rPr>
        <w:t>بالنسبة للرجال.</w:t>
      </w:r>
    </w:p>
    <w:p w:rsidR="00C77C51" w:rsidRPr="00C53E20" w:rsidRDefault="006A3581" w:rsidP="00C53E20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</w:rPr>
      </w:pPr>
      <w:bookmarkStart w:id="0" w:name="_GoBack"/>
      <w:bookmarkEnd w:id="0"/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9</w:t>
      </w:r>
      <w:r w:rsidR="003D114A"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رجال</w:t>
      </w:r>
      <w:r w:rsidR="003D114A"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مسنين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</w:t>
      </w:r>
      <w:r w:rsidR="003D114A"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من أصل 10 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يديرون</w:t>
      </w:r>
      <w:r w:rsidR="003D114A"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أسرهم</w:t>
      </w:r>
    </w:p>
    <w:p w:rsidR="006A3581" w:rsidRPr="00C53E20" w:rsidRDefault="006A3581" w:rsidP="00890296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يحتفظ الأشخاص المسنين بدورهم داخل الأسرة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بحيث </w:t>
      </w:r>
      <w:r w:rsidR="00890296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أن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59,7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هم 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أرباب 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أسرهم. ويتولى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الرجال 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مهمة رب الأسرة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(91,6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) أكثر من النساء (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28,8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)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. 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يعيش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هؤلاء الأشخاص غالبا (54,4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) 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داخل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أسر تتكون من خمسة أفراد فأكثر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ونادرا ما يعيشون فرادى، 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بنسبة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7,8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لدى ا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لنساء مقابل 2,9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للرجال. </w:t>
      </w:r>
    </w:p>
    <w:p w:rsidR="006F45F0" w:rsidRPr="00C53E20" w:rsidRDefault="0083431C" w:rsidP="0083431C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  <w:rtl/>
        </w:rPr>
      </w:pPr>
      <w:r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شيخوخة السكان مت</w:t>
      </w:r>
      <w:r w:rsidR="00255679"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ارعة نسبيا بالوسط الحضري</w:t>
      </w:r>
    </w:p>
    <w:p w:rsidR="00255679" w:rsidRDefault="006F45F0" w:rsidP="00255679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سيرتفع عدد الأشخاص المسنين 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</w:t>
      </w:r>
      <w:r w:rsidR="00090B2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الوسط الحضري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من 1,9 مليون شخص سنة 2014 إلى 7,6 ملايين شخص سنة 2050، أما 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الوسط القروي فسيرتفع من 1,3 مليون شخص إلى 2,5</w:t>
      </w:r>
      <w:r w:rsidR="002850D3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090B28" w:rsidRPr="00C53E20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مليون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="002850D3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316F90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أي ما يمثل تضاعفا </w:t>
      </w:r>
      <w:r w:rsidR="00D9524B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يصل </w:t>
      </w:r>
      <w:r w:rsidR="00316F90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4,1 </w:t>
      </w:r>
      <w:r w:rsidR="00090B2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و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316F90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2,1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مرة</w:t>
      </w:r>
      <w:r w:rsidR="00D9524B" w:rsidRPr="00D9524B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D9524B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على التوالي</w:t>
      </w:r>
      <w:r w:rsidR="00316F90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. مما ينذر بشيخوخة بالوسط الحضري أكثر منها بالوسط القروي، 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حيث أن نسبة الأشخاص المسنين بين السكان الحضريين  ستصل إلى </w:t>
      </w:r>
      <w:r w:rsidR="00255679">
        <w:rPr>
          <w:rFonts w:ascii="Simplified Arabic" w:hAnsi="Simplified Arabic" w:cs="Simplified Arabic"/>
          <w:b/>
          <w:sz w:val="28"/>
          <w:szCs w:val="28"/>
          <w:lang w:bidi="ar-MA"/>
        </w:rPr>
        <w:t>23,8%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في افق سنة  2050 مقابل </w:t>
      </w:r>
      <w:r w:rsidR="00255679">
        <w:rPr>
          <w:rFonts w:ascii="Simplified Arabic" w:hAnsi="Simplified Arabic" w:cs="Simplified Arabic"/>
          <w:b/>
          <w:sz w:val="28"/>
          <w:szCs w:val="28"/>
          <w:lang w:bidi="ar-MA"/>
        </w:rPr>
        <w:t>21,4%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بالوسط القروي في الوقت الذي تناهز </w:t>
      </w:r>
      <w:r w:rsidR="00255679">
        <w:rPr>
          <w:rFonts w:ascii="Simplified Arabic" w:hAnsi="Simplified Arabic" w:cs="Simplified Arabic"/>
          <w:b/>
          <w:sz w:val="28"/>
          <w:szCs w:val="28"/>
          <w:lang w:bidi="ar-MA"/>
        </w:rPr>
        <w:t>9,2%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و</w:t>
      </w:r>
      <w:r w:rsidR="00255679">
        <w:rPr>
          <w:rFonts w:ascii="Simplified Arabic" w:hAnsi="Simplified Arabic" w:cs="Simplified Arabic"/>
          <w:b/>
          <w:sz w:val="28"/>
          <w:szCs w:val="28"/>
          <w:lang w:bidi="ar-MA"/>
        </w:rPr>
        <w:t>9,6%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على التوالي سنة 2014.</w:t>
      </w:r>
    </w:p>
    <w:p w:rsidR="00316F90" w:rsidRPr="00C53E20" w:rsidRDefault="00316F90" w:rsidP="00890296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مع هذا التزايد المنتظر لأعداد الأشخاص المسنين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وأمراض الشيخوخة (</w:t>
      </w:r>
      <w:r w:rsidR="0025567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يعاني أزيد من شخص من بين أربعة 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أشخاص مسنين </w:t>
      </w:r>
      <w:r w:rsidR="0025567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من إعاقة</w:t>
      </w:r>
      <w:r w:rsidR="00255679" w:rsidRPr="00C53E20">
        <w:rPr>
          <w:rStyle w:val="Appelnotedebasdep"/>
          <w:rFonts w:ascii="Simplified Arabic" w:hAnsi="Simplified Arabic" w:cs="Simplified Arabic"/>
          <w:b/>
          <w:sz w:val="28"/>
          <w:szCs w:val="28"/>
          <w:rtl/>
          <w:lang w:bidi="ar-MA"/>
        </w:rPr>
        <w:footnoteReference w:id="1"/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)</w:t>
      </w:r>
      <w:r w:rsidR="00890296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D9524B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سيواجه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المغرب </w:t>
      </w:r>
      <w:r w:rsidR="00D9524B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ضرورة القيام</w:t>
      </w:r>
      <w:r w:rsidR="00D9524B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D9524B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إصلاحات احترازية من أجل ضمان تمويل مستمر لأنظمة الضمان الاجتماعي، وتجاوز أي انقطاع محتمل للتضامن الأسري وبين الأجيال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.</w:t>
      </w:r>
    </w:p>
    <w:sectPr w:rsidR="00316F90" w:rsidRPr="00C53E20" w:rsidSect="008921D4">
      <w:footerReference w:type="default" r:id="rId10"/>
      <w:pgSz w:w="11906" w:h="16838" w:code="9"/>
      <w:pgMar w:top="1418" w:right="1418" w:bottom="568" w:left="1418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4E" w:rsidRDefault="00E46C4E" w:rsidP="00A01B4E">
      <w:pPr>
        <w:spacing w:after="0" w:line="240" w:lineRule="auto"/>
      </w:pPr>
      <w:r>
        <w:separator/>
      </w:r>
    </w:p>
  </w:endnote>
  <w:endnote w:type="continuationSeparator" w:id="0">
    <w:p w:rsidR="00E46C4E" w:rsidRDefault="00E46C4E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46042"/>
      <w:docPartObj>
        <w:docPartGallery w:val="Page Numbers (Bottom of Page)"/>
        <w:docPartUnique/>
      </w:docPartObj>
    </w:sdtPr>
    <w:sdtContent>
      <w:p w:rsidR="00A01B4E" w:rsidRDefault="00FC0530">
        <w:pPr>
          <w:pStyle w:val="Pieddepage"/>
          <w:jc w:val="center"/>
        </w:pPr>
        <w:r>
          <w:fldChar w:fldCharType="begin"/>
        </w:r>
        <w:r w:rsidR="001644D1">
          <w:instrText xml:space="preserve"> PAGE   \* MERGEFORMAT </w:instrText>
        </w:r>
        <w:r>
          <w:fldChar w:fldCharType="separate"/>
        </w:r>
        <w:r w:rsidR="00E46C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B4E" w:rsidRDefault="00A01B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4E" w:rsidRDefault="00E46C4E" w:rsidP="00A01B4E">
      <w:pPr>
        <w:spacing w:after="0" w:line="240" w:lineRule="auto"/>
      </w:pPr>
      <w:r>
        <w:separator/>
      </w:r>
    </w:p>
  </w:footnote>
  <w:footnote w:type="continuationSeparator" w:id="0">
    <w:p w:rsidR="00E46C4E" w:rsidRDefault="00E46C4E" w:rsidP="00A01B4E">
      <w:pPr>
        <w:spacing w:after="0" w:line="240" w:lineRule="auto"/>
      </w:pPr>
      <w:r>
        <w:continuationSeparator/>
      </w:r>
    </w:p>
  </w:footnote>
  <w:footnote w:id="1">
    <w:p w:rsidR="00255679" w:rsidRPr="00C81508" w:rsidRDefault="00255679" w:rsidP="00255679">
      <w:pPr>
        <w:pStyle w:val="Notedebasdepage"/>
        <w:bidi/>
        <w:jc w:val="both"/>
        <w:rPr>
          <w:lang w:bidi="ar-MA"/>
        </w:rPr>
      </w:pPr>
      <w:r>
        <w:rPr>
          <w:rStyle w:val="Appelnotedebasdep"/>
        </w:rPr>
        <w:footnoteRef/>
      </w:r>
      <w:r>
        <w:rPr>
          <w:rFonts w:hint="cs"/>
          <w:rtl/>
          <w:lang w:bidi="ar-MA"/>
        </w:rPr>
        <w:t xml:space="preserve"> عجز تام أو صعوبة كبيرة للقيام على الأقل بأحد أنشطة الحياة اليومية (الرؤية، السمع، المشي أو صعود الدرج، التذكر أو التركيز، الاعتناء بالذات والتواصل باستعمال لغته المعتادة).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8F1"/>
    <w:multiLevelType w:val="hybridMultilevel"/>
    <w:tmpl w:val="472237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7E2"/>
    <w:multiLevelType w:val="hybridMultilevel"/>
    <w:tmpl w:val="CEBC7688"/>
    <w:lvl w:ilvl="0" w:tplc="6CD22D1A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F15C9"/>
    <w:multiLevelType w:val="hybridMultilevel"/>
    <w:tmpl w:val="C9542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872BC"/>
    <w:rsid w:val="0000029E"/>
    <w:rsid w:val="00003814"/>
    <w:rsid w:val="00004598"/>
    <w:rsid w:val="00030909"/>
    <w:rsid w:val="00041715"/>
    <w:rsid w:val="00042862"/>
    <w:rsid w:val="0006551C"/>
    <w:rsid w:val="000678E2"/>
    <w:rsid w:val="00070E45"/>
    <w:rsid w:val="00074386"/>
    <w:rsid w:val="00080790"/>
    <w:rsid w:val="00090AAD"/>
    <w:rsid w:val="00090B28"/>
    <w:rsid w:val="000927B4"/>
    <w:rsid w:val="0009413B"/>
    <w:rsid w:val="0009615A"/>
    <w:rsid w:val="000A2187"/>
    <w:rsid w:val="000A4D24"/>
    <w:rsid w:val="000C0967"/>
    <w:rsid w:val="000C0E72"/>
    <w:rsid w:val="000C5DAA"/>
    <w:rsid w:val="000D2F2C"/>
    <w:rsid w:val="000D3AD0"/>
    <w:rsid w:val="000F0B13"/>
    <w:rsid w:val="000F14DF"/>
    <w:rsid w:val="00106D9C"/>
    <w:rsid w:val="00111BD7"/>
    <w:rsid w:val="001162EA"/>
    <w:rsid w:val="0013148C"/>
    <w:rsid w:val="00137275"/>
    <w:rsid w:val="00147CFB"/>
    <w:rsid w:val="00150DA9"/>
    <w:rsid w:val="00151336"/>
    <w:rsid w:val="00155DCF"/>
    <w:rsid w:val="001644D1"/>
    <w:rsid w:val="0016455A"/>
    <w:rsid w:val="001734BE"/>
    <w:rsid w:val="00173D24"/>
    <w:rsid w:val="00187824"/>
    <w:rsid w:val="00191CB3"/>
    <w:rsid w:val="001959DB"/>
    <w:rsid w:val="001A5FE9"/>
    <w:rsid w:val="001A62A3"/>
    <w:rsid w:val="001D4630"/>
    <w:rsid w:val="001E4AF7"/>
    <w:rsid w:val="001E6BBC"/>
    <w:rsid w:val="002028D8"/>
    <w:rsid w:val="00213853"/>
    <w:rsid w:val="00252E6B"/>
    <w:rsid w:val="00255679"/>
    <w:rsid w:val="002615D5"/>
    <w:rsid w:val="00264267"/>
    <w:rsid w:val="0027083A"/>
    <w:rsid w:val="00271D92"/>
    <w:rsid w:val="002850D3"/>
    <w:rsid w:val="00297119"/>
    <w:rsid w:val="002A336A"/>
    <w:rsid w:val="002A585B"/>
    <w:rsid w:val="002B3EAB"/>
    <w:rsid w:val="002B7FD0"/>
    <w:rsid w:val="002D08EC"/>
    <w:rsid w:val="002D0FA4"/>
    <w:rsid w:val="002D4B6E"/>
    <w:rsid w:val="002D61ED"/>
    <w:rsid w:val="002E0141"/>
    <w:rsid w:val="003101D1"/>
    <w:rsid w:val="00311577"/>
    <w:rsid w:val="00315318"/>
    <w:rsid w:val="00316F90"/>
    <w:rsid w:val="00322839"/>
    <w:rsid w:val="00336855"/>
    <w:rsid w:val="00344CAD"/>
    <w:rsid w:val="00347D6A"/>
    <w:rsid w:val="00387365"/>
    <w:rsid w:val="003A53FD"/>
    <w:rsid w:val="003B46EA"/>
    <w:rsid w:val="003D114A"/>
    <w:rsid w:val="003D1BF4"/>
    <w:rsid w:val="003E59E6"/>
    <w:rsid w:val="003F5260"/>
    <w:rsid w:val="003F5A7F"/>
    <w:rsid w:val="004061FE"/>
    <w:rsid w:val="00413150"/>
    <w:rsid w:val="00415EFB"/>
    <w:rsid w:val="00437232"/>
    <w:rsid w:val="00440F54"/>
    <w:rsid w:val="004573B7"/>
    <w:rsid w:val="00464C1D"/>
    <w:rsid w:val="004678D7"/>
    <w:rsid w:val="00471730"/>
    <w:rsid w:val="00477D6A"/>
    <w:rsid w:val="004858D0"/>
    <w:rsid w:val="004B43E3"/>
    <w:rsid w:val="004B572B"/>
    <w:rsid w:val="004D4DA3"/>
    <w:rsid w:val="004E467D"/>
    <w:rsid w:val="004F6190"/>
    <w:rsid w:val="004F7BF9"/>
    <w:rsid w:val="00506286"/>
    <w:rsid w:val="00520421"/>
    <w:rsid w:val="00521FCF"/>
    <w:rsid w:val="00534FD2"/>
    <w:rsid w:val="00536625"/>
    <w:rsid w:val="00537FB1"/>
    <w:rsid w:val="00541C23"/>
    <w:rsid w:val="005420E3"/>
    <w:rsid w:val="00546189"/>
    <w:rsid w:val="0055727A"/>
    <w:rsid w:val="00563964"/>
    <w:rsid w:val="00583F93"/>
    <w:rsid w:val="00585FB5"/>
    <w:rsid w:val="00591EC8"/>
    <w:rsid w:val="00596B2A"/>
    <w:rsid w:val="005A6DB0"/>
    <w:rsid w:val="005A7990"/>
    <w:rsid w:val="005B1FE7"/>
    <w:rsid w:val="005B3EA1"/>
    <w:rsid w:val="005B642D"/>
    <w:rsid w:val="005C4D1D"/>
    <w:rsid w:val="005C75B1"/>
    <w:rsid w:val="005F1893"/>
    <w:rsid w:val="005F410B"/>
    <w:rsid w:val="005F6A82"/>
    <w:rsid w:val="00606411"/>
    <w:rsid w:val="00617751"/>
    <w:rsid w:val="00624623"/>
    <w:rsid w:val="00625497"/>
    <w:rsid w:val="00626D71"/>
    <w:rsid w:val="0062790A"/>
    <w:rsid w:val="00632783"/>
    <w:rsid w:val="006503AC"/>
    <w:rsid w:val="00650905"/>
    <w:rsid w:val="00650F97"/>
    <w:rsid w:val="006547AC"/>
    <w:rsid w:val="0067354F"/>
    <w:rsid w:val="0068072C"/>
    <w:rsid w:val="00684E53"/>
    <w:rsid w:val="00691394"/>
    <w:rsid w:val="00692936"/>
    <w:rsid w:val="0069645D"/>
    <w:rsid w:val="006A3581"/>
    <w:rsid w:val="006B7A1B"/>
    <w:rsid w:val="006C4ED4"/>
    <w:rsid w:val="006C7296"/>
    <w:rsid w:val="006D0FCE"/>
    <w:rsid w:val="006D18EB"/>
    <w:rsid w:val="006F306E"/>
    <w:rsid w:val="006F45F0"/>
    <w:rsid w:val="006F473D"/>
    <w:rsid w:val="006F4D57"/>
    <w:rsid w:val="00713A5E"/>
    <w:rsid w:val="00727FE4"/>
    <w:rsid w:val="007372DE"/>
    <w:rsid w:val="007503CE"/>
    <w:rsid w:val="00753840"/>
    <w:rsid w:val="00753F0C"/>
    <w:rsid w:val="00755401"/>
    <w:rsid w:val="00780582"/>
    <w:rsid w:val="007A591C"/>
    <w:rsid w:val="007B43F6"/>
    <w:rsid w:val="007C235F"/>
    <w:rsid w:val="007C290F"/>
    <w:rsid w:val="007C60FC"/>
    <w:rsid w:val="007D06BF"/>
    <w:rsid w:val="007D1706"/>
    <w:rsid w:val="007D1D41"/>
    <w:rsid w:val="007D253D"/>
    <w:rsid w:val="007E518C"/>
    <w:rsid w:val="00804678"/>
    <w:rsid w:val="0080519C"/>
    <w:rsid w:val="00817232"/>
    <w:rsid w:val="00822077"/>
    <w:rsid w:val="00826B6C"/>
    <w:rsid w:val="0083431C"/>
    <w:rsid w:val="008428ED"/>
    <w:rsid w:val="008447E1"/>
    <w:rsid w:val="00875194"/>
    <w:rsid w:val="00875C57"/>
    <w:rsid w:val="00882762"/>
    <w:rsid w:val="00885819"/>
    <w:rsid w:val="00890296"/>
    <w:rsid w:val="008921D4"/>
    <w:rsid w:val="00892E83"/>
    <w:rsid w:val="008A304E"/>
    <w:rsid w:val="008A45B8"/>
    <w:rsid w:val="008B4499"/>
    <w:rsid w:val="008B621F"/>
    <w:rsid w:val="008C08E3"/>
    <w:rsid w:val="008C24B2"/>
    <w:rsid w:val="008C47BD"/>
    <w:rsid w:val="008D05A8"/>
    <w:rsid w:val="008D6CAB"/>
    <w:rsid w:val="008D78E7"/>
    <w:rsid w:val="008F71F2"/>
    <w:rsid w:val="0090286A"/>
    <w:rsid w:val="0090524D"/>
    <w:rsid w:val="00905CBC"/>
    <w:rsid w:val="009128AE"/>
    <w:rsid w:val="00923C87"/>
    <w:rsid w:val="00935B48"/>
    <w:rsid w:val="00963AFB"/>
    <w:rsid w:val="00973FC9"/>
    <w:rsid w:val="009824C8"/>
    <w:rsid w:val="009926B2"/>
    <w:rsid w:val="009A1476"/>
    <w:rsid w:val="009A3D7F"/>
    <w:rsid w:val="009A3E2F"/>
    <w:rsid w:val="009B2285"/>
    <w:rsid w:val="009B7222"/>
    <w:rsid w:val="009C0D5A"/>
    <w:rsid w:val="009C2B55"/>
    <w:rsid w:val="009F1AE1"/>
    <w:rsid w:val="00A01B4E"/>
    <w:rsid w:val="00A03FD9"/>
    <w:rsid w:val="00A04E3A"/>
    <w:rsid w:val="00A054C1"/>
    <w:rsid w:val="00A057A4"/>
    <w:rsid w:val="00A12689"/>
    <w:rsid w:val="00A24B70"/>
    <w:rsid w:val="00A27291"/>
    <w:rsid w:val="00A42F19"/>
    <w:rsid w:val="00A431F6"/>
    <w:rsid w:val="00A46D58"/>
    <w:rsid w:val="00A66842"/>
    <w:rsid w:val="00A70B0D"/>
    <w:rsid w:val="00A7233E"/>
    <w:rsid w:val="00A76190"/>
    <w:rsid w:val="00A77E0A"/>
    <w:rsid w:val="00A872BC"/>
    <w:rsid w:val="00A932AD"/>
    <w:rsid w:val="00A96950"/>
    <w:rsid w:val="00AA5850"/>
    <w:rsid w:val="00AB0915"/>
    <w:rsid w:val="00AB440C"/>
    <w:rsid w:val="00AD439E"/>
    <w:rsid w:val="00AD5DF9"/>
    <w:rsid w:val="00AD6488"/>
    <w:rsid w:val="00AD7375"/>
    <w:rsid w:val="00AF3F70"/>
    <w:rsid w:val="00B01037"/>
    <w:rsid w:val="00B0523D"/>
    <w:rsid w:val="00B12EFB"/>
    <w:rsid w:val="00B21873"/>
    <w:rsid w:val="00B305E4"/>
    <w:rsid w:val="00B36ACD"/>
    <w:rsid w:val="00B4347F"/>
    <w:rsid w:val="00B4602F"/>
    <w:rsid w:val="00B528DF"/>
    <w:rsid w:val="00B536A3"/>
    <w:rsid w:val="00B55889"/>
    <w:rsid w:val="00B67EF4"/>
    <w:rsid w:val="00B836E7"/>
    <w:rsid w:val="00B86A6B"/>
    <w:rsid w:val="00B96098"/>
    <w:rsid w:val="00BA00F2"/>
    <w:rsid w:val="00BA7607"/>
    <w:rsid w:val="00BD1431"/>
    <w:rsid w:val="00BD3B32"/>
    <w:rsid w:val="00BD47CD"/>
    <w:rsid w:val="00BF7E18"/>
    <w:rsid w:val="00C00087"/>
    <w:rsid w:val="00C01BBF"/>
    <w:rsid w:val="00C13594"/>
    <w:rsid w:val="00C135CA"/>
    <w:rsid w:val="00C24621"/>
    <w:rsid w:val="00C27264"/>
    <w:rsid w:val="00C307C6"/>
    <w:rsid w:val="00C47912"/>
    <w:rsid w:val="00C52A66"/>
    <w:rsid w:val="00C53E20"/>
    <w:rsid w:val="00C77C51"/>
    <w:rsid w:val="00C81508"/>
    <w:rsid w:val="00C937EE"/>
    <w:rsid w:val="00CA295B"/>
    <w:rsid w:val="00CA5B12"/>
    <w:rsid w:val="00CB3BDD"/>
    <w:rsid w:val="00CC4936"/>
    <w:rsid w:val="00CC6CA0"/>
    <w:rsid w:val="00CD117B"/>
    <w:rsid w:val="00CD1BDC"/>
    <w:rsid w:val="00CE0A93"/>
    <w:rsid w:val="00D16385"/>
    <w:rsid w:val="00D313EB"/>
    <w:rsid w:val="00D35CD7"/>
    <w:rsid w:val="00D37BDE"/>
    <w:rsid w:val="00D542FA"/>
    <w:rsid w:val="00D559DC"/>
    <w:rsid w:val="00D75316"/>
    <w:rsid w:val="00D766F2"/>
    <w:rsid w:val="00D769C3"/>
    <w:rsid w:val="00D93DFD"/>
    <w:rsid w:val="00D9524B"/>
    <w:rsid w:val="00DB252E"/>
    <w:rsid w:val="00DE7E31"/>
    <w:rsid w:val="00DF100A"/>
    <w:rsid w:val="00DF368B"/>
    <w:rsid w:val="00E03C01"/>
    <w:rsid w:val="00E46C4E"/>
    <w:rsid w:val="00E51D56"/>
    <w:rsid w:val="00E54870"/>
    <w:rsid w:val="00E6114D"/>
    <w:rsid w:val="00E726E1"/>
    <w:rsid w:val="00E843B9"/>
    <w:rsid w:val="00E924C0"/>
    <w:rsid w:val="00EA226C"/>
    <w:rsid w:val="00EA7869"/>
    <w:rsid w:val="00EB07BB"/>
    <w:rsid w:val="00EB140B"/>
    <w:rsid w:val="00EC0B52"/>
    <w:rsid w:val="00EC3D56"/>
    <w:rsid w:val="00EF72D3"/>
    <w:rsid w:val="00F0248B"/>
    <w:rsid w:val="00F0782D"/>
    <w:rsid w:val="00F255C8"/>
    <w:rsid w:val="00F32786"/>
    <w:rsid w:val="00F40C40"/>
    <w:rsid w:val="00F4192C"/>
    <w:rsid w:val="00F43302"/>
    <w:rsid w:val="00F4379C"/>
    <w:rsid w:val="00F43AE2"/>
    <w:rsid w:val="00F45048"/>
    <w:rsid w:val="00F5113C"/>
    <w:rsid w:val="00FB49E5"/>
    <w:rsid w:val="00FC0530"/>
    <w:rsid w:val="00FC50CE"/>
    <w:rsid w:val="00FC6151"/>
    <w:rsid w:val="00FC6E24"/>
    <w:rsid w:val="00FD34C8"/>
    <w:rsid w:val="00FD7465"/>
    <w:rsid w:val="00FE0186"/>
    <w:rsid w:val="00FE40DA"/>
    <w:rsid w:val="00FE572D"/>
    <w:rsid w:val="00FE5A03"/>
    <w:rsid w:val="00FE5D30"/>
    <w:rsid w:val="00F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4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AE1"/>
    <w:pPr>
      <w:keepNext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9F1AE1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F1AE1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9F1AE1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64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64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6411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8B4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F0EF-AB99-4EDF-97FF-675F7111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user</cp:lastModifiedBy>
  <cp:revision>2</cp:revision>
  <cp:lastPrinted>2017-10-01T12:27:00Z</cp:lastPrinted>
  <dcterms:created xsi:type="dcterms:W3CDTF">2017-10-01T14:15:00Z</dcterms:created>
  <dcterms:modified xsi:type="dcterms:W3CDTF">2017-10-01T14:15:00Z</dcterms:modified>
</cp:coreProperties>
</file>