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D45A79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67261255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</w:t>
      </w:r>
      <w:r w:rsidR="00E114EF">
        <w:rPr>
          <w:rFonts w:ascii="Book Antiqua" w:hAnsi="Book Antiqua"/>
          <w:b/>
          <w:shadow/>
          <w:color w:val="FF0000"/>
          <w:sz w:val="32"/>
          <w:szCs w:val="32"/>
        </w:rPr>
        <w:t>5</w:t>
      </w:r>
    </w:p>
    <w:p w:rsidR="00ED3A44" w:rsidRPr="00BD0B07" w:rsidRDefault="007D0646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895E88" w:rsidRDefault="00895E88" w:rsidP="00CE4C0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32525E">
        <w:rPr>
          <w:rFonts w:ascii="Book Antiqua" w:hAnsi="Book Antiqua" w:cs="Arial"/>
          <w:b/>
          <w:bCs/>
        </w:rPr>
        <w:t>5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97440C">
        <w:rPr>
          <w:rFonts w:ascii="Book Antiqua" w:hAnsi="Book Antiqua" w:cs="Arial"/>
          <w:b/>
          <w:bCs/>
        </w:rPr>
        <w:t>967,5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97440C" w:rsidRPr="00654239">
        <w:rPr>
          <w:rFonts w:ascii="Book Antiqua" w:hAnsi="Book Antiqua" w:cs="Arial"/>
          <w:b/>
          <w:bCs/>
        </w:rPr>
        <w:t>9</w:t>
      </w:r>
      <w:r w:rsidR="0097440C">
        <w:rPr>
          <w:rFonts w:ascii="Book Antiqua" w:hAnsi="Book Antiqua" w:cs="Arial"/>
          <w:b/>
          <w:bCs/>
        </w:rPr>
        <w:t>88</w:t>
      </w:r>
      <w:r w:rsidR="0097440C" w:rsidRPr="00654239">
        <w:rPr>
          <w:rFonts w:ascii="Book Antiqua" w:hAnsi="Book Antiqua" w:cs="Arial"/>
          <w:b/>
          <w:bCs/>
        </w:rPr>
        <w:t>,</w:t>
      </w:r>
      <w:r w:rsidR="0097440C">
        <w:rPr>
          <w:rFonts w:ascii="Book Antiqua" w:hAnsi="Book Antiqua" w:cs="Arial"/>
          <w:b/>
          <w:bCs/>
        </w:rPr>
        <w:t>02</w:t>
      </w:r>
      <w:r w:rsidR="0097440C" w:rsidRPr="00654239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2525E">
        <w:rPr>
          <w:rFonts w:ascii="Book Antiqua" w:hAnsi="Book Antiqua" w:cs="Arial"/>
          <w:b/>
          <w:bCs/>
        </w:rPr>
        <w:t xml:space="preserve">soit une croissance de </w:t>
      </w:r>
      <w:r w:rsidR="00FD121A">
        <w:rPr>
          <w:rFonts w:ascii="Book Antiqua" w:hAnsi="Book Antiqua" w:cs="Arial"/>
          <w:b/>
          <w:bCs/>
        </w:rPr>
        <w:t xml:space="preserve">4,5 % et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FD121A">
        <w:rPr>
          <w:rFonts w:ascii="Book Antiqua" w:hAnsi="Book Antiqua" w:cs="Arial"/>
          <w:b/>
          <w:bCs/>
        </w:rPr>
        <w:t>6</w:t>
      </w:r>
      <w:r w:rsidRPr="00654239">
        <w:rPr>
          <w:rFonts w:ascii="Book Antiqua" w:hAnsi="Book Antiqua" w:cs="Arial"/>
          <w:b/>
          <w:bCs/>
        </w:rPr>
        <w:t>,</w:t>
      </w:r>
      <w:r w:rsidR="00FD121A">
        <w:rPr>
          <w:rFonts w:ascii="Book Antiqua" w:hAnsi="Book Antiqua" w:cs="Arial"/>
          <w:b/>
          <w:bCs/>
        </w:rPr>
        <w:t>8</w:t>
      </w:r>
      <w:r w:rsidRPr="00654239">
        <w:rPr>
          <w:rFonts w:ascii="Book Antiqua" w:hAnsi="Book Antiqua" w:cs="Arial"/>
          <w:b/>
          <w:bCs/>
        </w:rPr>
        <w:t>% par rapport à 201</w:t>
      </w:r>
      <w:r w:rsidR="0032525E">
        <w:rPr>
          <w:rFonts w:ascii="Book Antiqua" w:hAnsi="Book Antiqua" w:cs="Arial"/>
          <w:b/>
          <w:bCs/>
        </w:rPr>
        <w:t>4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  <w:r w:rsidR="003E3912">
        <w:rPr>
          <w:rFonts w:ascii="Book Antiqua" w:hAnsi="Book Antiqua" w:cs="Arial"/>
          <w:b/>
          <w:bCs/>
        </w:rPr>
        <w:t>Les comptes régionaux relatif</w:t>
      </w:r>
      <w:r w:rsidR="00D76AB3">
        <w:rPr>
          <w:rFonts w:ascii="Book Antiqua" w:hAnsi="Book Antiqua" w:cs="Arial"/>
          <w:b/>
          <w:bCs/>
        </w:rPr>
        <w:t>s</w:t>
      </w:r>
      <w:r w:rsidR="003E3912">
        <w:rPr>
          <w:rFonts w:ascii="Book Antiqua" w:hAnsi="Book Antiqua" w:cs="Arial"/>
          <w:b/>
          <w:bCs/>
        </w:rPr>
        <w:t xml:space="preserve"> à </w:t>
      </w:r>
      <w:r w:rsidR="00D76AB3">
        <w:rPr>
          <w:rFonts w:ascii="Book Antiqua" w:hAnsi="Book Antiqua" w:cs="Arial"/>
          <w:b/>
          <w:bCs/>
        </w:rPr>
        <w:t>2015</w:t>
      </w:r>
      <w:r w:rsidR="003E3912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 présentent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3E3912">
        <w:rPr>
          <w:rFonts w:ascii="Book Antiqua" w:hAnsi="Book Antiqua" w:cs="Arial"/>
          <w:b/>
          <w:bCs/>
        </w:rPr>
        <w:t>par région</w:t>
      </w:r>
      <w:r w:rsidR="00D76AB3">
        <w:rPr>
          <w:rFonts w:ascii="Book Antiqua" w:hAnsi="Book Antiqua" w:cs="Arial"/>
          <w:b/>
          <w:bCs/>
        </w:rPr>
        <w:t xml:space="preserve"> et</w:t>
      </w:r>
      <w:r w:rsidR="003E3912">
        <w:rPr>
          <w:rFonts w:ascii="Book Antiqua" w:hAnsi="Book Antiqua" w:cs="Arial"/>
          <w:b/>
          <w:bCs/>
        </w:rPr>
        <w:t xml:space="preserve"> par groupe de branche d’activité ainsi que les dépenses de consommation finales des ménages. Ces comptes </w:t>
      </w:r>
      <w:r w:rsidR="00D76AB3">
        <w:rPr>
          <w:rFonts w:ascii="Book Antiqua" w:hAnsi="Book Antiqua" w:cs="Arial"/>
          <w:b/>
          <w:bCs/>
        </w:rPr>
        <w:t>intègrent</w:t>
      </w:r>
      <w:r w:rsidR="00F3430A">
        <w:rPr>
          <w:rFonts w:ascii="Book Antiqua" w:hAnsi="Book Antiqua" w:cs="Arial"/>
          <w:b/>
          <w:bCs/>
        </w:rPr>
        <w:t>,</w:t>
      </w:r>
      <w:r w:rsidR="00F3430A" w:rsidRPr="00F3430A">
        <w:rPr>
          <w:rFonts w:ascii="Book Antiqua" w:hAnsi="Book Antiqua" w:cs="Arial"/>
          <w:b/>
          <w:bCs/>
        </w:rPr>
        <w:t xml:space="preserve"> </w:t>
      </w:r>
      <w:r w:rsidR="00F3430A">
        <w:rPr>
          <w:rFonts w:ascii="Book Antiqua" w:hAnsi="Book Antiqua" w:cs="Arial"/>
          <w:b/>
          <w:bCs/>
        </w:rPr>
        <w:t>pour la première</w:t>
      </w:r>
      <w:r w:rsidR="003E3912">
        <w:rPr>
          <w:rFonts w:ascii="Book Antiqua" w:hAnsi="Book Antiqua" w:cs="Arial"/>
          <w:b/>
          <w:bCs/>
        </w:rPr>
        <w:t xml:space="preserve"> </w:t>
      </w:r>
      <w:r w:rsidR="00683A1E">
        <w:rPr>
          <w:rFonts w:ascii="Book Antiqua" w:hAnsi="Book Antiqua" w:cs="Arial"/>
          <w:b/>
          <w:bCs/>
        </w:rPr>
        <w:t>fois</w:t>
      </w:r>
      <w:r w:rsidR="00290456">
        <w:rPr>
          <w:rFonts w:ascii="Book Antiqua" w:hAnsi="Book Antiqua" w:cs="Arial"/>
          <w:b/>
          <w:bCs/>
        </w:rPr>
        <w:t>,</w:t>
      </w:r>
      <w:r w:rsidR="00683A1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les </w:t>
      </w:r>
      <w:r w:rsidR="00683A1E">
        <w:rPr>
          <w:rFonts w:ascii="Book Antiqua" w:hAnsi="Book Antiqua" w:cs="Arial"/>
          <w:b/>
          <w:bCs/>
        </w:rPr>
        <w:t xml:space="preserve"> PIB en volume et la croissance par région</w:t>
      </w:r>
      <w:r w:rsidR="002A536E">
        <w:rPr>
          <w:rFonts w:ascii="Book Antiqua" w:hAnsi="Book Antiqua" w:cs="Arial"/>
          <w:b/>
          <w:bCs/>
        </w:rPr>
        <w:t>.</w:t>
      </w:r>
    </w:p>
    <w:p w:rsidR="000323D3" w:rsidRPr="000323D3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ontribution régionale à la 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153F1B" w:rsidRDefault="000323D3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comptes régionaux de 2015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D76AB3">
        <w:rPr>
          <w:rFonts w:ascii="Book Antiqua" w:hAnsi="Book Antiqua" w:cs="Arial"/>
        </w:rPr>
        <w:t>Q</w:t>
      </w:r>
      <w:r>
        <w:rPr>
          <w:rFonts w:ascii="Book Antiqua" w:hAnsi="Book Antiqua" w:cs="Arial"/>
        </w:rPr>
        <w:t>uatre</w:t>
      </w:r>
      <w:r w:rsidR="00153F1B" w:rsidRPr="007E6293">
        <w:rPr>
          <w:rFonts w:ascii="Book Antiqua" w:hAnsi="Book Antiqua" w:cs="Arial"/>
        </w:rPr>
        <w:t xml:space="preserve"> régions ont enregistré des </w:t>
      </w:r>
      <w:r>
        <w:rPr>
          <w:rFonts w:ascii="Book Antiqua" w:hAnsi="Book Antiqua" w:cs="Arial"/>
        </w:rPr>
        <w:t xml:space="preserve">taux de croissance </w:t>
      </w:r>
      <w:r w:rsidR="00D76AB3">
        <w:rPr>
          <w:rFonts w:ascii="Book Antiqua" w:hAnsi="Book Antiqua" w:cs="Arial"/>
        </w:rPr>
        <w:t>largement</w:t>
      </w:r>
      <w:r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</w:t>
      </w:r>
      <w:r>
        <w:rPr>
          <w:rFonts w:ascii="Book Antiqua" w:hAnsi="Book Antiqua" w:cs="Arial"/>
        </w:rPr>
        <w:t xml:space="preserve"> (4,5%)</w:t>
      </w:r>
      <w:r w:rsidR="00153F1B">
        <w:rPr>
          <w:rFonts w:ascii="Book Antiqua" w:hAnsi="Book Antiqua" w:cs="Arial"/>
        </w:rPr>
        <w:t>. I</w:t>
      </w:r>
      <w:r w:rsidR="00153F1B" w:rsidRPr="007E6293">
        <w:rPr>
          <w:rFonts w:ascii="Book Antiqua" w:hAnsi="Book Antiqua" w:cs="Arial"/>
        </w:rPr>
        <w:t>l s’agit des régions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 xml:space="preserve">d Dahab </w:t>
      </w:r>
      <w:r w:rsidR="00910774">
        <w:rPr>
          <w:rFonts w:ascii="Book Antiqua" w:hAnsi="Book Antiqua" w:cs="Arial"/>
        </w:rPr>
        <w:t>(</w:t>
      </w:r>
      <w:r w:rsidR="00A71368">
        <w:rPr>
          <w:rFonts w:ascii="Book Antiqua" w:hAnsi="Book Antiqua" w:cs="Arial"/>
        </w:rPr>
        <w:t>1</w:t>
      </w:r>
      <w:r w:rsidR="00080370">
        <w:rPr>
          <w:rFonts w:ascii="Book Antiqua" w:hAnsi="Book Antiqua" w:cs="Arial"/>
        </w:rPr>
        <w:t>6</w:t>
      </w:r>
      <w:r w:rsidR="00910774">
        <w:rPr>
          <w:rFonts w:ascii="Book Antiqua" w:hAnsi="Book Antiqua" w:cs="Arial"/>
        </w:rPr>
        <w:t>,</w:t>
      </w:r>
      <w:r w:rsidR="00506462">
        <w:rPr>
          <w:rFonts w:ascii="Book Antiqua" w:hAnsi="Book Antiqua" w:cs="Arial"/>
        </w:rPr>
        <w:t>5</w:t>
      </w:r>
      <w:r w:rsidR="00910774">
        <w:rPr>
          <w:rFonts w:ascii="Book Antiqua" w:hAnsi="Book Antiqua" w:cs="Arial"/>
        </w:rPr>
        <w:t>%)</w:t>
      </w:r>
      <w:r w:rsidR="005950A2">
        <w:rPr>
          <w:rFonts w:ascii="Book Antiqua" w:hAnsi="Book Antiqua" w:cs="Arial"/>
        </w:rPr>
        <w:t xml:space="preserve">, </w:t>
      </w:r>
      <w:r w:rsidR="001F0A26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 Laâyoune-Saguia al Hamra (</w:t>
      </w:r>
      <w:r w:rsidR="001F0A26">
        <w:rPr>
          <w:rFonts w:ascii="Book Antiqua" w:hAnsi="Book Antiqua" w:cs="Arial"/>
        </w:rPr>
        <w:t>10</w:t>
      </w:r>
      <w:r w:rsidR="00506462" w:rsidRPr="007E6293">
        <w:rPr>
          <w:rFonts w:ascii="Book Antiqua" w:hAnsi="Book Antiqua" w:cs="Arial"/>
        </w:rPr>
        <w:t>,</w:t>
      </w:r>
      <w:r w:rsidR="001F0A26">
        <w:rPr>
          <w:rFonts w:ascii="Book Antiqua" w:hAnsi="Book Antiqua" w:cs="Arial"/>
        </w:rPr>
        <w:t>2</w:t>
      </w:r>
      <w:r w:rsidR="00506462" w:rsidRPr="007E6293"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 xml:space="preserve">, </w:t>
      </w:r>
      <w:r w:rsidR="005950A2" w:rsidRPr="007E6293">
        <w:rPr>
          <w:rFonts w:ascii="Book Antiqua" w:hAnsi="Book Antiqua" w:cs="Arial"/>
        </w:rPr>
        <w:t>de Tanger-Tétouan-Al Hoceima (</w:t>
      </w:r>
      <w:r w:rsidR="001F0A26">
        <w:rPr>
          <w:rFonts w:ascii="Book Antiqua" w:hAnsi="Book Antiqua" w:cs="Arial"/>
        </w:rPr>
        <w:t>7,9%)</w:t>
      </w:r>
      <w:r w:rsidR="00153F1B" w:rsidRPr="007E6293">
        <w:rPr>
          <w:rFonts w:ascii="Book Antiqua" w:hAnsi="Book Antiqua" w:cs="Arial"/>
        </w:rPr>
        <w:t xml:space="preserve"> </w:t>
      </w:r>
      <w:r w:rsidR="00910774">
        <w:rPr>
          <w:rFonts w:ascii="Book Antiqua" w:hAnsi="Book Antiqua" w:cs="Arial"/>
        </w:rPr>
        <w:t xml:space="preserve">et </w:t>
      </w:r>
      <w:r w:rsidR="00153F1B" w:rsidRPr="007E6293">
        <w:rPr>
          <w:rFonts w:ascii="Book Antiqua" w:hAnsi="Book Antiqua" w:cs="Arial"/>
        </w:rPr>
        <w:t xml:space="preserve">de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 w:rsidR="00153F1B" w:rsidRPr="007E6293">
        <w:rPr>
          <w:rFonts w:ascii="Book Antiqua" w:hAnsi="Book Antiqua" w:cs="Arial"/>
        </w:rPr>
        <w:t>(</w:t>
      </w:r>
      <w:r w:rsidR="005950A2">
        <w:rPr>
          <w:rFonts w:ascii="Book Antiqua" w:hAnsi="Book Antiqua" w:cs="Arial"/>
        </w:rPr>
        <w:t>7</w:t>
      </w:r>
      <w:r w:rsidR="000F3E2C">
        <w:rPr>
          <w:rFonts w:ascii="Book Antiqua" w:hAnsi="Book Antiqua" w:cs="Arial"/>
        </w:rPr>
        <w:t>%)</w:t>
      </w:r>
      <w:r w:rsidR="00153F1B" w:rsidRPr="007E6293">
        <w:rPr>
          <w:rFonts w:ascii="Book Antiqua" w:hAnsi="Book Antiqua" w:cs="Arial"/>
        </w:rPr>
        <w:t>.</w:t>
      </w:r>
    </w:p>
    <w:p w:rsidR="00A71368" w:rsidRDefault="00A71368" w:rsidP="001F0A2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Deux régions ont marqué des taux de croissance proches de la moyenne nationale ; il s’agit de </w:t>
      </w:r>
      <w:r w:rsidR="001F0A26" w:rsidRPr="007E6293">
        <w:rPr>
          <w:rFonts w:ascii="Book Antiqua" w:hAnsi="Book Antiqua" w:cs="Arial"/>
        </w:rPr>
        <w:t>Béni Mellal-Khénifra</w:t>
      </w:r>
      <w:r w:rsidR="001F0A26">
        <w:rPr>
          <w:rFonts w:ascii="Book Antiqua" w:hAnsi="Book Antiqua" w:cs="Arial"/>
        </w:rPr>
        <w:t xml:space="preserve"> (4,3%) et </w:t>
      </w:r>
      <w:r w:rsidRPr="007E6293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Pr="006667F9">
        <w:rPr>
          <w:rFonts w:ascii="Book Antiqua" w:hAnsi="Book Antiqua" w:cs="Arial"/>
        </w:rPr>
        <w:t>Guelmim-Oued Noun</w:t>
      </w:r>
      <w:r w:rsidRPr="007E6293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4,</w:t>
      </w:r>
      <w:r w:rsidR="001F0A2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F0A26">
        <w:rPr>
          <w:rFonts w:ascii="Book Antiqua" w:hAnsi="Book Antiqua" w:cs="Arial"/>
        </w:rPr>
        <w:t>.</w:t>
      </w:r>
    </w:p>
    <w:p w:rsidR="008A7697" w:rsidRDefault="00CE4C09" w:rsidP="00CE4C09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entre 2,2%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-0,1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830ACB">
        <w:rPr>
          <w:rFonts w:ascii="Book Antiqua" w:hAnsi="Book Antiqua" w:cs="Arial"/>
        </w:rPr>
        <w:t>Fès- Meknès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61499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F233B2">
        <w:rPr>
          <w:rFonts w:ascii="Book Antiqua" w:hAnsi="Book Antiqua" w:cs="Arial"/>
        </w:rPr>
        <w:t xml:space="preserve">près de la moitié de la croissance nationale (48,1%) 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>de 2,2 point</w:t>
      </w:r>
      <w:r w:rsidR="009E66E4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>.</w:t>
      </w:r>
    </w:p>
    <w:p w:rsidR="00C4662F" w:rsidRDefault="001B7B00" w:rsidP="00FA252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FA2521">
        <w:rPr>
          <w:rFonts w:ascii="Book Antiqua" w:hAnsi="Book Antiqua" w:cs="Arial"/>
        </w:rPr>
        <w:t xml:space="preserve">25%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1,2 point, avec 0,8 et 0,</w:t>
      </w:r>
      <w:r w:rsidR="001F0A26">
        <w:rPr>
          <w:rFonts w:ascii="Book Antiqua" w:hAnsi="Book Antiqua" w:cs="Arial"/>
        </w:rPr>
        <w:t>4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3409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près </w:t>
      </w:r>
      <w:r>
        <w:rPr>
          <w:rFonts w:ascii="Book Antiqua" w:hAnsi="Book Antiqua" w:cs="Arial"/>
        </w:rPr>
        <w:t xml:space="preserve">d’un quart </w:t>
      </w:r>
      <w:r w:rsidR="0003409C">
        <w:rPr>
          <w:rFonts w:ascii="Book Antiqua" w:hAnsi="Book Antiqua" w:cs="Arial"/>
        </w:rPr>
        <w:t xml:space="preserve"> (26,9%)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2015</w:t>
      </w:r>
      <w:r>
        <w:rPr>
          <w:rFonts w:ascii="Book Antiqua" w:hAnsi="Book Antiqua" w:cs="Arial"/>
        </w:rPr>
        <w:t>.</w:t>
      </w:r>
    </w:p>
    <w:p w:rsidR="00506462" w:rsidRDefault="00506462" w:rsidP="00C466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5A2E0B" w:rsidRDefault="00C4662F" w:rsidP="0064791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 </w:t>
      </w:r>
      <w:r w:rsidR="007D0646">
        <w:rPr>
          <w:rFonts w:ascii="Book Antiqua" w:hAnsi="Book Antiqua" w:cs="Arial"/>
          <w:noProof/>
        </w:rPr>
        <w:drawing>
          <wp:inline distT="0" distB="0" distL="0" distR="0">
            <wp:extent cx="5722670" cy="2858009"/>
            <wp:effectExtent l="17528" t="8605" r="12902" b="3586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CE4C09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78764A">
        <w:rPr>
          <w:rFonts w:ascii="Book Antiqua" w:hAnsi="Book Antiqua" w:cs="Arial"/>
        </w:rPr>
        <w:t xml:space="preserve">deux régions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0762DA">
        <w:rPr>
          <w:rFonts w:ascii="Book Antiqua" w:hAnsi="Book Antiqua" w:cs="Arial"/>
        </w:rPr>
        <w:t xml:space="preserve">de Rabat-Salé-Kénitra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78764A">
        <w:rPr>
          <w:rFonts w:ascii="Book Antiqua" w:hAnsi="Book Antiqua" w:cs="Arial"/>
        </w:rPr>
        <w:t xml:space="preserve"> près de la moitié de la richesse nationale (</w:t>
      </w:r>
      <w:r w:rsidR="00070FA9">
        <w:rPr>
          <w:rFonts w:ascii="Book Antiqua" w:hAnsi="Book Antiqua" w:cs="Arial"/>
        </w:rPr>
        <w:t>48</w:t>
      </w:r>
      <w:r w:rsidR="00242F95">
        <w:rPr>
          <w:rFonts w:ascii="Book Antiqua" w:hAnsi="Book Antiqua" w:cs="Arial"/>
        </w:rPr>
        <w:t>,2</w:t>
      </w:r>
      <w:r w:rsidR="00070FA9" w:rsidRPr="000762DA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du</w:t>
      </w:r>
      <w:r w:rsidR="00070FA9" w:rsidRPr="000762DA">
        <w:rPr>
          <w:rFonts w:ascii="Book Antiqua" w:hAnsi="Book Antiqua" w:cs="Arial"/>
        </w:rPr>
        <w:t xml:space="preserve"> PIB</w:t>
      </w:r>
      <w:r w:rsidR="002C582F">
        <w:rPr>
          <w:rFonts w:ascii="Book Antiqua" w:hAnsi="Book Antiqua" w:cs="Arial"/>
        </w:rPr>
        <w:t xml:space="preserve"> en valeur</w:t>
      </w:r>
      <w:r w:rsidR="009E66E4">
        <w:rPr>
          <w:rFonts w:ascii="Book Antiqua" w:hAnsi="Book Antiqua" w:cs="Arial"/>
        </w:rPr>
        <w:t>)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78764A">
        <w:rPr>
          <w:rFonts w:ascii="Book Antiqua" w:hAnsi="Book Antiqua" w:cs="Arial"/>
        </w:rPr>
        <w:t>,</w:t>
      </w:r>
      <w:r w:rsidR="00242F95">
        <w:rPr>
          <w:rFonts w:ascii="Book Antiqua" w:hAnsi="Book Antiqua" w:cs="Arial"/>
        </w:rPr>
        <w:t>2</w:t>
      </w:r>
      <w:r w:rsidR="00070FA9">
        <w:rPr>
          <w:rFonts w:ascii="Book Antiqua" w:hAnsi="Book Antiqua" w:cs="Arial"/>
        </w:rPr>
        <w:t xml:space="preserve">% </w:t>
      </w:r>
      <w:r w:rsidR="009E66E4">
        <w:rPr>
          <w:rFonts w:ascii="Book Antiqua" w:hAnsi="Book Antiqua" w:cs="Arial"/>
        </w:rPr>
        <w:t xml:space="preserve">et </w:t>
      </w:r>
      <w:r w:rsidR="00242F95">
        <w:rPr>
          <w:rFonts w:ascii="Book Antiqua" w:hAnsi="Book Antiqua" w:cs="Arial"/>
        </w:rPr>
        <w:t>16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153F1B" w:rsidP="002C582F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 w:rsidR="00462BEB"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10</w:t>
      </w:r>
      <w:r>
        <w:rPr>
          <w:rFonts w:ascii="Book Antiqua" w:hAnsi="Book Antiqua" w:cs="Arial"/>
        </w:rPr>
        <w:t>,</w:t>
      </w:r>
      <w:r w:rsidR="0052198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%,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 w:rsidR="0052198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 w:rsidR="00905235"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</w:t>
      </w:r>
      <w:r w:rsidR="00C61196">
        <w:rPr>
          <w:rFonts w:ascii="Book Antiqua" w:hAnsi="Book Antiqua" w:cs="Arial"/>
        </w:rPr>
        <w:t>3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C61196">
        <w:rPr>
          <w:rFonts w:ascii="Book Antiqua" w:hAnsi="Book Antiqua" w:cs="Arial"/>
        </w:rPr>
        <w:t>3</w:t>
      </w:r>
      <w:r w:rsidRPr="00E9771B">
        <w:rPr>
          <w:rFonts w:ascii="Book Antiqua" w:hAnsi="Book Antiqua" w:cs="Arial"/>
        </w:rPr>
        <w:t>,</w:t>
      </w:r>
      <w:r w:rsidR="00C61196">
        <w:rPr>
          <w:rFonts w:ascii="Book Antiqua" w:hAnsi="Book Antiqua" w:cs="Arial"/>
        </w:rPr>
        <w:t>9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12628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12628B">
        <w:rPr>
          <w:rFonts w:ascii="Book Antiqua" w:hAnsi="Book Antiqua" w:cs="Arial"/>
        </w:rPr>
        <w:t>53,1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12628B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56,</w:t>
      </w:r>
      <w:r w:rsidR="00DB78CC">
        <w:rPr>
          <w:rFonts w:ascii="Book Antiqua" w:hAnsi="Book Antiqua" w:cs="Arial"/>
        </w:rPr>
        <w:t>9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12628B">
        <w:rPr>
          <w:rFonts w:ascii="Book Antiqua" w:hAnsi="Book Antiqua" w:cs="Arial"/>
        </w:rPr>
        <w:t>5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CE4C0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720319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du PIB au niveau national en 201</w:t>
      </w:r>
      <w:r w:rsidR="00720319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26,8%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 Dahab</w:t>
      </w:r>
      <w:r w:rsidR="00F14BCA">
        <w:rPr>
          <w:rFonts w:ascii="Book Antiqua" w:hAnsi="Book Antiqua" w:cs="Arial"/>
        </w:rPr>
        <w:t xml:space="preserve">, 19,9%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 xml:space="preserve">19,8%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>avec 5,4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992CA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</w:t>
      </w:r>
      <w:r w:rsidR="00561CDE">
        <w:rPr>
          <w:rFonts w:ascii="Book Antiqua" w:hAnsi="Book Antiqua" w:cs="Arial"/>
        </w:rPr>
        <w:t>1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561CDE">
        <w:rPr>
          <w:rFonts w:ascii="Book Antiqua" w:hAnsi="Book Antiqua" w:cs="Arial"/>
        </w:rPr>
        <w:t>5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31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1B05AB">
        <w:rPr>
          <w:rFonts w:ascii="Book Antiqua" w:hAnsi="Book Antiqua" w:cs="Arial"/>
        </w:rPr>
        <w:t>49</w:t>
      </w:r>
      <w:r w:rsidR="00AA51E8">
        <w:rPr>
          <w:rFonts w:ascii="Book Antiqua" w:hAnsi="Book Antiqua" w:cs="Arial"/>
        </w:rPr>
        <w:t>,7% à la richesse nationale en 201</w:t>
      </w:r>
      <w:r w:rsidR="001B05AB">
        <w:rPr>
          <w:rFonts w:ascii="Book Antiqua" w:hAnsi="Book Antiqua" w:cs="Arial"/>
        </w:rPr>
        <w:t>5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FE6CAD">
        <w:rPr>
          <w:rFonts w:ascii="Book Antiqua" w:hAnsi="Book Antiqua" w:cs="Arial"/>
        </w:rPr>
        <w:t>-E</w:t>
      </w:r>
      <w:r w:rsidR="00FE6CAD" w:rsidRPr="005A3642">
        <w:rPr>
          <w:rFonts w:ascii="Book Antiqua" w:hAnsi="Book Antiqua" w:cs="Arial"/>
        </w:rPr>
        <w:t>d 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68,4%</w:t>
      </w:r>
      <w:r w:rsidR="001A4568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>64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62,8%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C643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économiques </w:t>
      </w:r>
      <w:r w:rsidR="001A4568">
        <w:rPr>
          <w:rFonts w:ascii="Book Antiqua" w:hAnsi="Book Antiqua" w:cs="Arial"/>
        </w:rPr>
        <w:t xml:space="preserve">sectorielles </w:t>
      </w:r>
      <w:r>
        <w:rPr>
          <w:rFonts w:ascii="Book Antiqua" w:hAnsi="Book Antiqua" w:cs="Arial"/>
        </w:rPr>
        <w:t>restent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et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,</w:t>
      </w:r>
      <w:r w:rsidR="0083436D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83436D">
        <w:rPr>
          <w:rFonts w:ascii="Book Antiqua" w:hAnsi="Book Antiqua" w:cs="Arial"/>
        </w:rPr>
        <w:t>5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83436D">
        <w:rPr>
          <w:rFonts w:ascii="Book Antiqua" w:hAnsi="Book Antiqua" w:cs="Arial"/>
        </w:rPr>
        <w:t>58</w:t>
      </w:r>
      <w:r w:rsidR="0069351C">
        <w:rPr>
          <w:rFonts w:ascii="Book Antiqua" w:hAnsi="Book Antiqua" w:cs="Arial"/>
        </w:rPr>
        <w:t>% en 201</w:t>
      </w:r>
      <w:r w:rsidR="0083436D">
        <w:rPr>
          <w:rFonts w:ascii="Book Antiqua" w:hAnsi="Book Antiqua" w:cs="Arial"/>
        </w:rPr>
        <w:t>4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</w:t>
      </w:r>
      <w:r w:rsidR="00AB11A1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>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</w:t>
      </w:r>
      <w:r w:rsidR="00AB11A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54,1</w:t>
      </w:r>
      <w:r w:rsidR="0069351C">
        <w:rPr>
          <w:rFonts w:ascii="Book Antiqua" w:hAnsi="Book Antiqua" w:cs="Arial"/>
        </w:rPr>
        <w:t>% en 201</w:t>
      </w:r>
      <w:r w:rsidR="00AB11A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AB11A1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ont participé par 5</w:t>
      </w:r>
      <w:r w:rsidR="00AB11A1">
        <w:rPr>
          <w:rFonts w:ascii="Book Antiqua" w:hAnsi="Book Antiqua" w:cs="Arial"/>
        </w:rPr>
        <w:t>9</w:t>
      </w:r>
      <w:r w:rsidR="00552BA4">
        <w:rPr>
          <w:rFonts w:ascii="Book Antiqua" w:hAnsi="Book Antiqua" w:cs="Arial"/>
        </w:rPr>
        <w:t>,</w:t>
      </w:r>
      <w:r w:rsidR="00AB11A1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valeur ajoutée des activités tertiaires en 201</w:t>
      </w:r>
      <w:r w:rsidR="00AB11A1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au lieu de 5</w:t>
      </w:r>
      <w:r w:rsidR="00AB11A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,9% en 201</w:t>
      </w:r>
      <w:r w:rsidR="00AB11A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1A4568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s’élève à 28953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2015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74254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45846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40154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 xml:space="preserve">34271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30102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5494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Pr="004833E2">
        <w:rPr>
          <w:rFonts w:ascii="Book Antiqua" w:hAnsi="Book Antiqua" w:cs="Arial"/>
        </w:rPr>
        <w:t>27669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F14BC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9582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4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11019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5.</w:t>
      </w:r>
    </w:p>
    <w:p w:rsidR="0069351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 xml:space="preserve">Les </w:t>
      </w:r>
      <w:r w:rsidR="00CB7151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F3DCF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F3DCF">
        <w:rPr>
          <w:rFonts w:ascii="Book Antiqua" w:hAnsi="Book Antiqua" w:cs="Arial"/>
        </w:rPr>
        <w:t>40</w:t>
      </w:r>
      <w:r w:rsidR="0069351C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2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>,</w:t>
      </w:r>
      <w:r w:rsidR="006F3DCF">
        <w:rPr>
          <w:rFonts w:ascii="Book Antiqua" w:hAnsi="Book Antiqua" w:cs="Arial"/>
        </w:rPr>
        <w:t>7</w:t>
      </w:r>
      <w:r w:rsidR="00527898">
        <w:rPr>
          <w:rFonts w:ascii="Book Antiqua" w:hAnsi="Book Antiqua" w:cs="Arial"/>
        </w:rPr>
        <w:t>% et 14,</w:t>
      </w:r>
      <w:r w:rsidR="006F3DCF">
        <w:rPr>
          <w:rFonts w:ascii="Book Antiqua" w:hAnsi="Book Antiqua" w:cs="Arial"/>
        </w:rPr>
        <w:t>5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A4568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Tanger-Tétouan-Al Hoceima, </w:t>
      </w:r>
      <w:r>
        <w:rPr>
          <w:rFonts w:ascii="Book Antiqua" w:hAnsi="Book Antiqua" w:cs="Arial"/>
        </w:rPr>
        <w:t>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</w:t>
      </w:r>
      <w:r w:rsidR="00254738" w:rsidRPr="00F0433D">
        <w:rPr>
          <w:rFonts w:ascii="Book Antiqua" w:hAnsi="Book Antiqua" w:cs="Arial"/>
        </w:rPr>
        <w:t>Meknès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254738">
        <w:rPr>
          <w:rFonts w:ascii="Book Antiqua" w:hAnsi="Book Antiqua" w:cs="Arial"/>
        </w:rPr>
        <w:t>2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254738">
        <w:rPr>
          <w:rFonts w:ascii="Book Antiqua" w:hAnsi="Book Antiqua" w:cs="Arial"/>
        </w:rPr>
        <w:t>7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254738">
        <w:rPr>
          <w:rFonts w:ascii="Book Antiqua" w:hAnsi="Book Antiqua" w:cs="Arial"/>
        </w:rPr>
        <w:t>3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 xml:space="preserve">,1%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1A4568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18,6%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D74CC8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</w:t>
      </w:r>
      <w:r w:rsidR="00766EFC">
        <w:rPr>
          <w:rFonts w:ascii="Book Antiqua" w:hAnsi="Book Antiqua" w:cs="Arial"/>
        </w:rPr>
        <w:t>6,8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E76821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au lieu de 2</w:t>
      </w:r>
      <w:r w:rsidR="00D14766">
        <w:rPr>
          <w:rFonts w:ascii="Book Antiqua" w:hAnsi="Book Antiqua" w:cs="Arial"/>
        </w:rPr>
        <w:t>9</w:t>
      </w:r>
      <w:r w:rsidR="0069351C">
        <w:rPr>
          <w:rFonts w:ascii="Book Antiqua" w:hAnsi="Book Antiqua" w:cs="Arial"/>
        </w:rPr>
        <w:t>,</w:t>
      </w:r>
      <w:r w:rsidR="00D14766">
        <w:rPr>
          <w:rFonts w:ascii="Book Antiqua" w:hAnsi="Book Antiqua" w:cs="Arial"/>
        </w:rPr>
        <w:t>8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E76821">
        <w:rPr>
          <w:rFonts w:ascii="Book Antiqua" w:hAnsi="Book Antiqua" w:cs="Arial"/>
        </w:rPr>
        <w:t>4</w:t>
      </w:r>
      <w:r w:rsidR="0069351C" w:rsidRPr="00AC52D2">
        <w:rPr>
          <w:rFonts w:ascii="Book Antiqua" w:hAnsi="Book Antiqua" w:cs="Arial"/>
        </w:rPr>
        <w:t>. </w:t>
      </w:r>
    </w:p>
    <w:p w:rsidR="009E66E4" w:rsidRDefault="007D0646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drawing>
          <wp:inline distT="0" distB="0" distL="0" distR="0">
            <wp:extent cx="5785834" cy="3477666"/>
            <wp:effectExtent l="17721" t="10471" r="13045" b="4363"/>
            <wp:docPr id="2" name="Graphiqu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9351C" w:rsidRPr="00D2227D" w:rsidRDefault="00CB7151" w:rsidP="00DF2E0C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494</w:t>
      </w:r>
      <w:r w:rsidR="0069351C" w:rsidRPr="00D2227D">
        <w:rPr>
          <w:rFonts w:ascii="Book Antiqua" w:hAnsi="Book Antiqua" w:cs="Arial"/>
        </w:rPr>
        <w:t xml:space="preserve"> DH en 201</w:t>
      </w:r>
      <w:r w:rsidR="00DF2E0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DF2E0C">
        <w:rPr>
          <w:rFonts w:ascii="Book Antiqua" w:hAnsi="Book Antiqua" w:cs="Arial"/>
        </w:rPr>
        <w:t>5469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DF2E0C">
        <w:rPr>
          <w:rFonts w:ascii="Book Antiqua" w:hAnsi="Book Antiqua" w:cs="Arial"/>
        </w:rPr>
        <w:t>838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DF2E0C">
        <w:rPr>
          <w:rFonts w:ascii="Book Antiqua" w:hAnsi="Book Antiqua" w:cs="Arial"/>
        </w:rPr>
        <w:t xml:space="preserve">18384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DF2E0C">
        <w:rPr>
          <w:rFonts w:ascii="Book Antiqua" w:hAnsi="Book Antiqua" w:cs="Arial"/>
        </w:rPr>
        <w:t>8170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 xml:space="preserve">DH), de </w:t>
      </w:r>
      <w:r w:rsidR="00DF2E0C" w:rsidRPr="00D2227D">
        <w:rPr>
          <w:rFonts w:ascii="Book Antiqua" w:hAnsi="Book Antiqua" w:cs="Arial"/>
        </w:rPr>
        <w:t>Rabat-Salé-Kénitra (</w:t>
      </w:r>
      <w:r w:rsidR="00DF2E0C" w:rsidRPr="00555781">
        <w:rPr>
          <w:rFonts w:ascii="Book Antiqua" w:hAnsi="Book Antiqua" w:cs="Arial"/>
        </w:rPr>
        <w:t>17</w:t>
      </w:r>
      <w:r w:rsidR="00DF2E0C">
        <w:rPr>
          <w:rFonts w:ascii="Book Antiqua" w:hAnsi="Book Antiqua" w:cs="Arial"/>
        </w:rPr>
        <w:t xml:space="preserve">660 </w:t>
      </w:r>
      <w:r w:rsidR="00DF2E0C" w:rsidRPr="00D2227D">
        <w:rPr>
          <w:rFonts w:ascii="Book Antiqua" w:hAnsi="Book Antiqua" w:cs="Arial"/>
        </w:rPr>
        <w:t>DH)</w:t>
      </w:r>
      <w:r w:rsidR="00DF2E0C">
        <w:rPr>
          <w:rFonts w:ascii="Book Antiqua" w:hAnsi="Book Antiqua" w:cs="Arial"/>
        </w:rPr>
        <w:t>,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</w:t>
      </w:r>
      <w:r w:rsidR="00DF2E0C">
        <w:rPr>
          <w:rFonts w:ascii="Book Antiqua" w:hAnsi="Book Antiqua" w:cs="Arial"/>
        </w:rPr>
        <w:t>514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D316F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D316F8">
        <w:rPr>
          <w:rFonts w:ascii="Book Antiqua" w:hAnsi="Book Antiqua" w:cs="Arial"/>
        </w:rPr>
        <w:t>163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</w:t>
      </w:r>
      <w:r w:rsidR="00D316F8">
        <w:rPr>
          <w:rFonts w:ascii="Book Antiqua" w:hAnsi="Book Antiqua" w:cs="Arial"/>
        </w:rPr>
        <w:t>89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D316F8" w:rsidRPr="00AD2025">
        <w:rPr>
          <w:rFonts w:ascii="Book Antiqua" w:hAnsi="Book Antiqua" w:cs="Arial"/>
        </w:rPr>
        <w:t>Guelmim-Oued Noun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1A4568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>
        <w:rPr>
          <w:rFonts w:ascii="Book Antiqua" w:hAnsi="Book Antiqua" w:cs="Arial"/>
        </w:rPr>
        <w:t>connu</w:t>
      </w:r>
      <w:r w:rsidR="00220060">
        <w:rPr>
          <w:rFonts w:ascii="Book Antiqua" w:hAnsi="Book Antiqua" w:cs="Arial"/>
        </w:rPr>
        <w:t xml:space="preserve"> une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</w:t>
      </w:r>
      <w:r w:rsidR="004D7C45">
        <w:rPr>
          <w:rFonts w:ascii="Book Antiqua" w:hAnsi="Book Antiqua" w:cs="Arial"/>
        </w:rPr>
        <w:t>530</w:t>
      </w:r>
      <w:r w:rsidR="0069351C" w:rsidRPr="00D2227D">
        <w:rPr>
          <w:rFonts w:ascii="Book Antiqua" w:hAnsi="Book Antiqua" w:cs="Arial"/>
        </w:rPr>
        <w:t xml:space="preserve"> DH en  201</w:t>
      </w:r>
      <w:r w:rsidR="004D7C45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</w:t>
      </w:r>
      <w:r w:rsidR="004D7C45">
        <w:rPr>
          <w:rFonts w:ascii="Book Antiqua" w:hAnsi="Book Antiqua" w:cs="Arial"/>
        </w:rPr>
        <w:t>90</w:t>
      </w:r>
      <w:r w:rsidR="0069351C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DH en 201</w:t>
      </w:r>
      <w:r w:rsidR="004D7C45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F76C50" w:rsidRPr="006B4218" w:rsidRDefault="005361CB" w:rsidP="004213C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12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</w:t>
      </w:r>
      <w:r w:rsidR="004213C2">
        <w:rPr>
          <w:b/>
          <w:bCs/>
          <w:i/>
          <w:iCs/>
          <w:sz w:val="20"/>
          <w:szCs w:val="20"/>
        </w:rPr>
        <w:t>4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</w:t>
      </w:r>
      <w:r w:rsidR="004213C2">
        <w:rPr>
          <w:b/>
          <w:bCs/>
          <w:i/>
          <w:iCs/>
          <w:sz w:val="20"/>
          <w:szCs w:val="20"/>
        </w:rPr>
        <w:t>5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1983" w:type="dxa"/>
        <w:tblInd w:w="1837" w:type="dxa"/>
        <w:tblCellMar>
          <w:left w:w="70" w:type="dxa"/>
          <w:right w:w="70" w:type="dxa"/>
        </w:tblCellMar>
        <w:tblLook w:val="04A0"/>
      </w:tblPr>
      <w:tblGrid>
        <w:gridCol w:w="360"/>
        <w:gridCol w:w="3646"/>
        <w:gridCol w:w="1545"/>
        <w:gridCol w:w="479"/>
        <w:gridCol w:w="1701"/>
        <w:gridCol w:w="1701"/>
        <w:gridCol w:w="2551"/>
      </w:tblGrid>
      <w:tr w:rsidR="003722B7" w:rsidRPr="003722B7" w:rsidTr="00290456">
        <w:trPr>
          <w:trHeight w:val="480"/>
        </w:trPr>
        <w:tc>
          <w:tcPr>
            <w:tcW w:w="11983" w:type="dxa"/>
            <w:gridSpan w:val="7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3722B7" w:rsidRPr="003722B7" w:rsidTr="00290456">
        <w:trPr>
          <w:trHeight w:val="315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4A2DCA">
        <w:trPr>
          <w:trHeight w:val="315"/>
        </w:trPr>
        <w:tc>
          <w:tcPr>
            <w:tcW w:w="4006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3722B7" w:rsidRPr="003722B7" w:rsidRDefault="003722B7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80" w:type="dxa"/>
            <w:gridSpan w:val="2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8" w:space="0" w:color="C00000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1" w:type="dxa"/>
            <w:tcBorders>
              <w:top w:val="single" w:sz="8" w:space="0" w:color="C00000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25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70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51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vAlign w:val="center"/>
            <w:hideMark/>
          </w:tcPr>
          <w:p w:rsidR="003722B7" w:rsidRPr="003722B7" w:rsidRDefault="003722B7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3722B7" w:rsidRPr="003722B7" w:rsidTr="00290456">
        <w:trPr>
          <w:trHeight w:val="315"/>
        </w:trPr>
        <w:tc>
          <w:tcPr>
            <w:tcW w:w="4006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3722B7" w:rsidRPr="003722B7" w:rsidRDefault="003722B7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courant</w:t>
            </w:r>
            <w:r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456" w:rsidRDefault="00290456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  <w:p w:rsidR="003722B7" w:rsidRPr="003722B7" w:rsidRDefault="00583423" w:rsidP="0058342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A81F55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prix 2014</w:t>
            </w:r>
            <w:r w:rsidR="003722B7" w:rsidRPr="003722B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70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vAlign w:val="center"/>
            <w:hideMark/>
          </w:tcPr>
          <w:p w:rsidR="003722B7" w:rsidRPr="003722B7" w:rsidRDefault="003722B7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98 007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46 446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87 610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155 438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0,4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56 386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309 110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86 956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0,3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24 827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63 253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12 634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14 734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</w:t>
            </w:r>
          </w:p>
        </w:tc>
      </w:tr>
      <w:tr w:rsidR="00956072" w:rsidRPr="003722B7" w:rsidTr="00290456">
        <w:trPr>
          <w:trHeight w:val="345"/>
        </w:trPr>
        <w:tc>
          <w:tcPr>
            <w:tcW w:w="3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10 676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7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956072"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1,2</w:t>
            </w:r>
          </w:p>
        </w:tc>
      </w:tr>
      <w:tr w:rsidR="00956072" w:rsidRPr="003722B7" w:rsidTr="00290456">
        <w:trPr>
          <w:trHeight w:val="345"/>
        </w:trPr>
        <w:tc>
          <w:tcPr>
            <w:tcW w:w="4006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3722B7" w:rsidRDefault="00956072" w:rsidP="003722B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3722B7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080370" w:rsidRDefault="00956072" w:rsidP="000803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80370">
              <w:rPr>
                <w:rFonts w:ascii="Calibri" w:hAnsi="Calibri"/>
                <w:color w:val="000000"/>
                <w:sz w:val="22"/>
                <w:szCs w:val="22"/>
              </w:rPr>
              <w:t>967476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56072" w:rsidRPr="00956072" w:rsidRDefault="00956072" w:rsidP="009560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56072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956072" w:rsidRDefault="00956072" w:rsidP="0095607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4,5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3722B7" w:rsidRDefault="003722B7" w:rsidP="00F76C50">
      <w:pPr>
        <w:pStyle w:val="Paragraphedeliste"/>
      </w:pPr>
    </w:p>
    <w:p w:rsidR="003722B7" w:rsidRDefault="003722B7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220" w:type="dxa"/>
        <w:tblInd w:w="701" w:type="dxa"/>
        <w:tblCellMar>
          <w:left w:w="70" w:type="dxa"/>
          <w:right w:w="70" w:type="dxa"/>
        </w:tblCellMar>
        <w:tblLook w:val="04A0"/>
      </w:tblPr>
      <w:tblGrid>
        <w:gridCol w:w="523"/>
        <w:gridCol w:w="6261"/>
        <w:gridCol w:w="1472"/>
        <w:gridCol w:w="1472"/>
        <w:gridCol w:w="1012"/>
        <w:gridCol w:w="1012"/>
        <w:gridCol w:w="1234"/>
        <w:gridCol w:w="1234"/>
      </w:tblGrid>
      <w:tr w:rsidR="006A2DDA" w:rsidRPr="006A2DDA" w:rsidTr="00290456">
        <w:trPr>
          <w:trHeight w:val="480"/>
        </w:trPr>
        <w:tc>
          <w:tcPr>
            <w:tcW w:w="1422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(courant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) par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région</w:t>
            </w:r>
          </w:p>
        </w:tc>
      </w:tr>
      <w:tr w:rsidR="006A2DDA" w:rsidRPr="006A2DDA" w:rsidTr="00290456">
        <w:trPr>
          <w:trHeight w:val="31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678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0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4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6A2DDA" w:rsidRPr="006A2DDA" w:rsidTr="00290456">
        <w:trPr>
          <w:trHeight w:val="315"/>
        </w:trPr>
        <w:tc>
          <w:tcPr>
            <w:tcW w:w="678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90858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99368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27669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45705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47201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19791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20248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87707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89196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20737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20944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152086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158313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33280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34271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54060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57601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21481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22742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288873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317925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42219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45847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84000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87937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18622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19306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24675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25452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15116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15494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61364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64647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22987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23901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12132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13101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28008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30102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13371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14939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36469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40154</w:t>
            </w:r>
          </w:p>
        </w:tc>
      </w:tr>
      <w:tr w:rsidR="006A2DDA" w:rsidRPr="006A2DDA" w:rsidTr="00290456">
        <w:trPr>
          <w:trHeight w:val="345"/>
        </w:trPr>
        <w:tc>
          <w:tcPr>
            <w:tcW w:w="52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9164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10943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64546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74254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47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45"/>
        </w:trPr>
        <w:tc>
          <w:tcPr>
            <w:tcW w:w="678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925376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988021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27403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28953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4657" w:type="dxa"/>
        <w:tblInd w:w="483" w:type="dxa"/>
        <w:tblCellMar>
          <w:left w:w="70" w:type="dxa"/>
          <w:right w:w="70" w:type="dxa"/>
        </w:tblCellMar>
        <w:tblLook w:val="04A0"/>
      </w:tblPr>
      <w:tblGrid>
        <w:gridCol w:w="414"/>
        <w:gridCol w:w="4967"/>
        <w:gridCol w:w="1386"/>
        <w:gridCol w:w="1386"/>
        <w:gridCol w:w="1943"/>
        <w:gridCol w:w="2508"/>
        <w:gridCol w:w="979"/>
        <w:gridCol w:w="1074"/>
      </w:tblGrid>
      <w:tr w:rsidR="006A2DDA" w:rsidRPr="006A2DDA" w:rsidTr="00290456">
        <w:trPr>
          <w:trHeight w:val="480"/>
        </w:trPr>
        <w:tc>
          <w:tcPr>
            <w:tcW w:w="1465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A2DDA" w:rsidRPr="006A2DDA" w:rsidRDefault="006A2DDA" w:rsidP="0058342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Dépenses de consommation finale des ménages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(en valeur)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par </w:t>
            </w:r>
            <w:r w:rsidR="00583423" w:rsidRPr="006A2DDA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>région</w:t>
            </w:r>
            <w:r w:rsidR="0058342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290456">
        <w:trPr>
          <w:trHeight w:val="31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A2DDA" w:rsidRPr="006A2DDA" w:rsidTr="004A2DCA">
        <w:trPr>
          <w:trHeight w:val="315"/>
        </w:trPr>
        <w:tc>
          <w:tcPr>
            <w:tcW w:w="53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A2DDA" w:rsidRPr="006A2DDA" w:rsidRDefault="006A2DDA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7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44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6A2DDA" w:rsidRPr="006A2DDA" w:rsidTr="00290456">
        <w:trPr>
          <w:trHeight w:val="315"/>
        </w:trPr>
        <w:tc>
          <w:tcPr>
            <w:tcW w:w="53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62802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66021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17704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38780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38497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16792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16514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65257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63791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15429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81531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81578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17841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17660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30129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30857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11972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12183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136597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144505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19964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20838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61938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62326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13731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18494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18337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11329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11163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39206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39702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14679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6495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14993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15489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6294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17168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18170</w:t>
            </w:r>
          </w:p>
        </w:tc>
      </w:tr>
      <w:tr w:rsidR="006A2DDA" w:rsidRPr="006A2DDA" w:rsidTr="00290456">
        <w:trPr>
          <w:trHeight w:val="345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3270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3754</w:t>
            </w:r>
          </w:p>
        </w:tc>
        <w:tc>
          <w:tcPr>
            <w:tcW w:w="1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23033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25469</w:t>
            </w:r>
          </w:p>
        </w:tc>
      </w:tr>
      <w:tr w:rsidR="006A2DDA" w:rsidRPr="006A2DDA" w:rsidTr="00290456">
        <w:trPr>
          <w:trHeight w:val="345"/>
        </w:trPr>
        <w:tc>
          <w:tcPr>
            <w:tcW w:w="53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550793</w:t>
            </w:r>
          </w:p>
        </w:tc>
        <w:tc>
          <w:tcPr>
            <w:tcW w:w="13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562868</w:t>
            </w:r>
          </w:p>
        </w:tc>
        <w:tc>
          <w:tcPr>
            <w:tcW w:w="19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5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16310</w:t>
            </w:r>
          </w:p>
        </w:tc>
        <w:tc>
          <w:tcPr>
            <w:tcW w:w="107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A2DDA" w:rsidRPr="006A2DDA" w:rsidRDefault="006A2DDA" w:rsidP="006A2DD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A2DDA">
              <w:rPr>
                <w:rFonts w:ascii="Book Antiqua" w:hAnsi="Book Antiqua" w:cs="Calibri"/>
                <w:color w:val="000000"/>
                <w:sz w:val="22"/>
                <w:szCs w:val="22"/>
              </w:rPr>
              <w:t>16 494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</w:t>
      </w:r>
      <w:r w:rsidR="00F02CD4">
        <w:t>*Données définitives    ** données semi-définitives</w:t>
      </w:r>
    </w:p>
    <w:p w:rsidR="006A2DDA" w:rsidRDefault="006A2DDA" w:rsidP="006A2DDA">
      <w:pPr>
        <w:pStyle w:val="Paragraphedeliste"/>
        <w:jc w:val="both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385"/>
        <w:gridCol w:w="4603"/>
        <w:gridCol w:w="1082"/>
        <w:gridCol w:w="1082"/>
        <w:gridCol w:w="1082"/>
        <w:gridCol w:w="1082"/>
        <w:gridCol w:w="1082"/>
        <w:gridCol w:w="1082"/>
        <w:gridCol w:w="908"/>
        <w:gridCol w:w="1572"/>
      </w:tblGrid>
      <w:tr w:rsidR="00691C92" w:rsidRPr="00691C92" w:rsidTr="00290456">
        <w:trPr>
          <w:trHeight w:val="54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583423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</w:pP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Produit intérieur brut </w:t>
            </w:r>
            <w:r w:rsidR="00583423"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(courant)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 xml:space="preserve"> </w:t>
            </w:r>
            <w:r w:rsidRPr="00583423">
              <w:rPr>
                <w:rFonts w:ascii="Calibri" w:hAnsi="Calibri" w:cs="Calibri"/>
                <w:b/>
                <w:bCs/>
                <w:color w:val="000000"/>
                <w:sz w:val="38"/>
                <w:szCs w:val="38"/>
              </w:rPr>
              <w:t>par secteurs d'activité et par région (en millions de DH)</w:t>
            </w:r>
          </w:p>
        </w:tc>
      </w:tr>
      <w:tr w:rsidR="00691C92" w:rsidRPr="00691C92" w:rsidTr="00290456">
        <w:trPr>
          <w:trHeight w:val="31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498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6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498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9907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11044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29322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30954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41027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44540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10601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12830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5954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10137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9073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23420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24207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6193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6999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17505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18284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17840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41432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41526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10485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12120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19547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22083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23269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94705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95819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17142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9141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19233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19394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20558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20840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5129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5984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12782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17326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103327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115161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145577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151229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27188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34209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12774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16327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18503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17925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42633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42086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10090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11599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4112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3741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4067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13655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3577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11270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12048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13126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13107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30301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31601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6667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7890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1304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8307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8964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1228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1454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1417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4346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4785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8018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8361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-410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156</w:t>
            </w:r>
          </w:p>
        </w:tc>
      </w:tr>
      <w:tr w:rsidR="00691C92" w:rsidRPr="00691C92" w:rsidTr="00290456">
        <w:trPr>
          <w:trHeight w:val="345"/>
        </w:trPr>
        <w:tc>
          <w:tcPr>
            <w:tcW w:w="38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2948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6651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7067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-275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108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9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498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107905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124799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245138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257795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477665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491456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94668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113971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A81F55">
      <w:pPr>
        <w:pStyle w:val="Paragraphedeliste"/>
        <w:ind w:left="0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4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64"/>
        <w:gridCol w:w="5564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691C92" w:rsidRPr="00691C92" w:rsidTr="00290456">
        <w:trPr>
          <w:trHeight w:val="480"/>
        </w:trPr>
        <w:tc>
          <w:tcPr>
            <w:tcW w:w="1396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Contribution des régions  à la VA 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(en valeur) 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des secteurs d'activité 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60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60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5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42,2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30,0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5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4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60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F02CD4" w:rsidRDefault="005C045E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960" w:type="dxa"/>
        <w:tblInd w:w="830" w:type="dxa"/>
        <w:tblCellMar>
          <w:left w:w="70" w:type="dxa"/>
          <w:right w:w="70" w:type="dxa"/>
        </w:tblCellMar>
        <w:tblLook w:val="04A0"/>
      </w:tblPr>
      <w:tblGrid>
        <w:gridCol w:w="457"/>
        <w:gridCol w:w="5468"/>
        <w:gridCol w:w="884"/>
        <w:gridCol w:w="884"/>
        <w:gridCol w:w="884"/>
        <w:gridCol w:w="884"/>
        <w:gridCol w:w="974"/>
        <w:gridCol w:w="974"/>
        <w:gridCol w:w="884"/>
        <w:gridCol w:w="1667"/>
      </w:tblGrid>
      <w:tr w:rsidR="00691C92" w:rsidRPr="00691C92" w:rsidTr="00290456">
        <w:trPr>
          <w:trHeight w:val="480"/>
        </w:trPr>
        <w:tc>
          <w:tcPr>
            <w:tcW w:w="1396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</w:t>
            </w:r>
            <w:r w:rsidR="0058342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691C9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par secteur d'activité et par région (en %)</w:t>
            </w:r>
          </w:p>
        </w:tc>
      </w:tr>
      <w:tr w:rsidR="00691C92" w:rsidRPr="00691C92" w:rsidTr="00290456">
        <w:trPr>
          <w:trHeight w:val="31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4A2DCA">
        <w:trPr>
          <w:trHeight w:val="315"/>
        </w:trPr>
        <w:tc>
          <w:tcPr>
            <w:tcW w:w="59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691C92" w:rsidRPr="00691C92" w:rsidRDefault="00691C92" w:rsidP="004A2D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94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691C92" w:rsidRPr="00691C92" w:rsidTr="00290456">
        <w:trPr>
          <w:trHeight w:val="315"/>
        </w:trPr>
        <w:tc>
          <w:tcPr>
            <w:tcW w:w="59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2014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2015</w:t>
            </w:r>
            <w:r w:rsidR="00F02CD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31,2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45,2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44,8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47,2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46,6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50,8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55,3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54,3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14,1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21,4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48,9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68,4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691C92" w:rsidRPr="00691C92" w:rsidTr="00290456">
        <w:trPr>
          <w:trHeight w:val="345"/>
        </w:trPr>
        <w:tc>
          <w:tcPr>
            <w:tcW w:w="457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64,6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1C9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691C92" w:rsidRPr="00691C92" w:rsidTr="00290456">
        <w:trPr>
          <w:trHeight w:val="345"/>
        </w:trPr>
        <w:tc>
          <w:tcPr>
            <w:tcW w:w="59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91C92" w:rsidRPr="00691C92" w:rsidRDefault="00691C92" w:rsidP="00691C9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91C9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691C92" w:rsidRDefault="00691C92" w:rsidP="00F76C50">
      <w:pPr>
        <w:pStyle w:val="Paragraphedeliste"/>
      </w:pPr>
    </w:p>
    <w:p w:rsidR="00F02CD4" w:rsidRDefault="00290456" w:rsidP="00F02CD4">
      <w:pPr>
        <w:pStyle w:val="Paragraphedeliste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BA5240" w:rsidRDefault="00BA5240" w:rsidP="00F02CD4">
      <w:pPr>
        <w:pStyle w:val="Paragraphedeliste"/>
        <w:ind w:left="0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071329">
          <w:footerReference w:type="default" r:id="rId13"/>
          <w:pgSz w:w="16840" w:h="11900" w:orient="landscape"/>
          <w:pgMar w:top="1191" w:right="1247" w:bottom="1304" w:left="624" w:header="720" w:footer="720" w:gutter="0"/>
          <w:cols w:space="720"/>
          <w:noEndnote/>
          <w:docGrid w:linePitch="326"/>
        </w:sectPr>
      </w:pPr>
    </w:p>
    <w:p w:rsidR="0069351C" w:rsidRDefault="007D0646" w:rsidP="0069351C">
      <w:r>
        <w:rPr>
          <w:noProof/>
        </w:rPr>
        <w:drawing>
          <wp:inline distT="0" distB="0" distL="0" distR="0">
            <wp:extent cx="6197600" cy="88138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D0646" w:rsidP="0069351C">
      <w:r>
        <w:rPr>
          <w:noProof/>
        </w:rPr>
        <w:drawing>
          <wp:inline distT="0" distB="0" distL="0" distR="0">
            <wp:extent cx="6261100" cy="87757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7D0646" w:rsidP="00C04E24">
      <w:pPr>
        <w:jc w:val="center"/>
      </w:pPr>
      <w:r>
        <w:rPr>
          <w:noProof/>
        </w:rPr>
        <w:drawing>
          <wp:inline distT="0" distB="0" distL="0" distR="0">
            <wp:extent cx="6121400" cy="86741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EF3714" w:rsidP="00EF3714">
      <w:pPr>
        <w:rPr>
          <w:noProof/>
        </w:rPr>
      </w:pPr>
      <w:r>
        <w:rPr>
          <w:noProof/>
        </w:rPr>
        <w:br w:type="page"/>
      </w:r>
      <w:r w:rsidR="007D0646">
        <w:rPr>
          <w:noProof/>
        </w:rPr>
        <w:drawing>
          <wp:inline distT="0" distB="0" distL="0" distR="0">
            <wp:extent cx="6121400" cy="86487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7D0646" w:rsidP="00EF3714">
      <w:r>
        <w:rPr>
          <w:noProof/>
        </w:rPr>
        <w:drawing>
          <wp:inline distT="0" distB="0" distL="0" distR="0">
            <wp:extent cx="6121400" cy="8648700"/>
            <wp:effectExtent l="19050" t="0" r="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714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DF4" w:rsidRDefault="00A44DF4" w:rsidP="00611FF6">
      <w:r>
        <w:separator/>
      </w:r>
    </w:p>
  </w:endnote>
  <w:endnote w:type="continuationSeparator" w:id="1">
    <w:p w:rsidR="00A44DF4" w:rsidRDefault="00A44DF4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691C92" w:rsidP="00832526">
    <w:pPr>
      <w:pStyle w:val="Pieddepage"/>
      <w:spacing w:before="120"/>
      <w:jc w:val="center"/>
    </w:pPr>
  </w:p>
  <w:p w:rsidR="00691C92" w:rsidRDefault="00691C9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C92" w:rsidRDefault="00691C92">
    <w:pPr>
      <w:pStyle w:val="Pieddepage"/>
      <w:jc w:val="center"/>
    </w:pPr>
    <w:fldSimple w:instr=" PAGE   \* MERGEFORMAT ">
      <w:r w:rsidR="007D0646">
        <w:rPr>
          <w:noProof/>
        </w:rPr>
        <w:t>16</w:t>
      </w:r>
    </w:fldSimple>
  </w:p>
  <w:p w:rsidR="00691C92" w:rsidRDefault="00691C9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DF4" w:rsidRDefault="00A44DF4" w:rsidP="00611FF6">
      <w:r>
        <w:separator/>
      </w:r>
    </w:p>
  </w:footnote>
  <w:footnote w:type="continuationSeparator" w:id="1">
    <w:p w:rsidR="00A44DF4" w:rsidRDefault="00A44DF4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7F6C"/>
    <w:rsid w:val="0001513B"/>
    <w:rsid w:val="000323D3"/>
    <w:rsid w:val="0003409C"/>
    <w:rsid w:val="00036526"/>
    <w:rsid w:val="00044FC6"/>
    <w:rsid w:val="000532E5"/>
    <w:rsid w:val="000535AB"/>
    <w:rsid w:val="0005395B"/>
    <w:rsid w:val="00053BAE"/>
    <w:rsid w:val="000604C4"/>
    <w:rsid w:val="0006664F"/>
    <w:rsid w:val="0007046A"/>
    <w:rsid w:val="00070FA9"/>
    <w:rsid w:val="0007102C"/>
    <w:rsid w:val="00071329"/>
    <w:rsid w:val="0007573E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29AB"/>
    <w:rsid w:val="000D5F7E"/>
    <w:rsid w:val="000D63C8"/>
    <w:rsid w:val="000E1B0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325A2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4BA3"/>
    <w:rsid w:val="003504B9"/>
    <w:rsid w:val="00353212"/>
    <w:rsid w:val="00354227"/>
    <w:rsid w:val="00354B44"/>
    <w:rsid w:val="00355B15"/>
    <w:rsid w:val="003607A5"/>
    <w:rsid w:val="003614BB"/>
    <w:rsid w:val="00365E93"/>
    <w:rsid w:val="003722B7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6475"/>
    <w:rsid w:val="00411FF2"/>
    <w:rsid w:val="004125AD"/>
    <w:rsid w:val="00414945"/>
    <w:rsid w:val="00414ADC"/>
    <w:rsid w:val="004213C2"/>
    <w:rsid w:val="00440848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7BEF"/>
    <w:rsid w:val="004833E2"/>
    <w:rsid w:val="00483696"/>
    <w:rsid w:val="00483CA2"/>
    <w:rsid w:val="0049194E"/>
    <w:rsid w:val="00493A27"/>
    <w:rsid w:val="004A2DCA"/>
    <w:rsid w:val="004B234D"/>
    <w:rsid w:val="004B3B96"/>
    <w:rsid w:val="004B4AC7"/>
    <w:rsid w:val="004C0DC6"/>
    <w:rsid w:val="004C6512"/>
    <w:rsid w:val="004C79D2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2198A"/>
    <w:rsid w:val="005232D1"/>
    <w:rsid w:val="0052535A"/>
    <w:rsid w:val="00527898"/>
    <w:rsid w:val="00531853"/>
    <w:rsid w:val="0053489A"/>
    <w:rsid w:val="005361CB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83B"/>
    <w:rsid w:val="005F3D36"/>
    <w:rsid w:val="005F4449"/>
    <w:rsid w:val="00601E93"/>
    <w:rsid w:val="00611FF6"/>
    <w:rsid w:val="00612AEC"/>
    <w:rsid w:val="0061499F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62CA5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6808"/>
    <w:rsid w:val="00761185"/>
    <w:rsid w:val="007652F6"/>
    <w:rsid w:val="00766767"/>
    <w:rsid w:val="00766EFC"/>
    <w:rsid w:val="007676F1"/>
    <w:rsid w:val="007801D3"/>
    <w:rsid w:val="00782F49"/>
    <w:rsid w:val="0078408F"/>
    <w:rsid w:val="0078764A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7697"/>
    <w:rsid w:val="008B0D42"/>
    <w:rsid w:val="008B6540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867"/>
    <w:rsid w:val="00990C65"/>
    <w:rsid w:val="00992CA6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E66E4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59EF"/>
    <w:rsid w:val="00A6369B"/>
    <w:rsid w:val="00A6499F"/>
    <w:rsid w:val="00A66BCE"/>
    <w:rsid w:val="00A671AA"/>
    <w:rsid w:val="00A71368"/>
    <w:rsid w:val="00A71820"/>
    <w:rsid w:val="00A72BDE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2551C"/>
    <w:rsid w:val="00B3013A"/>
    <w:rsid w:val="00B3138A"/>
    <w:rsid w:val="00B32235"/>
    <w:rsid w:val="00B33493"/>
    <w:rsid w:val="00B36EB5"/>
    <w:rsid w:val="00B43A33"/>
    <w:rsid w:val="00B462B3"/>
    <w:rsid w:val="00B463A1"/>
    <w:rsid w:val="00B46404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B202A"/>
    <w:rsid w:val="00BB2508"/>
    <w:rsid w:val="00BB3DB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716C"/>
    <w:rsid w:val="00C37BF4"/>
    <w:rsid w:val="00C425C8"/>
    <w:rsid w:val="00C4662F"/>
    <w:rsid w:val="00C4732A"/>
    <w:rsid w:val="00C504BD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8232E"/>
    <w:rsid w:val="00C86008"/>
    <w:rsid w:val="00C903EC"/>
    <w:rsid w:val="00C91865"/>
    <w:rsid w:val="00C91943"/>
    <w:rsid w:val="00C92C59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D23CB"/>
    <w:rsid w:val="00CD5BCB"/>
    <w:rsid w:val="00CD6928"/>
    <w:rsid w:val="00CD7581"/>
    <w:rsid w:val="00CE2139"/>
    <w:rsid w:val="00CE4C09"/>
    <w:rsid w:val="00CE7BED"/>
    <w:rsid w:val="00CF3FFC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F4E"/>
    <w:rsid w:val="00D825FB"/>
    <w:rsid w:val="00D8622E"/>
    <w:rsid w:val="00D8789E"/>
    <w:rsid w:val="00D91246"/>
    <w:rsid w:val="00D97ACE"/>
    <w:rsid w:val="00DA0838"/>
    <w:rsid w:val="00DA2BB2"/>
    <w:rsid w:val="00DB164A"/>
    <w:rsid w:val="00DB1C94"/>
    <w:rsid w:val="00DB30DC"/>
    <w:rsid w:val="00DB78CC"/>
    <w:rsid w:val="00DC5729"/>
    <w:rsid w:val="00DC5F53"/>
    <w:rsid w:val="00DD2554"/>
    <w:rsid w:val="00DD2F2B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A44"/>
    <w:rsid w:val="00EE0A67"/>
    <w:rsid w:val="00EE4D05"/>
    <w:rsid w:val="00EF33AD"/>
    <w:rsid w:val="00EF3714"/>
    <w:rsid w:val="00EF5D2A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6025E"/>
    <w:rsid w:val="00F61069"/>
    <w:rsid w:val="00F610B1"/>
    <w:rsid w:val="00F640A6"/>
    <w:rsid w:val="00F65141"/>
    <w:rsid w:val="00F65E0E"/>
    <w:rsid w:val="00F71B74"/>
    <w:rsid w:val="00F76715"/>
    <w:rsid w:val="00F76C50"/>
    <w:rsid w:val="00F81841"/>
    <w:rsid w:val="00F91365"/>
    <w:rsid w:val="00F915B6"/>
    <w:rsid w:val="00F94379"/>
    <w:rsid w:val="00F97B90"/>
    <w:rsid w:val="00FA2521"/>
    <w:rsid w:val="00FA311B"/>
    <w:rsid w:val="00FA4232"/>
    <w:rsid w:val="00FB1934"/>
    <w:rsid w:val="00FB48C6"/>
    <w:rsid w:val="00FC25A8"/>
    <w:rsid w:val="00FC4650"/>
    <w:rsid w:val="00FC489D"/>
    <w:rsid w:val="00FC4D28"/>
    <w:rsid w:val="00FC5D50"/>
    <w:rsid w:val="00FD121A"/>
    <w:rsid w:val="00FD2161"/>
    <w:rsid w:val="00FD7335"/>
    <w:rsid w:val="00FD7EC1"/>
    <w:rsid w:val="00FE6BC9"/>
    <w:rsid w:val="00FE6CAD"/>
    <w:rsid w:val="00FF018B"/>
    <w:rsid w:val="00FF34DD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mptes%20r&#233;gionaux\CR2015\calcul%202015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42E-2"/>
          <c:y val="0.12328083989501311"/>
          <c:w val="0.58524060898594199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16.982962390986597</c:v>
                </c:pt>
                <c:pt idx="1">
                  <c:v>1.7613316763942233</c:v>
                </c:pt>
                <c:pt idx="2">
                  <c:v>-0.22943278169823972</c:v>
                </c:pt>
                <c:pt idx="3">
                  <c:v>7.9631786961240625</c:v>
                </c:pt>
                <c:pt idx="4">
                  <c:v>5.5244866459249646</c:v>
                </c:pt>
                <c:pt idx="5">
                  <c:v>48.066727912465218</c:v>
                </c:pt>
                <c:pt idx="6">
                  <c:v>7.023353459744186</c:v>
                </c:pt>
                <c:pt idx="7">
                  <c:v>0.3597354152521588</c:v>
                </c:pt>
                <c:pt idx="8">
                  <c:v>4.4858108940377059</c:v>
                </c:pt>
                <c:pt idx="9">
                  <c:v>1.1910697292533601</c:v>
                </c:pt>
                <c:pt idx="10">
                  <c:v>3.23876170029722</c:v>
                </c:pt>
                <c:pt idx="11">
                  <c:v>3.5917757447803202</c:v>
                </c:pt>
              </c:numCache>
            </c:numRef>
          </c:val>
        </c:ser>
        <c:gapWidth val="100"/>
        <c:axId val="122754176"/>
        <c:axId val="122755712"/>
      </c:barChart>
      <c:catAx>
        <c:axId val="122754176"/>
        <c:scaling>
          <c:orientation val="minMax"/>
        </c:scaling>
        <c:delete val="1"/>
        <c:axPos val="b"/>
        <c:tickLblPos val="nextTo"/>
        <c:crossAx val="122755712"/>
        <c:crosses val="autoZero"/>
        <c:auto val="1"/>
        <c:lblAlgn val="ctr"/>
        <c:lblOffset val="100"/>
      </c:catAx>
      <c:valAx>
        <c:axId val="122755712"/>
        <c:scaling>
          <c:orientation val="minMax"/>
        </c:scaling>
        <c:axPos val="l"/>
        <c:majorGridlines/>
        <c:numFmt formatCode="0.0" sourceLinked="1"/>
        <c:tickLblPos val="nextTo"/>
        <c:crossAx val="12275417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392E-2"/>
          <c:y val="0.12328083989501311"/>
          <c:w val="0.593383167096123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11.729321587241992</c:v>
                </c:pt>
                <c:pt idx="1">
                  <c:v>6.8394010907370824</c:v>
                </c:pt>
                <c:pt idx="2">
                  <c:v>11.333270044700168</c:v>
                </c:pt>
                <c:pt idx="3">
                  <c:v>14.493215780976067</c:v>
                </c:pt>
                <c:pt idx="4">
                  <c:v>5.4820516623768363</c:v>
                </c:pt>
                <c:pt idx="5">
                  <c:v>25.673012458095226</c:v>
                </c:pt>
                <c:pt idx="6">
                  <c:v>11.072952880603237</c:v>
                </c:pt>
                <c:pt idx="7">
                  <c:v>3.2577126032197068</c:v>
                </c:pt>
                <c:pt idx="8">
                  <c:v>7.0535120845624704</c:v>
                </c:pt>
                <c:pt idx="9">
                  <c:v>1.1977021720433429</c:v>
                </c:pt>
                <c:pt idx="10">
                  <c:v>1.2009787206612901</c:v>
                </c:pt>
                <c:pt idx="11">
                  <c:v>0.66686891478259203</c:v>
                </c:pt>
              </c:numCache>
            </c:numRef>
          </c:val>
        </c:ser>
        <c:gapWidth val="100"/>
        <c:axId val="122768000"/>
        <c:axId val="122782080"/>
      </c:barChart>
      <c:catAx>
        <c:axId val="122768000"/>
        <c:scaling>
          <c:orientation val="minMax"/>
        </c:scaling>
        <c:delete val="1"/>
        <c:axPos val="b"/>
        <c:tickLblPos val="nextTo"/>
        <c:crossAx val="122782080"/>
        <c:crosses val="autoZero"/>
        <c:auto val="1"/>
        <c:lblAlgn val="ctr"/>
        <c:lblOffset val="100"/>
      </c:catAx>
      <c:valAx>
        <c:axId val="122782080"/>
        <c:scaling>
          <c:orientation val="minMax"/>
        </c:scaling>
        <c:axPos val="l"/>
        <c:majorGridlines/>
        <c:numFmt formatCode="0.0" sourceLinked="1"/>
        <c:tickLblPos val="nextTo"/>
        <c:crossAx val="122768000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872E0-13D1-4D71-B7DC-FF0980C75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2074</Words>
  <Characters>11408</Characters>
  <Application>Microsoft Office Word</Application>
  <DocSecurity>0</DocSecurity>
  <Lines>95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 </cp:lastModifiedBy>
  <cp:revision>2</cp:revision>
  <cp:lastPrinted>2017-09-18T11:42:00Z</cp:lastPrinted>
  <dcterms:created xsi:type="dcterms:W3CDTF">2017-09-18T17:34:00Z</dcterms:created>
  <dcterms:modified xsi:type="dcterms:W3CDTF">2017-09-18T17:34:00Z</dcterms:modified>
</cp:coreProperties>
</file>