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03" w:rsidRDefault="001F71A0" w:rsidP="00636A6E">
      <w:pPr>
        <w:spacing w:line="480" w:lineRule="auto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noProof/>
          <w:color w:val="C00000"/>
          <w:sz w:val="28"/>
          <w:szCs w:val="28"/>
          <w:lang w:eastAsia="fr-FR"/>
        </w:rPr>
        <w:pict>
          <v:rect id="_x0000_s1026" style="position:absolute;left:0;text-align:left;margin-left:-108.95pt;margin-top:-41.2pt;width:685.25pt;height:360.55pt;z-index:-251657728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59471015" r:id="rId8"/>
        </w:pict>
      </w:r>
      <w:r w:rsidR="0072347E">
        <w:rPr>
          <w:b/>
          <w:bCs/>
          <w:color w:val="C00000"/>
          <w:sz w:val="28"/>
          <w:szCs w:val="28"/>
        </w:rPr>
        <w:t xml:space="preserve">            </w:t>
      </w:r>
    </w:p>
    <w:p w:rsidR="001D1503" w:rsidRDefault="00CC39B2" w:rsidP="00636A6E">
      <w:pPr>
        <w:spacing w:line="480" w:lineRule="auto"/>
        <w:jc w:val="center"/>
        <w:rPr>
          <w:b/>
          <w:bCs/>
          <w:color w:val="C00000"/>
          <w:sz w:val="28"/>
          <w:szCs w:val="28"/>
        </w:rPr>
      </w:pPr>
      <w:r>
        <w:rPr>
          <w:rFonts w:hint="cs"/>
          <w:b/>
          <w:bCs/>
          <w:noProof/>
          <w:color w:val="C00000"/>
          <w:sz w:val="28"/>
          <w:szCs w:val="28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74930</wp:posOffset>
            </wp:positionV>
            <wp:extent cx="1057275" cy="457200"/>
            <wp:effectExtent l="19050" t="0" r="9525" b="0"/>
            <wp:wrapSquare wrapText="left"/>
            <wp:docPr id="2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9B2">
        <w:rPr>
          <w:rFonts w:hint="cs"/>
          <w:b/>
          <w:bCs/>
          <w:noProof/>
          <w:color w:val="C00000"/>
          <w:sz w:val="28"/>
          <w:szCs w:val="28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151130</wp:posOffset>
            </wp:positionV>
            <wp:extent cx="1524000" cy="381000"/>
            <wp:effectExtent l="19050" t="0" r="0" b="0"/>
            <wp:wrapSquare wrapText="bothSides"/>
            <wp:docPr id="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C9E" w:rsidRPr="00EB0C8C" w:rsidRDefault="00EB0C8C" w:rsidP="00516414">
      <w:pPr>
        <w:spacing w:line="240" w:lineRule="auto"/>
        <w:jc w:val="center"/>
        <w:rPr>
          <w:b/>
          <w:bCs/>
          <w:color w:val="C00000"/>
          <w:sz w:val="28"/>
          <w:szCs w:val="28"/>
        </w:rPr>
      </w:pPr>
      <w:r w:rsidRPr="00EB0C8C">
        <w:rPr>
          <w:b/>
          <w:bCs/>
          <w:color w:val="C00000"/>
          <w:sz w:val="28"/>
          <w:szCs w:val="28"/>
        </w:rPr>
        <w:t>Note d'information du HCP :</w:t>
      </w:r>
    </w:p>
    <w:p w:rsidR="00BF5A42" w:rsidRPr="00516414" w:rsidRDefault="00BB00BB" w:rsidP="00516414">
      <w:pPr>
        <w:spacing w:line="240" w:lineRule="auto"/>
        <w:jc w:val="center"/>
        <w:rPr>
          <w:b/>
          <w:bCs/>
          <w:color w:val="C00000"/>
          <w:sz w:val="28"/>
          <w:szCs w:val="28"/>
        </w:rPr>
      </w:pPr>
      <w:r w:rsidRPr="00516414">
        <w:rPr>
          <w:b/>
          <w:bCs/>
          <w:color w:val="C00000"/>
          <w:sz w:val="28"/>
          <w:szCs w:val="28"/>
        </w:rPr>
        <w:t>Les e</w:t>
      </w:r>
      <w:r w:rsidR="005A54F6" w:rsidRPr="00516414">
        <w:rPr>
          <w:b/>
          <w:bCs/>
          <w:color w:val="C00000"/>
          <w:sz w:val="28"/>
          <w:szCs w:val="28"/>
        </w:rPr>
        <w:t>ffet</w:t>
      </w:r>
      <w:r w:rsidRPr="00516414">
        <w:rPr>
          <w:b/>
          <w:bCs/>
          <w:color w:val="C00000"/>
          <w:sz w:val="28"/>
          <w:szCs w:val="28"/>
        </w:rPr>
        <w:t>s</w:t>
      </w:r>
      <w:r w:rsidR="005A54F6" w:rsidRPr="00516414">
        <w:rPr>
          <w:b/>
          <w:bCs/>
          <w:color w:val="C00000"/>
          <w:sz w:val="28"/>
          <w:szCs w:val="28"/>
        </w:rPr>
        <w:t xml:space="preserve"> du</w:t>
      </w:r>
      <w:r w:rsidRPr="00516414">
        <w:rPr>
          <w:b/>
          <w:bCs/>
          <w:color w:val="C00000"/>
          <w:sz w:val="28"/>
          <w:szCs w:val="28"/>
        </w:rPr>
        <w:t xml:space="preserve"> mois de</w:t>
      </w:r>
      <w:r w:rsidR="005A54F6" w:rsidRPr="00516414">
        <w:rPr>
          <w:b/>
          <w:bCs/>
          <w:color w:val="C00000"/>
          <w:sz w:val="28"/>
          <w:szCs w:val="28"/>
        </w:rPr>
        <w:t xml:space="preserve"> Ramadan sur les importations des produits alimentaires</w:t>
      </w:r>
    </w:p>
    <w:p w:rsidR="00516414" w:rsidRPr="00516414" w:rsidRDefault="00516414" w:rsidP="00CB00EA">
      <w:pPr>
        <w:spacing w:line="240" w:lineRule="auto"/>
        <w:rPr>
          <w:sz w:val="4"/>
          <w:szCs w:val="4"/>
        </w:rPr>
      </w:pPr>
    </w:p>
    <w:p w:rsidR="00132489" w:rsidRDefault="001A2F51" w:rsidP="00B417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mois de Ramadan 1438 est le </w:t>
      </w:r>
      <w:r w:rsidR="00CC0646">
        <w:rPr>
          <w:sz w:val="24"/>
          <w:szCs w:val="24"/>
        </w:rPr>
        <w:t>sept</w:t>
      </w:r>
      <w:r>
        <w:rPr>
          <w:sz w:val="24"/>
          <w:szCs w:val="24"/>
        </w:rPr>
        <w:t xml:space="preserve">ième, au cours des </w:t>
      </w:r>
      <w:r w:rsidR="00CC0646">
        <w:rPr>
          <w:sz w:val="24"/>
          <w:szCs w:val="24"/>
        </w:rPr>
        <w:t xml:space="preserve">58 </w:t>
      </w:r>
      <w:r>
        <w:rPr>
          <w:sz w:val="24"/>
          <w:szCs w:val="24"/>
        </w:rPr>
        <w:t xml:space="preserve">dernières années lunaires, où le début du jeûne coïncide avec un samedi. </w:t>
      </w:r>
      <w:r w:rsidR="005A54F6">
        <w:rPr>
          <w:sz w:val="24"/>
          <w:szCs w:val="24"/>
        </w:rPr>
        <w:t xml:space="preserve">Le mois </w:t>
      </w:r>
      <w:r w:rsidR="00CC0646">
        <w:rPr>
          <w:sz w:val="24"/>
          <w:szCs w:val="24"/>
        </w:rPr>
        <w:t>sacré</w:t>
      </w:r>
      <w:r w:rsidR="005A54F6">
        <w:rPr>
          <w:sz w:val="24"/>
          <w:szCs w:val="24"/>
        </w:rPr>
        <w:t xml:space="preserve"> est un mois particulier où un changement de comportement de consommation des ménages est observé. Une hausse de la consommation est constatée</w:t>
      </w:r>
      <w:r w:rsidR="00B41719">
        <w:rPr>
          <w:sz w:val="24"/>
          <w:szCs w:val="24"/>
        </w:rPr>
        <w:t xml:space="preserve"> particulièrement</w:t>
      </w:r>
      <w:r w:rsidR="005A54F6">
        <w:rPr>
          <w:sz w:val="24"/>
          <w:szCs w:val="24"/>
        </w:rPr>
        <w:t xml:space="preserve"> </w:t>
      </w:r>
      <w:r w:rsidR="00CB00EA">
        <w:rPr>
          <w:sz w:val="24"/>
          <w:szCs w:val="24"/>
        </w:rPr>
        <w:t>pour les</w:t>
      </w:r>
      <w:r w:rsidR="005A54F6">
        <w:rPr>
          <w:sz w:val="24"/>
          <w:szCs w:val="24"/>
        </w:rPr>
        <w:t xml:space="preserve"> produits alimentaires</w:t>
      </w:r>
      <w:r w:rsidR="00132489">
        <w:rPr>
          <w:sz w:val="24"/>
          <w:szCs w:val="24"/>
        </w:rPr>
        <w:t>.</w:t>
      </w:r>
      <w:r w:rsidR="005A54F6">
        <w:rPr>
          <w:sz w:val="24"/>
          <w:szCs w:val="24"/>
        </w:rPr>
        <w:t xml:space="preserve"> </w:t>
      </w:r>
      <w:r w:rsidR="006857E5">
        <w:rPr>
          <w:sz w:val="24"/>
          <w:szCs w:val="24"/>
        </w:rPr>
        <w:t xml:space="preserve">Le budget alloué aux dépenses </w:t>
      </w:r>
      <w:proofErr w:type="gramStart"/>
      <w:r w:rsidR="006857E5">
        <w:rPr>
          <w:sz w:val="24"/>
          <w:szCs w:val="24"/>
        </w:rPr>
        <w:t>alimentaires</w:t>
      </w:r>
      <w:proofErr w:type="gramEnd"/>
      <w:r w:rsidR="006857E5">
        <w:rPr>
          <w:sz w:val="24"/>
          <w:szCs w:val="24"/>
        </w:rPr>
        <w:t xml:space="preserve"> augmente de 37,1% pendant le Ramadan en comparaison avec les autres mois de l'année</w:t>
      </w:r>
      <w:r w:rsidR="00132489">
        <w:rPr>
          <w:sz w:val="24"/>
          <w:szCs w:val="24"/>
        </w:rPr>
        <w:t xml:space="preserve">, </w:t>
      </w:r>
      <w:r w:rsidR="00132489" w:rsidRPr="00132489">
        <w:rPr>
          <w:sz w:val="24"/>
          <w:szCs w:val="24"/>
        </w:rPr>
        <w:t xml:space="preserve"> </w:t>
      </w:r>
      <w:r w:rsidR="00132489">
        <w:rPr>
          <w:sz w:val="24"/>
          <w:szCs w:val="24"/>
        </w:rPr>
        <w:t xml:space="preserve">comme </w:t>
      </w:r>
      <w:r w:rsidR="0056745E">
        <w:rPr>
          <w:sz w:val="24"/>
          <w:szCs w:val="24"/>
        </w:rPr>
        <w:t>il en est ressorti de</w:t>
      </w:r>
      <w:r w:rsidR="00132489">
        <w:rPr>
          <w:sz w:val="24"/>
          <w:szCs w:val="24"/>
        </w:rPr>
        <w:t xml:space="preserve"> l'enquête sur la consommation des ménages réalisée par le HCP en 2014.</w:t>
      </w:r>
      <w:r w:rsidR="006857E5">
        <w:rPr>
          <w:sz w:val="24"/>
          <w:szCs w:val="24"/>
        </w:rPr>
        <w:t xml:space="preserve"> </w:t>
      </w:r>
    </w:p>
    <w:p w:rsidR="00CB00EA" w:rsidRDefault="006857E5" w:rsidP="00FA52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Une partie de la demande des ménages </w:t>
      </w:r>
      <w:r w:rsidR="00964873">
        <w:rPr>
          <w:sz w:val="24"/>
          <w:szCs w:val="24"/>
        </w:rPr>
        <w:t>se trouve</w:t>
      </w:r>
      <w:r w:rsidR="00516414">
        <w:rPr>
          <w:sz w:val="24"/>
          <w:szCs w:val="24"/>
        </w:rPr>
        <w:t xml:space="preserve"> </w:t>
      </w:r>
      <w:r>
        <w:rPr>
          <w:sz w:val="24"/>
          <w:szCs w:val="24"/>
        </w:rPr>
        <w:t>satisfaite par le recours à l'importation.</w:t>
      </w:r>
      <w:r w:rsidR="00132489">
        <w:rPr>
          <w:sz w:val="24"/>
          <w:szCs w:val="24"/>
        </w:rPr>
        <w:t xml:space="preserve"> </w:t>
      </w:r>
      <w:r w:rsidR="00F94C11">
        <w:rPr>
          <w:sz w:val="24"/>
          <w:szCs w:val="24"/>
        </w:rPr>
        <w:t>Afin de mieux cerner les produits alimentaires importés qui sont directement impactés par la venue du mois de Ramadan et de ses préparatifs préalables</w:t>
      </w:r>
      <w:r w:rsidR="00B41719">
        <w:rPr>
          <w:sz w:val="24"/>
          <w:szCs w:val="24"/>
        </w:rPr>
        <w:t xml:space="preserve"> (un ou deux mois à l'avance)</w:t>
      </w:r>
      <w:r w:rsidR="00F94C11">
        <w:rPr>
          <w:sz w:val="24"/>
          <w:szCs w:val="24"/>
        </w:rPr>
        <w:t xml:space="preserve">, la présente étude </w:t>
      </w:r>
      <w:r w:rsidR="00F928F2">
        <w:rPr>
          <w:sz w:val="24"/>
          <w:szCs w:val="24"/>
        </w:rPr>
        <w:t>a porté sur 18 groupes et 40 sous-groupes</w:t>
      </w:r>
      <w:r w:rsidR="0071076A">
        <w:rPr>
          <w:sz w:val="24"/>
          <w:szCs w:val="24"/>
        </w:rPr>
        <w:t xml:space="preserve"> </w:t>
      </w:r>
      <w:r w:rsidR="00977172">
        <w:rPr>
          <w:sz w:val="24"/>
          <w:szCs w:val="24"/>
        </w:rPr>
        <w:t>de produits alimentaires</w:t>
      </w:r>
      <w:r w:rsidR="008B652A">
        <w:rPr>
          <w:sz w:val="24"/>
          <w:szCs w:val="24"/>
        </w:rPr>
        <w:t>, s</w:t>
      </w:r>
      <w:r w:rsidR="00F928F2">
        <w:rPr>
          <w:sz w:val="24"/>
          <w:szCs w:val="24"/>
        </w:rPr>
        <w:t>ur la période s'étalant de 2000 à 2016.</w:t>
      </w:r>
      <w:r w:rsidR="000870AA">
        <w:rPr>
          <w:sz w:val="24"/>
          <w:szCs w:val="24"/>
        </w:rPr>
        <w:t xml:space="preserve"> </w:t>
      </w:r>
    </w:p>
    <w:p w:rsidR="001D2325" w:rsidRDefault="001D2325" w:rsidP="00B27F4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estimations menées </w:t>
      </w:r>
      <w:r w:rsidR="00934A0B">
        <w:rPr>
          <w:sz w:val="24"/>
          <w:szCs w:val="24"/>
        </w:rPr>
        <w:t xml:space="preserve">sur les </w:t>
      </w:r>
      <w:r w:rsidR="00934A0B" w:rsidRPr="00FA52AF">
        <w:rPr>
          <w:sz w:val="24"/>
          <w:szCs w:val="24"/>
        </w:rPr>
        <w:t>quantités importées des produits alimentaires</w:t>
      </w:r>
      <w:r w:rsidR="00934A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permettent de conclure à </w:t>
      </w:r>
      <w:r w:rsidR="000870AA">
        <w:rPr>
          <w:sz w:val="24"/>
          <w:szCs w:val="24"/>
        </w:rPr>
        <w:t xml:space="preserve">un effet significatif </w:t>
      </w:r>
      <w:r>
        <w:rPr>
          <w:sz w:val="24"/>
          <w:szCs w:val="24"/>
        </w:rPr>
        <w:t>du mois sacré et de</w:t>
      </w:r>
      <w:r w:rsidR="0096487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4873">
        <w:rPr>
          <w:sz w:val="24"/>
          <w:szCs w:val="24"/>
        </w:rPr>
        <w:t>deux mois préparatifs qui le précédent</w:t>
      </w:r>
      <w:r>
        <w:rPr>
          <w:sz w:val="24"/>
          <w:szCs w:val="24"/>
        </w:rPr>
        <w:t xml:space="preserve"> sur </w:t>
      </w:r>
      <w:r w:rsidR="00964873">
        <w:rPr>
          <w:sz w:val="24"/>
          <w:szCs w:val="24"/>
        </w:rPr>
        <w:t>15</w:t>
      </w:r>
      <w:r>
        <w:rPr>
          <w:sz w:val="24"/>
          <w:szCs w:val="24"/>
        </w:rPr>
        <w:t xml:space="preserve"> groupes et sous-groupes de produits importés</w:t>
      </w:r>
      <w:r w:rsidR="00964873">
        <w:rPr>
          <w:sz w:val="24"/>
          <w:szCs w:val="24"/>
        </w:rPr>
        <w:t>, sur les 58, ce qui représente 26% de l'ensemble des produits alimentaires importés</w:t>
      </w:r>
      <w:r>
        <w:rPr>
          <w:sz w:val="24"/>
          <w:szCs w:val="24"/>
        </w:rPr>
        <w:t>.</w:t>
      </w:r>
      <w:r w:rsidRPr="001D2325">
        <w:rPr>
          <w:sz w:val="24"/>
          <w:szCs w:val="24"/>
        </w:rPr>
        <w:t xml:space="preserve"> </w:t>
      </w:r>
      <w:r w:rsidR="00354E20">
        <w:rPr>
          <w:sz w:val="24"/>
          <w:szCs w:val="24"/>
        </w:rPr>
        <w:t>L'effet global du mois de Ramadan et des deux mois qui le précédent sur les importations alimentaires est estimé à +4,5%.</w:t>
      </w:r>
    </w:p>
    <w:p w:rsidR="00B27F48" w:rsidRDefault="00D844A9" w:rsidP="00B27F48">
      <w:pPr>
        <w:spacing w:before="0" w:after="0"/>
        <w:rPr>
          <w:sz w:val="24"/>
          <w:szCs w:val="24"/>
        </w:rPr>
      </w:pPr>
      <w:r w:rsidRPr="00D844A9">
        <w:rPr>
          <w:noProof/>
          <w:szCs w:val="24"/>
          <w:lang w:eastAsia="fr-FR"/>
        </w:rPr>
        <w:drawing>
          <wp:inline distT="0" distB="0" distL="0" distR="0">
            <wp:extent cx="6030595" cy="3385204"/>
            <wp:effectExtent l="19050" t="0" r="8255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38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3CC" w:rsidRDefault="00F971C0" w:rsidP="00354E20">
      <w:pPr>
        <w:spacing w:before="240" w:after="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354E20">
        <w:rPr>
          <w:sz w:val="24"/>
          <w:szCs w:val="24"/>
        </w:rPr>
        <w:t>impact</w:t>
      </w:r>
      <w:r>
        <w:rPr>
          <w:sz w:val="24"/>
          <w:szCs w:val="24"/>
        </w:rPr>
        <w:t xml:space="preserve"> positif sur les importations de miel</w:t>
      </w:r>
      <w:r w:rsidR="00934A0B">
        <w:rPr>
          <w:sz w:val="24"/>
          <w:szCs w:val="24"/>
        </w:rPr>
        <w:t>,</w:t>
      </w:r>
      <w:r>
        <w:rPr>
          <w:sz w:val="24"/>
          <w:szCs w:val="24"/>
        </w:rPr>
        <w:t xml:space="preserve"> dont les quantités font plus que doubler</w:t>
      </w:r>
      <w:r w:rsidR="00934A0B">
        <w:rPr>
          <w:sz w:val="24"/>
          <w:szCs w:val="24"/>
        </w:rPr>
        <w:t>,</w:t>
      </w:r>
      <w:r>
        <w:rPr>
          <w:sz w:val="24"/>
          <w:szCs w:val="24"/>
        </w:rPr>
        <w:t xml:space="preserve"> est relevé </w:t>
      </w:r>
      <w:r w:rsidR="00934A0B">
        <w:rPr>
          <w:sz w:val="24"/>
          <w:szCs w:val="24"/>
        </w:rPr>
        <w:t>deux mois avant</w:t>
      </w:r>
      <w:r w:rsidR="009B73CC">
        <w:rPr>
          <w:sz w:val="24"/>
          <w:szCs w:val="24"/>
        </w:rPr>
        <w:t xml:space="preserve"> le Ramadan. Cet effet est estimé à </w:t>
      </w:r>
      <w:r w:rsidR="0053651C">
        <w:rPr>
          <w:sz w:val="24"/>
          <w:szCs w:val="24"/>
        </w:rPr>
        <w:t>+</w:t>
      </w:r>
      <w:r w:rsidR="009B73CC">
        <w:rPr>
          <w:sz w:val="24"/>
          <w:szCs w:val="24"/>
        </w:rPr>
        <w:t xml:space="preserve">25,4% pour les œufs et </w:t>
      </w:r>
      <w:r w:rsidR="003E7FED">
        <w:rPr>
          <w:sz w:val="24"/>
          <w:szCs w:val="24"/>
        </w:rPr>
        <w:t xml:space="preserve">les </w:t>
      </w:r>
      <w:r w:rsidR="009B73CC">
        <w:rPr>
          <w:sz w:val="24"/>
          <w:szCs w:val="24"/>
        </w:rPr>
        <w:t xml:space="preserve">dérivés laitiers, dont le beurre, à </w:t>
      </w:r>
      <w:r w:rsidR="0053651C">
        <w:rPr>
          <w:sz w:val="24"/>
          <w:szCs w:val="24"/>
        </w:rPr>
        <w:t>+</w:t>
      </w:r>
      <w:r w:rsidR="009B73CC">
        <w:rPr>
          <w:sz w:val="24"/>
          <w:szCs w:val="24"/>
        </w:rPr>
        <w:t xml:space="preserve">23,8% pour les laits et à </w:t>
      </w:r>
      <w:r w:rsidR="0053651C">
        <w:rPr>
          <w:sz w:val="24"/>
          <w:szCs w:val="24"/>
        </w:rPr>
        <w:t>+</w:t>
      </w:r>
      <w:r w:rsidR="009B73CC">
        <w:rPr>
          <w:sz w:val="24"/>
          <w:szCs w:val="24"/>
        </w:rPr>
        <w:t xml:space="preserve">17,2% pour les fruits frais et secs, en </w:t>
      </w:r>
      <w:r w:rsidR="009B73CC">
        <w:rPr>
          <w:sz w:val="24"/>
          <w:szCs w:val="24"/>
        </w:rPr>
        <w:lastRenderedPageBreak/>
        <w:t>particulier les dattes, les bananes</w:t>
      </w:r>
      <w:r w:rsidR="004831F6">
        <w:rPr>
          <w:sz w:val="24"/>
          <w:szCs w:val="24"/>
        </w:rPr>
        <w:t xml:space="preserve"> et</w:t>
      </w:r>
      <w:r w:rsidR="009B73CC">
        <w:rPr>
          <w:sz w:val="24"/>
          <w:szCs w:val="24"/>
        </w:rPr>
        <w:t xml:space="preserve"> les avocats, puis en dernier lieu</w:t>
      </w:r>
      <w:r w:rsidR="003E7FED">
        <w:rPr>
          <w:sz w:val="24"/>
          <w:szCs w:val="24"/>
        </w:rPr>
        <w:t xml:space="preserve"> à </w:t>
      </w:r>
      <w:r w:rsidR="0053651C">
        <w:rPr>
          <w:sz w:val="24"/>
          <w:szCs w:val="24"/>
        </w:rPr>
        <w:t>+</w:t>
      </w:r>
      <w:r w:rsidR="003E7FED">
        <w:rPr>
          <w:sz w:val="24"/>
          <w:szCs w:val="24"/>
        </w:rPr>
        <w:t>15,5%</w:t>
      </w:r>
      <w:r w:rsidR="009B73CC">
        <w:rPr>
          <w:sz w:val="24"/>
          <w:szCs w:val="24"/>
        </w:rPr>
        <w:t xml:space="preserve"> </w:t>
      </w:r>
      <w:r w:rsidR="003E7FED">
        <w:rPr>
          <w:sz w:val="24"/>
          <w:szCs w:val="24"/>
        </w:rPr>
        <w:t xml:space="preserve">pour </w:t>
      </w:r>
      <w:r w:rsidR="009B73CC">
        <w:rPr>
          <w:sz w:val="24"/>
          <w:szCs w:val="24"/>
        </w:rPr>
        <w:t>les conserves de légumes et de fruits (figure</w:t>
      </w:r>
      <w:r w:rsidR="00CE1B2E">
        <w:rPr>
          <w:sz w:val="24"/>
          <w:szCs w:val="24"/>
        </w:rPr>
        <w:t>s</w:t>
      </w:r>
      <w:r w:rsidR="009B73CC">
        <w:rPr>
          <w:sz w:val="24"/>
          <w:szCs w:val="24"/>
        </w:rPr>
        <w:t xml:space="preserve"> 1</w:t>
      </w:r>
      <w:r w:rsidR="00CE1B2E">
        <w:rPr>
          <w:sz w:val="24"/>
          <w:szCs w:val="24"/>
        </w:rPr>
        <w:t xml:space="preserve"> et 2</w:t>
      </w:r>
      <w:r w:rsidR="009B73CC">
        <w:rPr>
          <w:sz w:val="24"/>
          <w:szCs w:val="24"/>
        </w:rPr>
        <w:t>).</w:t>
      </w:r>
    </w:p>
    <w:p w:rsidR="00996190" w:rsidRPr="00996190" w:rsidRDefault="00996190" w:rsidP="00996190">
      <w:pPr>
        <w:spacing w:before="0" w:after="0"/>
        <w:rPr>
          <w:sz w:val="16"/>
          <w:szCs w:val="16"/>
        </w:rPr>
      </w:pPr>
    </w:p>
    <w:p w:rsidR="00E769B7" w:rsidRDefault="003E7FED" w:rsidP="00B27F48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Pendant les 30 jours</w:t>
      </w:r>
      <w:r w:rsidR="006F7A66">
        <w:rPr>
          <w:sz w:val="24"/>
          <w:szCs w:val="24"/>
        </w:rPr>
        <w:t xml:space="preserve"> (m-1)</w:t>
      </w:r>
      <w:r>
        <w:rPr>
          <w:sz w:val="24"/>
          <w:szCs w:val="24"/>
        </w:rPr>
        <w:t xml:space="preserve"> qui précédent la venue du mois sacré, d'autres produits alimentaires sont significativement concernés </w:t>
      </w:r>
      <w:r w:rsidR="00F971C0">
        <w:rPr>
          <w:sz w:val="24"/>
          <w:szCs w:val="24"/>
        </w:rPr>
        <w:t>par</w:t>
      </w:r>
      <w:r>
        <w:rPr>
          <w:sz w:val="24"/>
          <w:szCs w:val="24"/>
        </w:rPr>
        <w:t xml:space="preserve"> la hausse et portent sur les eaux et les boissons gazeuses (</w:t>
      </w:r>
      <w:r w:rsidR="006E3E84">
        <w:rPr>
          <w:sz w:val="24"/>
          <w:szCs w:val="24"/>
        </w:rPr>
        <w:t>+59%), les jus de fruits (+42,3%) et les huiles et graisses (+26,5%).</w:t>
      </w:r>
      <w:r w:rsidR="003531C2">
        <w:rPr>
          <w:sz w:val="24"/>
          <w:szCs w:val="24"/>
        </w:rPr>
        <w:t xml:space="preserve"> A contrario, les boissons alcoolisées et </w:t>
      </w:r>
      <w:r w:rsidR="00CE1B2E">
        <w:rPr>
          <w:sz w:val="24"/>
          <w:szCs w:val="24"/>
        </w:rPr>
        <w:t>les volailles sont touchées par un effet baissier</w:t>
      </w:r>
      <w:r w:rsidR="00934A0B">
        <w:rPr>
          <w:sz w:val="24"/>
          <w:szCs w:val="24"/>
        </w:rPr>
        <w:t>,</w:t>
      </w:r>
      <w:r w:rsidR="00CE1B2E">
        <w:rPr>
          <w:sz w:val="24"/>
          <w:szCs w:val="24"/>
        </w:rPr>
        <w:t xml:space="preserve"> évalué respectivement </w:t>
      </w:r>
      <w:proofErr w:type="gramStart"/>
      <w:r w:rsidR="00CE1B2E">
        <w:rPr>
          <w:sz w:val="24"/>
          <w:szCs w:val="24"/>
        </w:rPr>
        <w:t>à</w:t>
      </w:r>
      <w:proofErr w:type="gramEnd"/>
      <w:r w:rsidR="00CE1B2E">
        <w:rPr>
          <w:sz w:val="24"/>
          <w:szCs w:val="24"/>
        </w:rPr>
        <w:t xml:space="preserve"> -54% et</w:t>
      </w:r>
      <w:r w:rsidR="005D4188">
        <w:rPr>
          <w:sz w:val="24"/>
          <w:szCs w:val="24"/>
        </w:rPr>
        <w:t xml:space="preserve">     </w:t>
      </w:r>
      <w:r w:rsidR="00CE1B2E">
        <w:rPr>
          <w:sz w:val="24"/>
          <w:szCs w:val="24"/>
        </w:rPr>
        <w:t xml:space="preserve"> -17,3%.</w:t>
      </w:r>
      <w:r w:rsidR="00105433">
        <w:rPr>
          <w:sz w:val="24"/>
          <w:szCs w:val="24"/>
        </w:rPr>
        <w:t xml:space="preserve"> </w:t>
      </w:r>
    </w:p>
    <w:p w:rsidR="00636A6E" w:rsidRDefault="00110C01" w:rsidP="000E42F0">
      <w:pPr>
        <w:rPr>
          <w:sz w:val="24"/>
          <w:szCs w:val="24"/>
        </w:rPr>
      </w:pPr>
      <w:r w:rsidRPr="00110C01">
        <w:rPr>
          <w:noProof/>
          <w:sz w:val="24"/>
          <w:szCs w:val="24"/>
          <w:lang w:eastAsia="fr-FR"/>
        </w:rPr>
        <w:drawing>
          <wp:inline distT="0" distB="0" distL="0" distR="0">
            <wp:extent cx="5972810" cy="4836160"/>
            <wp:effectExtent l="19050" t="0" r="27940" b="2540"/>
            <wp:docPr id="34" name="Graphique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633D" w:rsidRDefault="00105433" w:rsidP="001D15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Lors de la période du mois de Ramadan, certains produits continuent à être importés de manière significative. Il s'agit du lait</w:t>
      </w:r>
      <w:r w:rsidR="006F7A66">
        <w:rPr>
          <w:sz w:val="24"/>
          <w:szCs w:val="24"/>
        </w:rPr>
        <w:t xml:space="preserve"> (+41,8%)</w:t>
      </w:r>
      <w:r>
        <w:rPr>
          <w:sz w:val="24"/>
          <w:szCs w:val="24"/>
        </w:rPr>
        <w:t xml:space="preserve">, </w:t>
      </w:r>
      <w:r w:rsidR="006F7A66">
        <w:rPr>
          <w:sz w:val="24"/>
          <w:szCs w:val="24"/>
        </w:rPr>
        <w:t>des jus de fruits (</w:t>
      </w:r>
      <w:r w:rsidR="0053651C">
        <w:rPr>
          <w:sz w:val="24"/>
          <w:szCs w:val="24"/>
        </w:rPr>
        <w:t>+</w:t>
      </w:r>
      <w:r w:rsidR="006F7A66">
        <w:rPr>
          <w:sz w:val="24"/>
          <w:szCs w:val="24"/>
        </w:rPr>
        <w:t>32,3%), des fruits (+29%)</w:t>
      </w:r>
      <w:r w:rsidR="005D4188">
        <w:rPr>
          <w:sz w:val="24"/>
          <w:szCs w:val="24"/>
        </w:rPr>
        <w:t>,</w:t>
      </w:r>
      <w:r w:rsidR="006F7A66">
        <w:rPr>
          <w:sz w:val="24"/>
          <w:szCs w:val="24"/>
        </w:rPr>
        <w:t xml:space="preserve"> </w:t>
      </w:r>
      <w:r>
        <w:rPr>
          <w:sz w:val="24"/>
          <w:szCs w:val="24"/>
        </w:rPr>
        <w:t>des dérivés laitiers</w:t>
      </w:r>
      <w:r w:rsidR="006F7A66">
        <w:rPr>
          <w:sz w:val="24"/>
          <w:szCs w:val="24"/>
        </w:rPr>
        <w:t xml:space="preserve"> (+15,8%) et des crustacés (+11,3%)</w:t>
      </w:r>
      <w:r>
        <w:rPr>
          <w:sz w:val="24"/>
          <w:szCs w:val="24"/>
        </w:rPr>
        <w:t xml:space="preserve"> au cours de la première quinzaine et des eaux, </w:t>
      </w:r>
      <w:r w:rsidR="0081523C">
        <w:rPr>
          <w:sz w:val="24"/>
          <w:szCs w:val="24"/>
        </w:rPr>
        <w:t xml:space="preserve">des </w:t>
      </w:r>
      <w:r>
        <w:rPr>
          <w:sz w:val="24"/>
          <w:szCs w:val="24"/>
        </w:rPr>
        <w:t>boissons gazeuses</w:t>
      </w:r>
      <w:r w:rsidR="006F7A66">
        <w:rPr>
          <w:sz w:val="24"/>
          <w:szCs w:val="24"/>
        </w:rPr>
        <w:t xml:space="preserve"> (+25,2%)</w:t>
      </w:r>
      <w:r w:rsidR="0081523C">
        <w:rPr>
          <w:sz w:val="24"/>
          <w:szCs w:val="24"/>
        </w:rPr>
        <w:t xml:space="preserve"> et des laitues</w:t>
      </w:r>
      <w:r w:rsidR="006F7A66">
        <w:rPr>
          <w:sz w:val="24"/>
          <w:szCs w:val="24"/>
        </w:rPr>
        <w:t xml:space="preserve"> (+31%)</w:t>
      </w:r>
      <w:r w:rsidR="0081523C">
        <w:rPr>
          <w:sz w:val="24"/>
          <w:szCs w:val="24"/>
        </w:rPr>
        <w:t xml:space="preserve"> lors de la deuxième quinzaine. Les produits importés qui subissent ou continuent à subir un impact à la baisse sont les boissons alcoolisées</w:t>
      </w:r>
      <w:r w:rsidR="005D4188">
        <w:rPr>
          <w:sz w:val="24"/>
          <w:szCs w:val="24"/>
        </w:rPr>
        <w:t xml:space="preserve">   </w:t>
      </w:r>
      <w:r w:rsidR="0081523C">
        <w:rPr>
          <w:sz w:val="24"/>
          <w:szCs w:val="24"/>
        </w:rPr>
        <w:t>(-46,7%) et les farines et semoules (-29,4%) lors de la première moitié du mois sacré,</w:t>
      </w:r>
      <w:r w:rsidR="000E42F0" w:rsidRPr="000E42F0">
        <w:rPr>
          <w:szCs w:val="24"/>
        </w:rPr>
        <w:t xml:space="preserve"> </w:t>
      </w:r>
      <w:r w:rsidR="0081523C">
        <w:rPr>
          <w:sz w:val="24"/>
          <w:szCs w:val="24"/>
        </w:rPr>
        <w:t>et les vinaigres, les volailles</w:t>
      </w:r>
      <w:r w:rsidR="006F7A66">
        <w:rPr>
          <w:sz w:val="24"/>
          <w:szCs w:val="24"/>
        </w:rPr>
        <w:t>, les</w:t>
      </w:r>
      <w:r w:rsidR="0081523C">
        <w:rPr>
          <w:sz w:val="24"/>
          <w:szCs w:val="24"/>
        </w:rPr>
        <w:t xml:space="preserve"> poissons et crus</w:t>
      </w:r>
      <w:r w:rsidR="006F7A66">
        <w:rPr>
          <w:sz w:val="24"/>
          <w:szCs w:val="24"/>
        </w:rPr>
        <w:t>tacés lors de la seconde moitié.</w:t>
      </w:r>
    </w:p>
    <w:p w:rsidR="00F94C11" w:rsidRPr="005A54F6" w:rsidRDefault="00E66674" w:rsidP="001D15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Ces </w:t>
      </w:r>
      <w:r w:rsidR="007448E4">
        <w:rPr>
          <w:sz w:val="24"/>
          <w:szCs w:val="24"/>
        </w:rPr>
        <w:t>calculs</w:t>
      </w:r>
      <w:r>
        <w:rPr>
          <w:sz w:val="24"/>
          <w:szCs w:val="24"/>
        </w:rPr>
        <w:t xml:space="preserve"> restent corroborés par les résultats de l'enquête sur la consommation des ménages qui révèlent que</w:t>
      </w:r>
      <w:r w:rsidR="007448E4">
        <w:rPr>
          <w:sz w:val="24"/>
          <w:szCs w:val="24"/>
        </w:rPr>
        <w:t xml:space="preserve"> la consommation des ménages marocains pour certains produits alimentaires </w:t>
      </w:r>
      <w:proofErr w:type="gramStart"/>
      <w:r w:rsidR="007448E4">
        <w:rPr>
          <w:sz w:val="24"/>
          <w:szCs w:val="24"/>
        </w:rPr>
        <w:t>connaissent</w:t>
      </w:r>
      <w:proofErr w:type="gramEnd"/>
      <w:r w:rsidR="007448E4">
        <w:rPr>
          <w:sz w:val="24"/>
          <w:szCs w:val="24"/>
        </w:rPr>
        <w:t xml:space="preserve"> une augmentation significative au cours du mois de Ramadan, comparativement aux autres mois de l'année. Cette hausse concerne les jus, les boissons</w:t>
      </w:r>
      <w:r w:rsidR="004831F6">
        <w:rPr>
          <w:sz w:val="24"/>
          <w:szCs w:val="24"/>
        </w:rPr>
        <w:t xml:space="preserve">, le miel et les fruits (en particulier les dattes) </w:t>
      </w:r>
      <w:r w:rsidR="007448E4">
        <w:rPr>
          <w:sz w:val="24"/>
          <w:szCs w:val="24"/>
        </w:rPr>
        <w:t xml:space="preserve">qui font plus que doublé, les produits laitiers et dérivés (+51%), les </w:t>
      </w:r>
      <w:r w:rsidR="00CE1B2E">
        <w:rPr>
          <w:sz w:val="24"/>
          <w:szCs w:val="24"/>
        </w:rPr>
        <w:t>œufs</w:t>
      </w:r>
      <w:r w:rsidR="007448E4">
        <w:rPr>
          <w:sz w:val="24"/>
          <w:szCs w:val="24"/>
        </w:rPr>
        <w:t xml:space="preserve"> (+32,5%), les poissons (+30,8%) et les huiles et corps gras (+8,3%). Au contraire</w:t>
      </w:r>
      <w:r w:rsidR="0092004D">
        <w:rPr>
          <w:sz w:val="24"/>
          <w:szCs w:val="24"/>
        </w:rPr>
        <w:t xml:space="preserve">, d'autres </w:t>
      </w:r>
      <w:r w:rsidR="007448E4">
        <w:rPr>
          <w:sz w:val="24"/>
          <w:szCs w:val="24"/>
        </w:rPr>
        <w:t xml:space="preserve">produits </w:t>
      </w:r>
      <w:r w:rsidR="0092004D">
        <w:rPr>
          <w:sz w:val="24"/>
          <w:szCs w:val="24"/>
        </w:rPr>
        <w:t xml:space="preserve">consommés lors de ce mois </w:t>
      </w:r>
      <w:r w:rsidR="007448E4">
        <w:rPr>
          <w:sz w:val="24"/>
          <w:szCs w:val="24"/>
        </w:rPr>
        <w:t>connaissent un recul comme l</w:t>
      </w:r>
      <w:r w:rsidR="004831F6">
        <w:rPr>
          <w:sz w:val="24"/>
          <w:szCs w:val="24"/>
        </w:rPr>
        <w:t>a farine</w:t>
      </w:r>
      <w:r w:rsidR="0092004D">
        <w:rPr>
          <w:sz w:val="24"/>
          <w:szCs w:val="24"/>
        </w:rPr>
        <w:t xml:space="preserve"> (-</w:t>
      </w:r>
      <w:r w:rsidR="004831F6">
        <w:rPr>
          <w:sz w:val="24"/>
          <w:szCs w:val="24"/>
        </w:rPr>
        <w:t>2,1</w:t>
      </w:r>
      <w:r w:rsidR="0092004D">
        <w:rPr>
          <w:sz w:val="24"/>
          <w:szCs w:val="24"/>
        </w:rPr>
        <w:t>%).</w:t>
      </w:r>
    </w:p>
    <w:sectPr w:rsidR="00F94C11" w:rsidRPr="005A54F6" w:rsidSect="00996190">
      <w:headerReference w:type="default" r:id="rId13"/>
      <w:pgSz w:w="11906" w:h="16838"/>
      <w:pgMar w:top="851" w:right="1133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92" w:rsidRDefault="00831A92" w:rsidP="000E42F0">
      <w:pPr>
        <w:spacing w:before="0" w:after="0" w:line="240" w:lineRule="auto"/>
      </w:pPr>
      <w:r>
        <w:separator/>
      </w:r>
    </w:p>
  </w:endnote>
  <w:endnote w:type="continuationSeparator" w:id="0">
    <w:p w:rsidR="00831A92" w:rsidRDefault="00831A92" w:rsidP="000E42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92" w:rsidRDefault="00831A92" w:rsidP="000E42F0">
      <w:pPr>
        <w:spacing w:before="0" w:after="0" w:line="240" w:lineRule="auto"/>
      </w:pPr>
      <w:r>
        <w:separator/>
      </w:r>
    </w:p>
  </w:footnote>
  <w:footnote w:type="continuationSeparator" w:id="0">
    <w:p w:rsidR="00831A92" w:rsidRDefault="00831A92" w:rsidP="000E42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42" w:rsidRDefault="00BF5A42" w:rsidP="000E42F0">
    <w:pPr>
      <w:pStyle w:val="En-tte"/>
    </w:pPr>
  </w:p>
  <w:p w:rsidR="00BF5A42" w:rsidRDefault="00BF5A4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A54F6"/>
    <w:rsid w:val="000870AA"/>
    <w:rsid w:val="000E42F0"/>
    <w:rsid w:val="00105433"/>
    <w:rsid w:val="00110C01"/>
    <w:rsid w:val="00124C9E"/>
    <w:rsid w:val="001304A4"/>
    <w:rsid w:val="00132489"/>
    <w:rsid w:val="00176A5D"/>
    <w:rsid w:val="001A2F51"/>
    <w:rsid w:val="001D1503"/>
    <w:rsid w:val="001D2325"/>
    <w:rsid w:val="001E0880"/>
    <w:rsid w:val="001F71A0"/>
    <w:rsid w:val="00216290"/>
    <w:rsid w:val="00283ABF"/>
    <w:rsid w:val="002B7F6D"/>
    <w:rsid w:val="002D4EF4"/>
    <w:rsid w:val="00307C44"/>
    <w:rsid w:val="003531C2"/>
    <w:rsid w:val="00354E20"/>
    <w:rsid w:val="00362583"/>
    <w:rsid w:val="003D62CC"/>
    <w:rsid w:val="003E7FED"/>
    <w:rsid w:val="004031D8"/>
    <w:rsid w:val="004272AE"/>
    <w:rsid w:val="004831F6"/>
    <w:rsid w:val="00494BDC"/>
    <w:rsid w:val="00516414"/>
    <w:rsid w:val="0053651C"/>
    <w:rsid w:val="0056745E"/>
    <w:rsid w:val="005828F7"/>
    <w:rsid w:val="005A5024"/>
    <w:rsid w:val="005A54F6"/>
    <w:rsid w:val="005C0035"/>
    <w:rsid w:val="005D4188"/>
    <w:rsid w:val="005E00DD"/>
    <w:rsid w:val="00636A6E"/>
    <w:rsid w:val="00666AEB"/>
    <w:rsid w:val="006857E5"/>
    <w:rsid w:val="006A0B46"/>
    <w:rsid w:val="006A7784"/>
    <w:rsid w:val="006C0546"/>
    <w:rsid w:val="006E3E84"/>
    <w:rsid w:val="006F7A66"/>
    <w:rsid w:val="0071076A"/>
    <w:rsid w:val="00710E31"/>
    <w:rsid w:val="0072347E"/>
    <w:rsid w:val="00725844"/>
    <w:rsid w:val="007448E4"/>
    <w:rsid w:val="00765365"/>
    <w:rsid w:val="007A1866"/>
    <w:rsid w:val="0081523C"/>
    <w:rsid w:val="00831A92"/>
    <w:rsid w:val="00854BA4"/>
    <w:rsid w:val="008B652A"/>
    <w:rsid w:val="008C60EB"/>
    <w:rsid w:val="008C660D"/>
    <w:rsid w:val="0090764B"/>
    <w:rsid w:val="0092004D"/>
    <w:rsid w:val="00934A0B"/>
    <w:rsid w:val="009565E7"/>
    <w:rsid w:val="00964873"/>
    <w:rsid w:val="00977172"/>
    <w:rsid w:val="00981DFC"/>
    <w:rsid w:val="00985CAB"/>
    <w:rsid w:val="0099358C"/>
    <w:rsid w:val="00996190"/>
    <w:rsid w:val="009B73CC"/>
    <w:rsid w:val="009E18DB"/>
    <w:rsid w:val="00A435B9"/>
    <w:rsid w:val="00A80417"/>
    <w:rsid w:val="00AB58B1"/>
    <w:rsid w:val="00AC4AB1"/>
    <w:rsid w:val="00B106CB"/>
    <w:rsid w:val="00B14243"/>
    <w:rsid w:val="00B27F48"/>
    <w:rsid w:val="00B41719"/>
    <w:rsid w:val="00BA0762"/>
    <w:rsid w:val="00BA2795"/>
    <w:rsid w:val="00BB00BB"/>
    <w:rsid w:val="00BB7B81"/>
    <w:rsid w:val="00BC0EEF"/>
    <w:rsid w:val="00BD7121"/>
    <w:rsid w:val="00BF5A42"/>
    <w:rsid w:val="00C073E4"/>
    <w:rsid w:val="00CB00EA"/>
    <w:rsid w:val="00CC0646"/>
    <w:rsid w:val="00CC39B2"/>
    <w:rsid w:val="00CE1B2E"/>
    <w:rsid w:val="00D3633D"/>
    <w:rsid w:val="00D844A9"/>
    <w:rsid w:val="00DF0A2B"/>
    <w:rsid w:val="00DF6841"/>
    <w:rsid w:val="00E27FEC"/>
    <w:rsid w:val="00E40FFF"/>
    <w:rsid w:val="00E51690"/>
    <w:rsid w:val="00E66674"/>
    <w:rsid w:val="00E769B7"/>
    <w:rsid w:val="00E96B8B"/>
    <w:rsid w:val="00EB0C8C"/>
    <w:rsid w:val="00EC5573"/>
    <w:rsid w:val="00EF0BE3"/>
    <w:rsid w:val="00F04FE3"/>
    <w:rsid w:val="00F928F2"/>
    <w:rsid w:val="00F94C11"/>
    <w:rsid w:val="00F971C0"/>
    <w:rsid w:val="00FA52AF"/>
    <w:rsid w:val="00FE37A4"/>
    <w:rsid w:val="00FF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63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3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42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2F0"/>
  </w:style>
  <w:style w:type="paragraph" w:styleId="Pieddepage">
    <w:name w:val="footer"/>
    <w:basedOn w:val="Normal"/>
    <w:link w:val="PieddepageCar"/>
    <w:uiPriority w:val="99"/>
    <w:semiHidden/>
    <w:unhideWhenUsed/>
    <w:rsid w:val="000E42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4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effet%20ramadan\graphiqu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33230604795090407"/>
          <c:y val="0.14437363528088387"/>
          <c:w val="0.56222888805565951"/>
          <c:h val="0.70832747469066382"/>
        </c:manualLayout>
      </c:layout>
      <c:barChart>
        <c:barDir val="bar"/>
        <c:grouping val="clustered"/>
        <c:ser>
          <c:idx val="0"/>
          <c:order val="0"/>
          <c:tx>
            <c:strRef>
              <c:f>'[output_global_import_ram (version 1).xlsx]synthèse (3)'!$N$21</c:f>
              <c:strCache>
                <c:ptCount val="1"/>
                <c:pt idx="0">
                  <c:v>m-2</c:v>
                </c:pt>
              </c:strCache>
            </c:strRef>
          </c:tx>
          <c:spPr>
            <a:solidFill>
              <a:srgbClr val="F8A968"/>
            </a:solidFill>
          </c:spPr>
          <c:cat>
            <c:strRef>
              <c:f>'[output_global_import_ram (version 1).xlsx]synthèse (3)'!$M$22:$M$36</c:f>
              <c:strCache>
                <c:ptCount val="15"/>
                <c:pt idx="0">
                  <c:v>Laitues</c:v>
                </c:pt>
                <c:pt idx="1">
                  <c:v>Boissons alcoolisées</c:v>
                </c:pt>
                <c:pt idx="2">
                  <c:v>Volailles</c:v>
                </c:pt>
                <c:pt idx="3">
                  <c:v>Poissons, crustacés, mollusques</c:v>
                </c:pt>
                <c:pt idx="4">
                  <c:v>Crustacés</c:v>
                </c:pt>
                <c:pt idx="5">
                  <c:v>Farines et semoules</c:v>
                </c:pt>
                <c:pt idx="6">
                  <c:v>Vinaigres</c:v>
                </c:pt>
                <c:pt idx="7">
                  <c:v>Jus de fruits</c:v>
                </c:pt>
                <c:pt idx="8">
                  <c:v>Huiles et graisses</c:v>
                </c:pt>
                <c:pt idx="9">
                  <c:v>Eaux et boissons gazeuses</c:v>
                </c:pt>
                <c:pt idx="10">
                  <c:v>Fruits frais et secs</c:v>
                </c:pt>
                <c:pt idx="11">
                  <c:v>Laits</c:v>
                </c:pt>
                <c:pt idx="12">
                  <c:v>Préparations de légumes et de fruits</c:v>
                </c:pt>
                <c:pt idx="13">
                  <c:v>Lait et dérivés, oeufs</c:v>
                </c:pt>
                <c:pt idx="14">
                  <c:v>Miel</c:v>
                </c:pt>
              </c:strCache>
            </c:strRef>
          </c:cat>
          <c:val>
            <c:numRef>
              <c:f>'[output_global_import_ram (version 1).xlsx]synthèse (3)'!$N$22:$N$36</c:f>
              <c:numCache>
                <c:formatCode>General</c:formatCode>
                <c:ptCount val="15"/>
                <c:pt idx="0" formatCode="0">
                  <c:v>-22.689062494504046</c:v>
                </c:pt>
                <c:pt idx="10" formatCode="0">
                  <c:v>17.166056881742989</c:v>
                </c:pt>
                <c:pt idx="11" formatCode="0">
                  <c:v>23.774867740428984</c:v>
                </c:pt>
                <c:pt idx="12" formatCode="0">
                  <c:v>15.533055963689321</c:v>
                </c:pt>
                <c:pt idx="13" formatCode="0">
                  <c:v>25.39517409893066</c:v>
                </c:pt>
                <c:pt idx="14" formatCode="0">
                  <c:v>111.93746935028426</c:v>
                </c:pt>
              </c:numCache>
            </c:numRef>
          </c:val>
        </c:ser>
        <c:ser>
          <c:idx val="1"/>
          <c:order val="1"/>
          <c:tx>
            <c:strRef>
              <c:f>'[output_global_import_ram (version 1).xlsx]synthèse (3)'!$O$21</c:f>
              <c:strCache>
                <c:ptCount val="1"/>
                <c:pt idx="0">
                  <c:v>m-1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'[output_global_import_ram (version 1).xlsx]synthèse (3)'!$M$22:$M$36</c:f>
              <c:strCache>
                <c:ptCount val="15"/>
                <c:pt idx="0">
                  <c:v>Laitues</c:v>
                </c:pt>
                <c:pt idx="1">
                  <c:v>Boissons alcoolisées</c:v>
                </c:pt>
                <c:pt idx="2">
                  <c:v>Volailles</c:v>
                </c:pt>
                <c:pt idx="3">
                  <c:v>Poissons, crustacés, mollusques</c:v>
                </c:pt>
                <c:pt idx="4">
                  <c:v>Crustacés</c:v>
                </c:pt>
                <c:pt idx="5">
                  <c:v>Farines et semoules</c:v>
                </c:pt>
                <c:pt idx="6">
                  <c:v>Vinaigres</c:v>
                </c:pt>
                <c:pt idx="7">
                  <c:v>Jus de fruits</c:v>
                </c:pt>
                <c:pt idx="8">
                  <c:v>Huiles et graisses</c:v>
                </c:pt>
                <c:pt idx="9">
                  <c:v>Eaux et boissons gazeuses</c:v>
                </c:pt>
                <c:pt idx="10">
                  <c:v>Fruits frais et secs</c:v>
                </c:pt>
                <c:pt idx="11">
                  <c:v>Laits</c:v>
                </c:pt>
                <c:pt idx="12">
                  <c:v>Préparations de légumes et de fruits</c:v>
                </c:pt>
                <c:pt idx="13">
                  <c:v>Lait et dérivés, oeufs</c:v>
                </c:pt>
                <c:pt idx="14">
                  <c:v>Miel</c:v>
                </c:pt>
              </c:strCache>
            </c:strRef>
          </c:cat>
          <c:val>
            <c:numRef>
              <c:f>'[output_global_import_ram (version 1).xlsx]synthèse (3)'!$O$22:$O$36</c:f>
              <c:numCache>
                <c:formatCode>0</c:formatCode>
                <c:ptCount val="15"/>
                <c:pt idx="1">
                  <c:v>-53.960939108153887</c:v>
                </c:pt>
                <c:pt idx="2">
                  <c:v>-17.317897617143394</c:v>
                </c:pt>
                <c:pt idx="7">
                  <c:v>42.254570013279931</c:v>
                </c:pt>
                <c:pt idx="8">
                  <c:v>26.465905699186202</c:v>
                </c:pt>
                <c:pt idx="9">
                  <c:v>59.01782518908999</c:v>
                </c:pt>
                <c:pt idx="10">
                  <c:v>44.59765418972389</c:v>
                </c:pt>
                <c:pt idx="12">
                  <c:v>12.978766786958843</c:v>
                </c:pt>
                <c:pt idx="13">
                  <c:v>19.926054204773813</c:v>
                </c:pt>
                <c:pt idx="14">
                  <c:v>142.42091581272305</c:v>
                </c:pt>
              </c:numCache>
            </c:numRef>
          </c:val>
        </c:ser>
        <c:ser>
          <c:idx val="2"/>
          <c:order val="2"/>
          <c:tx>
            <c:strRef>
              <c:f>'[output_global_import_ram (version 1).xlsx]synthèse (3)'!$P$21</c:f>
              <c:strCache>
                <c:ptCount val="1"/>
                <c:pt idx="0">
                  <c:v>R1</c:v>
                </c:pt>
              </c:strCache>
            </c:strRef>
          </c:tx>
          <c:spPr>
            <a:solidFill>
              <a:srgbClr val="33CCCC"/>
            </a:solidFill>
          </c:spPr>
          <c:cat>
            <c:strRef>
              <c:f>'[output_global_import_ram (version 1).xlsx]synthèse (3)'!$M$22:$M$36</c:f>
              <c:strCache>
                <c:ptCount val="15"/>
                <c:pt idx="0">
                  <c:v>Laitues</c:v>
                </c:pt>
                <c:pt idx="1">
                  <c:v>Boissons alcoolisées</c:v>
                </c:pt>
                <c:pt idx="2">
                  <c:v>Volailles</c:v>
                </c:pt>
                <c:pt idx="3">
                  <c:v>Poissons, crustacés, mollusques</c:v>
                </c:pt>
                <c:pt idx="4">
                  <c:v>Crustacés</c:v>
                </c:pt>
                <c:pt idx="5">
                  <c:v>Farines et semoules</c:v>
                </c:pt>
                <c:pt idx="6">
                  <c:v>Vinaigres</c:v>
                </c:pt>
                <c:pt idx="7">
                  <c:v>Jus de fruits</c:v>
                </c:pt>
                <c:pt idx="8">
                  <c:v>Huiles et graisses</c:v>
                </c:pt>
                <c:pt idx="9">
                  <c:v>Eaux et boissons gazeuses</c:v>
                </c:pt>
                <c:pt idx="10">
                  <c:v>Fruits frais et secs</c:v>
                </c:pt>
                <c:pt idx="11">
                  <c:v>Laits</c:v>
                </c:pt>
                <c:pt idx="12">
                  <c:v>Préparations de légumes et de fruits</c:v>
                </c:pt>
                <c:pt idx="13">
                  <c:v>Lait et dérivés, oeufs</c:v>
                </c:pt>
                <c:pt idx="14">
                  <c:v>Miel</c:v>
                </c:pt>
              </c:strCache>
            </c:strRef>
          </c:cat>
          <c:val>
            <c:numRef>
              <c:f>'[output_global_import_ram (version 1).xlsx]synthèse (3)'!$P$22:$P$36</c:f>
              <c:numCache>
                <c:formatCode>0</c:formatCode>
                <c:ptCount val="15"/>
                <c:pt idx="0">
                  <c:v>-34.072110754187108</c:v>
                </c:pt>
                <c:pt idx="1">
                  <c:v>-46.709654163862503</c:v>
                </c:pt>
                <c:pt idx="4">
                  <c:v>11.325687362407411</c:v>
                </c:pt>
                <c:pt idx="5">
                  <c:v>-29.381566867986088</c:v>
                </c:pt>
                <c:pt idx="7">
                  <c:v>32.290494209077863</c:v>
                </c:pt>
                <c:pt idx="10">
                  <c:v>28.980316305113526</c:v>
                </c:pt>
                <c:pt idx="11">
                  <c:v>41.800709207672128</c:v>
                </c:pt>
                <c:pt idx="13">
                  <c:v>15.784527906775351</c:v>
                </c:pt>
              </c:numCache>
            </c:numRef>
          </c:val>
        </c:ser>
        <c:ser>
          <c:idx val="3"/>
          <c:order val="3"/>
          <c:tx>
            <c:strRef>
              <c:f>'[output_global_import_ram (version 1).xlsx]synthèse (3)'!$Q$21</c:f>
              <c:strCache>
                <c:ptCount val="1"/>
                <c:pt idx="0">
                  <c:v>R2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'[output_global_import_ram (version 1).xlsx]synthèse (3)'!$M$22:$M$36</c:f>
              <c:strCache>
                <c:ptCount val="15"/>
                <c:pt idx="0">
                  <c:v>Laitues</c:v>
                </c:pt>
                <c:pt idx="1">
                  <c:v>Boissons alcoolisées</c:v>
                </c:pt>
                <c:pt idx="2">
                  <c:v>Volailles</c:v>
                </c:pt>
                <c:pt idx="3">
                  <c:v>Poissons, crustacés, mollusques</c:v>
                </c:pt>
                <c:pt idx="4">
                  <c:v>Crustacés</c:v>
                </c:pt>
                <c:pt idx="5">
                  <c:v>Farines et semoules</c:v>
                </c:pt>
                <c:pt idx="6">
                  <c:v>Vinaigres</c:v>
                </c:pt>
                <c:pt idx="7">
                  <c:v>Jus de fruits</c:v>
                </c:pt>
                <c:pt idx="8">
                  <c:v>Huiles et graisses</c:v>
                </c:pt>
                <c:pt idx="9">
                  <c:v>Eaux et boissons gazeuses</c:v>
                </c:pt>
                <c:pt idx="10">
                  <c:v>Fruits frais et secs</c:v>
                </c:pt>
                <c:pt idx="11">
                  <c:v>Laits</c:v>
                </c:pt>
                <c:pt idx="12">
                  <c:v>Préparations de légumes et de fruits</c:v>
                </c:pt>
                <c:pt idx="13">
                  <c:v>Lait et dérivés, oeufs</c:v>
                </c:pt>
                <c:pt idx="14">
                  <c:v>Miel</c:v>
                </c:pt>
              </c:strCache>
            </c:strRef>
          </c:cat>
          <c:val>
            <c:numRef>
              <c:f>'[output_global_import_ram (version 1).xlsx]synthèse (3)'!$Q$22:$Q$36</c:f>
              <c:numCache>
                <c:formatCode>General</c:formatCode>
                <c:ptCount val="15"/>
                <c:pt idx="0" formatCode="0">
                  <c:v>30.964340343437204</c:v>
                </c:pt>
                <c:pt idx="2" formatCode="0">
                  <c:v>-20.334336205071509</c:v>
                </c:pt>
                <c:pt idx="3" formatCode="0">
                  <c:v>-12.191752799165666</c:v>
                </c:pt>
                <c:pt idx="4" formatCode="0">
                  <c:v>-13.298426754155068</c:v>
                </c:pt>
                <c:pt idx="6" formatCode="0">
                  <c:v>-23.983644285313517</c:v>
                </c:pt>
                <c:pt idx="9" formatCode="0">
                  <c:v>25.17164909768973</c:v>
                </c:pt>
              </c:numCache>
            </c:numRef>
          </c:val>
        </c:ser>
        <c:gapWidth val="42"/>
        <c:axId val="161479680"/>
        <c:axId val="219566848"/>
      </c:barChart>
      <c:catAx>
        <c:axId val="161479680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bg1">
                      <a:lumMod val="5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prstDash val="sysDash"/>
            </a:ln>
          </c:spPr>
        </c:majorGridlines>
        <c:tickLblPos val="low"/>
        <c:txPr>
          <a:bodyPr/>
          <a:lstStyle/>
          <a:p>
            <a:pPr>
              <a:defRPr sz="900" b="1"/>
            </a:pPr>
            <a:endParaRPr lang="fr-FR"/>
          </a:p>
        </c:txPr>
        <c:crossAx val="219566848"/>
        <c:crosses val="autoZero"/>
        <c:auto val="1"/>
        <c:lblAlgn val="ctr"/>
        <c:lblOffset val="100"/>
      </c:catAx>
      <c:valAx>
        <c:axId val="219566848"/>
        <c:scaling>
          <c:orientation val="minMax"/>
          <c:max val="160"/>
          <c:min val="-80"/>
        </c:scaling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sysDash"/>
            </a:ln>
          </c:spPr>
        </c:majorGridlines>
        <c:numFmt formatCode="0" sourceLinked="1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61479680"/>
        <c:crosses val="autoZero"/>
        <c:crossBetween val="between"/>
        <c:majorUnit val="40"/>
      </c:valAx>
      <c:spPr>
        <a:ln>
          <a:solidFill>
            <a:schemeClr val="bg1">
              <a:lumMod val="50000"/>
            </a:schemeClr>
          </a:solidFill>
        </a:ln>
      </c:spPr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0.13782</cdr:x>
      <cdr:y>0.01292</cdr:y>
    </cdr:from>
    <cdr:to>
      <cdr:x>0.96212</cdr:x>
      <cdr:y>0.10989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827034" y="76027"/>
          <a:ext cx="4946431" cy="5708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fr-FR" sz="1100" b="1"/>
            <a:t>Figure 2 : Evaluation des effets du</a:t>
          </a:r>
          <a:r>
            <a:rPr lang="fr-FR" sz="1100" b="1" baseline="0"/>
            <a:t> mois de Ramadan et de ses préparatifs sur les importations des produits alimentaires (en %)</a:t>
          </a:r>
          <a:endParaRPr lang="fr-FR" sz="1100" b="1"/>
        </a:p>
      </cdr:txBody>
    </cdr:sp>
  </cdr:relSizeAnchor>
  <cdr:relSizeAnchor xmlns:cdr="http://schemas.openxmlformats.org/drawingml/2006/chartDrawing">
    <cdr:from>
      <cdr:x>0.01746</cdr:x>
      <cdr:y>0.89606</cdr:y>
    </cdr:from>
    <cdr:to>
      <cdr:x>0.9873</cdr:x>
      <cdr:y>0.98667</cdr:y>
    </cdr:to>
    <cdr:sp macro="" textlink="">
      <cdr:nvSpPr>
        <cdr:cNvPr id="3" name="ZoneTexte 2"/>
        <cdr:cNvSpPr txBox="1"/>
      </cdr:nvSpPr>
      <cdr:spPr>
        <a:xfrm xmlns:a="http://schemas.openxmlformats.org/drawingml/2006/main">
          <a:off x="104774" y="5120973"/>
          <a:ext cx="5819775" cy="5178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>
            <a:spcAft>
              <a:spcPts val="300"/>
            </a:spcAft>
          </a:pPr>
          <a:r>
            <a:rPr lang="fr-FR" sz="900"/>
            <a:t>Source : Estimations et calculs HCP à partir des données de l'OC.</a:t>
          </a:r>
        </a:p>
        <a:p xmlns:a="http://schemas.openxmlformats.org/drawingml/2006/main">
          <a:r>
            <a:rPr lang="fr-FR" sz="900" b="1">
              <a:latin typeface="+mn-lt"/>
              <a:ea typeface="+mn-ea"/>
              <a:cs typeface="+mn-cs"/>
            </a:rPr>
            <a:t>R1</a:t>
          </a:r>
          <a:r>
            <a:rPr lang="fr-FR" sz="900">
              <a:latin typeface="+mn-lt"/>
              <a:ea typeface="+mn-ea"/>
              <a:cs typeface="+mn-cs"/>
            </a:rPr>
            <a:t> : 1ère</a:t>
          </a:r>
          <a:r>
            <a:rPr lang="fr-FR" sz="900" baseline="0">
              <a:latin typeface="+mn-lt"/>
              <a:ea typeface="+mn-ea"/>
              <a:cs typeface="+mn-cs"/>
            </a:rPr>
            <a:t> quinzaine du Ramadan     </a:t>
          </a:r>
          <a:r>
            <a:rPr lang="fr-FR" sz="900" b="1" baseline="0">
              <a:latin typeface="+mn-lt"/>
              <a:ea typeface="+mn-ea"/>
              <a:cs typeface="+mn-cs"/>
            </a:rPr>
            <a:t>R2</a:t>
          </a:r>
          <a:r>
            <a:rPr lang="fr-FR" sz="900" baseline="0">
              <a:latin typeface="+mn-lt"/>
              <a:ea typeface="+mn-ea"/>
              <a:cs typeface="+mn-cs"/>
            </a:rPr>
            <a:t> : 2ème quinzaine du Ramadan   </a:t>
          </a:r>
          <a:endParaRPr lang="fr-FR" sz="600"/>
        </a:p>
        <a:p xmlns:a="http://schemas.openxmlformats.org/drawingml/2006/main">
          <a:r>
            <a:rPr lang="fr-FR" sz="900" b="1" baseline="0">
              <a:latin typeface="+mn-lt"/>
              <a:ea typeface="+mn-ea"/>
              <a:cs typeface="+mn-cs"/>
            </a:rPr>
            <a:t>m-1</a:t>
          </a:r>
          <a:r>
            <a:rPr lang="fr-FR" sz="900" baseline="0">
              <a:latin typeface="+mn-lt"/>
              <a:ea typeface="+mn-ea"/>
              <a:cs typeface="+mn-cs"/>
            </a:rPr>
            <a:t> : mois 1 précédant le Ramadan  </a:t>
          </a:r>
          <a:r>
            <a:rPr lang="fr-FR" sz="900" b="1" baseline="0">
              <a:latin typeface="+mn-lt"/>
              <a:ea typeface="+mn-ea"/>
              <a:cs typeface="+mn-cs"/>
            </a:rPr>
            <a:t>m-2</a:t>
          </a:r>
          <a:r>
            <a:rPr lang="fr-FR" sz="900" baseline="0">
              <a:latin typeface="+mn-lt"/>
              <a:ea typeface="+mn-ea"/>
              <a:cs typeface="+mn-cs"/>
            </a:rPr>
            <a:t> : mois 2 précédant le Ramadan   </a:t>
          </a:r>
          <a:endParaRPr lang="fr-FR" sz="600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EF14-FF85-4EEA-AC7B-D1F436FB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</cp:revision>
  <cp:lastPrinted>2017-06-20T12:40:00Z</cp:lastPrinted>
  <dcterms:created xsi:type="dcterms:W3CDTF">2017-06-20T13:36:00Z</dcterms:created>
  <dcterms:modified xsi:type="dcterms:W3CDTF">2017-06-20T13:36:00Z</dcterms:modified>
</cp:coreProperties>
</file>