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453F1C" w:rsidP="002A7221">
      <w:r w:rsidRPr="00453F1C">
        <w:rPr>
          <w:rFonts w:eastAsia="Arial Unicode MS"/>
          <w:noProof/>
        </w:rPr>
        <w:pict>
          <v:shape id="_x0000_s1133" type="#_x0000_t75" style="position:absolute;margin-left:394.45pt;margin-top:-7.15pt;width:92.1pt;height:50.05pt;z-index:251658752" wrapcoords="-106 0 -106 21308 21600 21308 21600 0 -106 0">
            <v:imagedata r:id="rId8" o:title=""/>
            <w10:wrap type="tight"/>
          </v:shape>
          <o:OLEObject Type="Embed" ProgID="PBrush" ShapeID="_x0000_s1133" DrawAspect="Content" ObjectID="_1559372891" r:id="rId9"/>
        </w:pict>
      </w:r>
      <w:r>
        <w:rPr>
          <w:noProof/>
        </w:rPr>
        <w:pict>
          <v:group id="Group 5" o:spid="_x0000_s1026" style="position:absolute;margin-left:-129.45pt;margin-top:-12.45pt;width:910.15pt;height:205.35pt;z-index:251656704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38" type="#_x0000_t202" style="position:absolute;margin-left:-197.2pt;margin-top:-63.05pt;width:59.8pt;height:4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630C01" w:rsidRDefault="00630C01"/>
              </w:txbxContent>
            </v:textbox>
          </v:shape>
        </w:pic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453F1C" w:rsidP="003A2CE4">
      <w:pPr>
        <w:jc w:val="both"/>
      </w:pPr>
      <w:r>
        <w:rPr>
          <w:noProof/>
        </w:rPr>
        <w:pict>
          <v:shape id="Text Box 120" o:spid="_x0000_s1137" type="#_x0000_t202" style="position:absolute;left:0;text-align:left;margin-left:-19.15pt;margin-top:8.35pt;width:430.75pt;height:108.6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M+MKJwQIAAMQFAAAOAAAAAAAAAAAAAAAAAC4CAABkcnMvZTJvRG9jLnhtbFBLAQItABQA&#10;BgAIAAAAIQDVSptm4QAAAAoBAAAPAAAAAAAAAAAAAAAAABsFAABkcnMvZG93bnJldi54bWxQSwUG&#10;AAAAAAQABADzAAAAKQYAAAAA&#10;" filled="f" stroked="f" strokecolor="#e36c0a" strokeweight="1.5pt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630C01" w:rsidRDefault="00630C01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453F1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453F1C">
        <w:rPr>
          <w:noProof/>
        </w:rPr>
        <w:pict>
          <v:shape id="Text Box 108" o:spid="_x0000_s1136" type="#_x0000_t202" style="position:absolute;left:0;text-align:left;margin-left:350.65pt;margin-top:27.85pt;width:143.1pt;height:2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630C01" w:rsidRPr="00305B12" w:rsidRDefault="00D20556" w:rsidP="0003724A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Juin</w:t>
                  </w:r>
                  <w:r w:rsidR="00630C01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 w:rsidR="00630C01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7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453F1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453F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-4pt;margin-top:15.35pt;width:497.75pt;height:0;z-index:251661824;visibility:visible;mso-wrap-distance-top:-19e-5mm;mso-wrap-distance-bottom:-19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453F1C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453F1C">
        <w:rPr>
          <w:noProof/>
        </w:rPr>
        <w:pict>
          <v:shape id="Text Box 138" o:spid="_x0000_s1134" type="#_x0000_t202" style="position:absolute;left:0;text-align:left;margin-left:13.05pt;margin-top:3.65pt;width:462.15pt;height:75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" fillcolor="#fbd4b4">
            <v:textbox>
              <w:txbxContent>
                <w:p w:rsidR="00630C01" w:rsidRDefault="00630C01" w:rsidP="00FE158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D20556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D20556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7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D20556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D20556" w:rsidRPr="008F7BA4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D20556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="00CE05B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D20556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D20556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</w:p>
    <w:p w:rsidR="003A2CE4" w:rsidRPr="00F03C7C" w:rsidRDefault="00006861" w:rsidP="00D20556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Appréciation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D20556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premier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D20556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EF3025" w:rsidRPr="00CE05B3" w:rsidRDefault="002C77E0" w:rsidP="00B05478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3499485</wp:posOffset>
            </wp:positionH>
            <wp:positionV relativeFrom="margin">
              <wp:posOffset>5118735</wp:posOffset>
            </wp:positionV>
            <wp:extent cx="2994660" cy="2536190"/>
            <wp:effectExtent l="0" t="0" r="1905" b="3175"/>
            <wp:wrapSquare wrapText="bothSides"/>
            <wp:docPr id="117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C2F2B">
        <w:rPr>
          <w:rFonts w:eastAsia="Arial Unicode MS"/>
          <w:sz w:val="22"/>
          <w:szCs w:val="22"/>
        </w:rPr>
        <w:t>L</w:t>
      </w:r>
      <w:r w:rsidR="002A1960" w:rsidRPr="00D310C6">
        <w:rPr>
          <w:rFonts w:eastAsia="Arial Unicode MS"/>
          <w:sz w:val="22"/>
          <w:szCs w:val="22"/>
        </w:rPr>
        <w:t xml:space="preserve">a production </w:t>
      </w:r>
      <w:r w:rsidR="002A1960" w:rsidRPr="00D310C6">
        <w:rPr>
          <w:rFonts w:eastAsia="Arial Unicode MS"/>
          <w:b/>
          <w:bCs/>
          <w:color w:val="660033"/>
          <w:sz w:val="22"/>
          <w:szCs w:val="22"/>
        </w:rPr>
        <w:t xml:space="preserve">industrielle manufacturière </w:t>
      </w:r>
      <w:r w:rsidR="002A1960" w:rsidRPr="00D310C6">
        <w:rPr>
          <w:rFonts w:eastAsia="Arial Unicode MS"/>
          <w:sz w:val="22"/>
          <w:szCs w:val="22"/>
        </w:rPr>
        <w:t>aurait</w:t>
      </w:r>
      <w:r w:rsidR="00FE1581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connu</w:t>
      </w:r>
      <w:r w:rsidR="008C2F2B">
        <w:rPr>
          <w:rFonts w:eastAsia="Arial Unicode MS"/>
          <w:sz w:val="22"/>
          <w:szCs w:val="22"/>
        </w:rPr>
        <w:t>, a</w:t>
      </w:r>
      <w:r w:rsidR="008C2F2B" w:rsidRPr="00D310C6">
        <w:rPr>
          <w:rFonts w:eastAsia="Arial Unicode MS"/>
          <w:sz w:val="22"/>
          <w:szCs w:val="22"/>
        </w:rPr>
        <w:t>u</w:t>
      </w:r>
      <w:r w:rsidR="00FE1581">
        <w:rPr>
          <w:rFonts w:eastAsia="Arial Unicode MS"/>
          <w:sz w:val="22"/>
          <w:szCs w:val="22"/>
        </w:rPr>
        <w:t xml:space="preserve"> </w:t>
      </w:r>
      <w:r w:rsidR="001D6F2D">
        <w:rPr>
          <w:rFonts w:eastAsia="Arial Unicode MS"/>
          <w:sz w:val="22"/>
          <w:szCs w:val="22"/>
        </w:rPr>
        <w:t>premier</w:t>
      </w:r>
      <w:r w:rsidR="00FE1581">
        <w:rPr>
          <w:rFonts w:eastAsia="Arial Unicode MS"/>
          <w:sz w:val="22"/>
          <w:szCs w:val="22"/>
        </w:rPr>
        <w:t xml:space="preserve"> </w:t>
      </w:r>
      <w:r w:rsidR="008C2F2B" w:rsidRPr="00D310C6">
        <w:rPr>
          <w:rFonts w:eastAsia="Arial Unicode MS"/>
          <w:sz w:val="22"/>
          <w:szCs w:val="22"/>
        </w:rPr>
        <w:t>trimestre 201</w:t>
      </w:r>
      <w:r w:rsidR="001D6F2D">
        <w:rPr>
          <w:rFonts w:eastAsia="Arial Unicode MS"/>
          <w:sz w:val="22"/>
          <w:szCs w:val="22"/>
        </w:rPr>
        <w:t>7</w:t>
      </w:r>
      <w:r w:rsidR="00FE1581" w:rsidRPr="00D310C6">
        <w:rPr>
          <w:rFonts w:eastAsia="Arial Unicode MS"/>
          <w:sz w:val="22"/>
          <w:szCs w:val="22"/>
        </w:rPr>
        <w:t>, une</w:t>
      </w:r>
      <w:r w:rsidR="002A1960" w:rsidRPr="00D310C6">
        <w:rPr>
          <w:rFonts w:eastAsia="Arial Unicode MS"/>
          <w:sz w:val="22"/>
          <w:szCs w:val="22"/>
        </w:rPr>
        <w:t xml:space="preserve"> </w:t>
      </w:r>
      <w:r w:rsidR="001D6F2D">
        <w:rPr>
          <w:rFonts w:eastAsia="Arial Unicode MS"/>
          <w:sz w:val="22"/>
          <w:szCs w:val="22"/>
        </w:rPr>
        <w:t>stabilité</w:t>
      </w:r>
      <w:r w:rsidR="0047730A" w:rsidRPr="00D310C6">
        <w:rPr>
          <w:rFonts w:eastAsia="Arial Unicode MS"/>
          <w:sz w:val="22"/>
          <w:szCs w:val="22"/>
        </w:rPr>
        <w:t xml:space="preserve"> selon 4</w:t>
      </w:r>
      <w:r w:rsidR="00446B5D">
        <w:rPr>
          <w:rFonts w:eastAsia="Arial Unicode MS"/>
          <w:sz w:val="22"/>
          <w:szCs w:val="22"/>
        </w:rPr>
        <w:t>4</w:t>
      </w:r>
      <w:r w:rsidR="0047730A" w:rsidRPr="00D310C6">
        <w:rPr>
          <w:rFonts w:eastAsia="Arial Unicode MS"/>
          <w:sz w:val="22"/>
          <w:szCs w:val="22"/>
        </w:rPr>
        <w:t xml:space="preserve">% des </w:t>
      </w:r>
      <w:r w:rsidR="00446B5D">
        <w:rPr>
          <w:rFonts w:eastAsia="Arial Unicode MS"/>
          <w:sz w:val="22"/>
          <w:szCs w:val="22"/>
        </w:rPr>
        <w:t>industriel</w:t>
      </w:r>
      <w:r w:rsidR="0047730A" w:rsidRPr="00D310C6">
        <w:rPr>
          <w:rFonts w:eastAsia="Arial Unicode MS"/>
          <w:sz w:val="22"/>
          <w:szCs w:val="22"/>
        </w:rPr>
        <w:t>s</w:t>
      </w:r>
      <w:r w:rsidR="00446B5D">
        <w:rPr>
          <w:rFonts w:eastAsia="Arial Unicode MS"/>
          <w:sz w:val="22"/>
          <w:szCs w:val="22"/>
        </w:rPr>
        <w:t>, une baisse selon 32% et une augmentation selon 24%</w:t>
      </w:r>
      <w:r w:rsidR="001D6F2D">
        <w:rPr>
          <w:rFonts w:eastAsia="Arial Unicode MS"/>
          <w:sz w:val="22"/>
          <w:szCs w:val="22"/>
        </w:rPr>
        <w:t>.</w:t>
      </w:r>
      <w:r w:rsidR="0047730A" w:rsidRPr="00D310C6">
        <w:rPr>
          <w:rFonts w:eastAsia="Arial Unicode MS"/>
          <w:sz w:val="22"/>
          <w:szCs w:val="22"/>
        </w:rPr>
        <w:t xml:space="preserve"> </w:t>
      </w:r>
      <w:r w:rsidR="0047730A" w:rsidRPr="00CE05B3">
        <w:rPr>
          <w:rFonts w:eastAsia="Arial Unicode MS"/>
          <w:sz w:val="22"/>
          <w:szCs w:val="22"/>
        </w:rPr>
        <w:t xml:space="preserve">Cette </w:t>
      </w:r>
      <w:r w:rsidR="00F70AC7" w:rsidRPr="00CE05B3">
        <w:rPr>
          <w:rFonts w:eastAsia="Arial Unicode MS"/>
          <w:sz w:val="22"/>
          <w:szCs w:val="22"/>
        </w:rPr>
        <w:t>évoluti</w:t>
      </w:r>
      <w:r w:rsidR="00446B5D" w:rsidRPr="00CE05B3">
        <w:rPr>
          <w:rFonts w:eastAsia="Arial Unicode MS"/>
          <w:sz w:val="22"/>
          <w:szCs w:val="22"/>
        </w:rPr>
        <w:t>on</w:t>
      </w:r>
      <w:r w:rsidR="00C926FE" w:rsidRPr="00CE05B3">
        <w:rPr>
          <w:rFonts w:eastAsia="Arial Unicode MS"/>
          <w:sz w:val="22"/>
          <w:szCs w:val="22"/>
        </w:rPr>
        <w:t xml:space="preserve"> </w:t>
      </w:r>
      <w:r w:rsidR="0033541E" w:rsidRPr="00CE05B3">
        <w:rPr>
          <w:rFonts w:eastAsia="Arial Unicode MS"/>
          <w:sz w:val="22"/>
          <w:szCs w:val="22"/>
        </w:rPr>
        <w:t>aurait été</w:t>
      </w:r>
      <w:r w:rsidR="00C926FE" w:rsidRPr="00CE05B3">
        <w:rPr>
          <w:rFonts w:eastAsia="Arial Unicode MS"/>
          <w:sz w:val="22"/>
          <w:szCs w:val="22"/>
        </w:rPr>
        <w:t xml:space="preserve"> </w:t>
      </w:r>
      <w:r w:rsidR="008C2F2B" w:rsidRPr="00CE05B3">
        <w:rPr>
          <w:rFonts w:eastAsia="Arial Unicode MS"/>
          <w:sz w:val="22"/>
          <w:szCs w:val="22"/>
        </w:rPr>
        <w:t xml:space="preserve">le résultat </w:t>
      </w:r>
      <w:r w:rsidR="00C926FE" w:rsidRPr="00CE05B3">
        <w:rPr>
          <w:rFonts w:eastAsia="Arial Unicode MS"/>
          <w:sz w:val="22"/>
          <w:szCs w:val="22"/>
        </w:rPr>
        <w:t xml:space="preserve">d’une augmentation de la </w:t>
      </w:r>
      <w:r w:rsidR="00BD29DA">
        <w:rPr>
          <w:rFonts w:eastAsia="Arial Unicode MS"/>
          <w:sz w:val="22"/>
          <w:szCs w:val="22"/>
        </w:rPr>
        <w:t>production dans les</w:t>
      </w:r>
      <w:r w:rsidR="00C926FE" w:rsidRPr="00CE05B3">
        <w:rPr>
          <w:rFonts w:eastAsia="Arial Unicode MS"/>
          <w:sz w:val="22"/>
          <w:szCs w:val="22"/>
        </w:rPr>
        <w:t xml:space="preserve"> branche</w:t>
      </w:r>
      <w:r w:rsidR="00BD29DA">
        <w:rPr>
          <w:rFonts w:eastAsia="Arial Unicode MS"/>
          <w:sz w:val="22"/>
          <w:szCs w:val="22"/>
        </w:rPr>
        <w:t>s</w:t>
      </w:r>
      <w:r w:rsidR="00C926FE" w:rsidRPr="00CE05B3">
        <w:rPr>
          <w:rFonts w:eastAsia="Arial Unicode MS"/>
          <w:sz w:val="22"/>
          <w:szCs w:val="22"/>
        </w:rPr>
        <w:t xml:space="preserve"> des</w:t>
      </w:r>
      <w:r w:rsidR="00CE05B3" w:rsidRPr="00CE05B3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«Industries alimentaires»</w:t>
      </w:r>
      <w:r w:rsidR="00DA02A1">
        <w:rPr>
          <w:rFonts w:eastAsia="Arial Unicode MS"/>
          <w:sz w:val="22"/>
          <w:szCs w:val="22"/>
        </w:rPr>
        <w:t xml:space="preserve"> </w:t>
      </w:r>
      <w:r w:rsidR="00B05478">
        <w:rPr>
          <w:rFonts w:eastAsia="Arial Unicode MS"/>
          <w:sz w:val="22"/>
          <w:szCs w:val="22"/>
        </w:rPr>
        <w:t xml:space="preserve">et </w:t>
      </w:r>
      <w:r w:rsidR="00BD29DA">
        <w:rPr>
          <w:rFonts w:eastAsia="Arial Unicode MS"/>
          <w:sz w:val="22"/>
          <w:szCs w:val="22"/>
        </w:rPr>
        <w:t xml:space="preserve">de </w:t>
      </w:r>
      <w:r w:rsidR="00DA02A1">
        <w:rPr>
          <w:rFonts w:eastAsia="Arial Unicode MS"/>
          <w:sz w:val="22"/>
          <w:szCs w:val="22"/>
        </w:rPr>
        <w:t xml:space="preserve">la «fabrication </w:t>
      </w:r>
      <w:r w:rsidR="00B05478">
        <w:rPr>
          <w:rFonts w:eastAsia="Arial Unicode MS"/>
          <w:sz w:val="22"/>
          <w:szCs w:val="22"/>
        </w:rPr>
        <w:t>d’autres matériels de transport</w:t>
      </w:r>
      <w:r w:rsidR="00DA02A1">
        <w:rPr>
          <w:rFonts w:eastAsia="Arial Unicode MS"/>
          <w:sz w:val="22"/>
          <w:szCs w:val="22"/>
        </w:rPr>
        <w:t>»,</w:t>
      </w:r>
      <w:r w:rsidR="00C926FE" w:rsidRPr="00CE05B3">
        <w:rPr>
          <w:rFonts w:eastAsia="Arial Unicode MS"/>
          <w:sz w:val="22"/>
          <w:szCs w:val="22"/>
        </w:rPr>
        <w:t xml:space="preserve"> d’une part, et </w:t>
      </w:r>
      <w:r w:rsidR="008C2F2B" w:rsidRPr="00CE05B3">
        <w:rPr>
          <w:rFonts w:eastAsia="Arial Unicode MS"/>
          <w:sz w:val="22"/>
          <w:szCs w:val="22"/>
        </w:rPr>
        <w:t>d’</w:t>
      </w:r>
      <w:r w:rsidR="0033541E" w:rsidRPr="00CE05B3">
        <w:rPr>
          <w:rFonts w:eastAsia="Arial Unicode MS"/>
          <w:sz w:val="22"/>
          <w:szCs w:val="22"/>
        </w:rPr>
        <w:t xml:space="preserve">une </w:t>
      </w:r>
      <w:r w:rsidR="00446B5D" w:rsidRPr="00CE05B3">
        <w:rPr>
          <w:rFonts w:eastAsia="Arial Unicode MS"/>
          <w:sz w:val="22"/>
          <w:szCs w:val="22"/>
        </w:rPr>
        <w:t>baisse</w:t>
      </w:r>
      <w:r w:rsidR="0033541E" w:rsidRPr="00CE05B3">
        <w:rPr>
          <w:rFonts w:eastAsia="Arial Unicode MS"/>
          <w:sz w:val="22"/>
          <w:szCs w:val="22"/>
        </w:rPr>
        <w:t xml:space="preserve"> de la</w:t>
      </w:r>
      <w:r w:rsidR="00C926FE" w:rsidRPr="00CE05B3">
        <w:rPr>
          <w:rFonts w:eastAsia="Arial Unicode MS"/>
          <w:sz w:val="22"/>
          <w:szCs w:val="22"/>
        </w:rPr>
        <w:t xml:space="preserve"> production dans les branches </w:t>
      </w:r>
      <w:r w:rsidR="00B05478" w:rsidRPr="00CE05B3">
        <w:rPr>
          <w:rFonts w:eastAsia="Arial Unicode MS"/>
          <w:sz w:val="22"/>
          <w:szCs w:val="22"/>
        </w:rPr>
        <w:t>de la « Fabrication de produits à base de tabac»</w:t>
      </w:r>
      <w:r w:rsidR="00B05478">
        <w:rPr>
          <w:rFonts w:eastAsia="Arial Unicode MS"/>
          <w:sz w:val="22"/>
          <w:szCs w:val="22"/>
        </w:rPr>
        <w:t xml:space="preserve"> et de l’</w:t>
      </w:r>
      <w:r w:rsidR="00EF3025" w:rsidRPr="00CE05B3">
        <w:rPr>
          <w:rFonts w:eastAsia="Arial Unicode MS"/>
          <w:sz w:val="22"/>
          <w:szCs w:val="22"/>
        </w:rPr>
        <w:t>«</w:t>
      </w:r>
      <w:r w:rsidR="00B05478">
        <w:rPr>
          <w:rFonts w:eastAsia="Arial Unicode MS"/>
          <w:sz w:val="22"/>
          <w:szCs w:val="22"/>
        </w:rPr>
        <w:t>Industrie chimique</w:t>
      </w:r>
      <w:r w:rsidR="00EF3025" w:rsidRPr="00CE05B3">
        <w:rPr>
          <w:rFonts w:eastAsia="Arial Unicode MS"/>
          <w:sz w:val="22"/>
          <w:szCs w:val="22"/>
        </w:rPr>
        <w:t>»</w:t>
      </w:r>
      <w:r w:rsidR="00446B5D" w:rsidRPr="00CE05B3">
        <w:rPr>
          <w:rFonts w:eastAsia="Arial Unicode MS"/>
          <w:sz w:val="22"/>
          <w:szCs w:val="22"/>
        </w:rPr>
        <w:t xml:space="preserve"> </w:t>
      </w:r>
      <w:r w:rsidR="00EF0B38" w:rsidRPr="00CE05B3">
        <w:rPr>
          <w:rFonts w:eastAsia="Arial Unicode MS"/>
          <w:sz w:val="22"/>
          <w:szCs w:val="22"/>
        </w:rPr>
        <w:t>d’autre part</w:t>
      </w:r>
      <w:r w:rsidR="002E446D" w:rsidRPr="00CE05B3">
        <w:rPr>
          <w:rFonts w:eastAsia="Arial Unicode MS"/>
          <w:sz w:val="22"/>
          <w:szCs w:val="22"/>
        </w:rPr>
        <w:t>.</w:t>
      </w:r>
    </w:p>
    <w:p w:rsidR="00F05668" w:rsidRDefault="0038590B" w:rsidP="001F0CEF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D310C6">
        <w:rPr>
          <w:rFonts w:eastAsia="Arial Unicode MS"/>
          <w:sz w:val="22"/>
          <w:szCs w:val="22"/>
        </w:rPr>
        <w:t xml:space="preserve">Les carnets de commandes du secteur </w:t>
      </w:r>
      <w:r w:rsidR="00A075CB">
        <w:rPr>
          <w:rFonts w:eastAsia="Arial Unicode MS"/>
          <w:sz w:val="22"/>
          <w:szCs w:val="22"/>
        </w:rPr>
        <w:t>ont été</w:t>
      </w:r>
      <w:r w:rsidRPr="00D310C6">
        <w:rPr>
          <w:rFonts w:eastAsia="Arial Unicode MS"/>
          <w:sz w:val="22"/>
          <w:szCs w:val="22"/>
        </w:rPr>
        <w:t xml:space="preserve"> jugés d’un niveau normal par </w:t>
      </w:r>
      <w:r w:rsidR="00EF3025">
        <w:rPr>
          <w:rFonts w:eastAsia="Arial Unicode MS"/>
          <w:sz w:val="22"/>
          <w:szCs w:val="22"/>
        </w:rPr>
        <w:t>7</w:t>
      </w:r>
      <w:r w:rsidR="00446B5D">
        <w:rPr>
          <w:rFonts w:eastAsia="Arial Unicode MS"/>
          <w:sz w:val="22"/>
          <w:szCs w:val="22"/>
        </w:rPr>
        <w:t>4</w:t>
      </w:r>
      <w:r w:rsidRPr="00D310C6">
        <w:rPr>
          <w:rFonts w:eastAsia="Arial Unicode MS"/>
          <w:sz w:val="22"/>
          <w:szCs w:val="22"/>
        </w:rPr>
        <w:t xml:space="preserve">% des chefs d’entreprises et </w:t>
      </w:r>
      <w:r w:rsidR="00DF27E6" w:rsidRPr="00D310C6">
        <w:rPr>
          <w:rFonts w:eastAsia="Arial Unicode MS"/>
          <w:sz w:val="22"/>
          <w:szCs w:val="22"/>
        </w:rPr>
        <w:t>inférieur à la normale</w:t>
      </w:r>
      <w:r w:rsidRPr="00D310C6">
        <w:rPr>
          <w:rFonts w:eastAsia="Arial Unicode MS"/>
          <w:sz w:val="22"/>
          <w:szCs w:val="22"/>
        </w:rPr>
        <w:t xml:space="preserve"> par </w:t>
      </w:r>
      <w:r w:rsidR="001F0CEF">
        <w:rPr>
          <w:rFonts w:eastAsia="Arial Unicode MS"/>
          <w:sz w:val="22"/>
          <w:szCs w:val="22"/>
        </w:rPr>
        <w:t>23</w:t>
      </w:r>
      <w:r w:rsidRPr="00D310C6">
        <w:rPr>
          <w:rFonts w:eastAsia="Arial Unicode MS"/>
          <w:sz w:val="22"/>
          <w:szCs w:val="22"/>
        </w:rPr>
        <w:t xml:space="preserve">%. </w:t>
      </w:r>
      <w:r w:rsidR="00A77B5D" w:rsidRPr="00D310C6">
        <w:rPr>
          <w:rFonts w:eastAsia="Arial Unicode MS"/>
          <w:sz w:val="22"/>
          <w:szCs w:val="22"/>
        </w:rPr>
        <w:t>L’</w:t>
      </w:r>
      <w:r w:rsidRPr="00D310C6">
        <w:rPr>
          <w:rFonts w:eastAsia="Arial Unicode MS"/>
          <w:sz w:val="22"/>
          <w:szCs w:val="22"/>
        </w:rPr>
        <w:t>emploi</w:t>
      </w:r>
      <w:r w:rsidR="00CE05B3"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aurait</w:t>
      </w:r>
      <w:r w:rsidR="002F7B54" w:rsidRPr="00D310C6">
        <w:rPr>
          <w:rFonts w:eastAsia="Arial Unicode MS"/>
          <w:sz w:val="22"/>
          <w:szCs w:val="22"/>
        </w:rPr>
        <w:t xml:space="preserve">, selon </w:t>
      </w:r>
      <w:r w:rsidR="006D4D06">
        <w:rPr>
          <w:rFonts w:eastAsia="Arial Unicode MS"/>
          <w:sz w:val="22"/>
          <w:szCs w:val="22"/>
        </w:rPr>
        <w:t>49</w:t>
      </w:r>
      <w:r w:rsidR="002F7B54" w:rsidRPr="00D310C6">
        <w:rPr>
          <w:rFonts w:eastAsia="Arial Unicode MS"/>
          <w:sz w:val="22"/>
          <w:szCs w:val="22"/>
        </w:rPr>
        <w:t>% des patrons,</w:t>
      </w:r>
      <w:r w:rsidRPr="00D310C6">
        <w:rPr>
          <w:rFonts w:eastAsia="Arial Unicode MS"/>
          <w:sz w:val="22"/>
          <w:szCs w:val="22"/>
        </w:rPr>
        <w:t xml:space="preserve"> connu une </w:t>
      </w:r>
      <w:r w:rsidR="006D4D06">
        <w:rPr>
          <w:rFonts w:eastAsia="Arial Unicode MS"/>
          <w:sz w:val="22"/>
          <w:szCs w:val="22"/>
        </w:rPr>
        <w:t>stabilité</w:t>
      </w:r>
      <w:r w:rsidR="00EF3025">
        <w:rPr>
          <w:rFonts w:eastAsia="Arial Unicode MS"/>
          <w:sz w:val="22"/>
          <w:szCs w:val="22"/>
        </w:rPr>
        <w:t xml:space="preserve"> et</w:t>
      </w:r>
      <w:r w:rsidR="00373B71">
        <w:rPr>
          <w:rFonts w:eastAsia="Arial Unicode MS"/>
          <w:sz w:val="22"/>
          <w:szCs w:val="22"/>
        </w:rPr>
        <w:t>,</w:t>
      </w:r>
      <w:r w:rsidR="00EF3025">
        <w:rPr>
          <w:rFonts w:eastAsia="Arial Unicode MS"/>
          <w:sz w:val="22"/>
          <w:szCs w:val="22"/>
        </w:rPr>
        <w:t xml:space="preserve"> selon </w:t>
      </w:r>
      <w:r w:rsidR="006D4D06">
        <w:rPr>
          <w:rFonts w:eastAsia="Arial Unicode MS"/>
          <w:sz w:val="22"/>
          <w:szCs w:val="22"/>
        </w:rPr>
        <w:t>2</w:t>
      </w:r>
      <w:r w:rsidR="00EF3025">
        <w:rPr>
          <w:rFonts w:eastAsia="Arial Unicode MS"/>
          <w:sz w:val="22"/>
          <w:szCs w:val="22"/>
        </w:rPr>
        <w:t>8% des patrons</w:t>
      </w:r>
      <w:r w:rsidR="00373B71">
        <w:rPr>
          <w:rFonts w:eastAsia="Arial Unicode MS"/>
          <w:sz w:val="22"/>
          <w:szCs w:val="22"/>
        </w:rPr>
        <w:t>,</w:t>
      </w:r>
      <w:r w:rsidR="00CE05B3">
        <w:rPr>
          <w:rFonts w:eastAsia="Arial Unicode MS"/>
          <w:sz w:val="22"/>
          <w:szCs w:val="22"/>
        </w:rPr>
        <w:t xml:space="preserve"> </w:t>
      </w:r>
      <w:r w:rsidR="00373B71">
        <w:rPr>
          <w:rFonts w:eastAsia="Arial Unicode MS"/>
          <w:sz w:val="22"/>
          <w:szCs w:val="22"/>
        </w:rPr>
        <w:t>une baisse</w:t>
      </w:r>
      <w:r w:rsidRPr="00D310C6">
        <w:rPr>
          <w:rFonts w:eastAsia="Arial Unicode MS"/>
          <w:sz w:val="22"/>
          <w:szCs w:val="22"/>
        </w:rPr>
        <w:t xml:space="preserve">. </w:t>
      </w:r>
      <w:r w:rsidR="003832DA" w:rsidRPr="00D310C6">
        <w:rPr>
          <w:rFonts w:eastAsia="Arial Unicode MS"/>
          <w:sz w:val="22"/>
          <w:szCs w:val="22"/>
        </w:rPr>
        <w:t xml:space="preserve">Dans ce contexte, le taux d’utilisation de la capacité productive (TUC) </w:t>
      </w:r>
      <w:r w:rsidR="00207F60" w:rsidRPr="004A5769">
        <w:rPr>
          <w:rFonts w:eastAsia="Arial Unicode MS"/>
          <w:sz w:val="22"/>
          <w:szCs w:val="22"/>
        </w:rPr>
        <w:t>se se</w:t>
      </w:r>
      <w:r w:rsidR="005E5F58" w:rsidRPr="004A5769">
        <w:rPr>
          <w:rFonts w:eastAsia="Arial Unicode MS"/>
          <w:sz w:val="22"/>
          <w:szCs w:val="22"/>
        </w:rPr>
        <w:t xml:space="preserve">rait </w:t>
      </w:r>
      <w:r w:rsidR="00FA2ABB" w:rsidRPr="004A5769">
        <w:rPr>
          <w:rFonts w:eastAsia="Arial Unicode MS"/>
          <w:sz w:val="22"/>
          <w:szCs w:val="22"/>
        </w:rPr>
        <w:t>établi</w:t>
      </w:r>
      <w:r w:rsidR="00CE05B3">
        <w:rPr>
          <w:rFonts w:eastAsia="Arial Unicode MS"/>
          <w:sz w:val="22"/>
          <w:szCs w:val="22"/>
        </w:rPr>
        <w:t xml:space="preserve"> </w:t>
      </w:r>
      <w:r w:rsidR="002824C8" w:rsidRPr="00D310C6">
        <w:rPr>
          <w:rFonts w:eastAsia="Arial Unicode MS"/>
          <w:sz w:val="22"/>
          <w:szCs w:val="22"/>
        </w:rPr>
        <w:t>à 7</w:t>
      </w:r>
      <w:r w:rsidR="006D4D06">
        <w:rPr>
          <w:rFonts w:eastAsia="Arial Unicode MS"/>
          <w:sz w:val="22"/>
          <w:szCs w:val="22"/>
        </w:rPr>
        <w:t>6</w:t>
      </w:r>
      <w:r w:rsidR="002824C8" w:rsidRPr="00D310C6">
        <w:rPr>
          <w:rFonts w:eastAsia="Arial Unicode MS"/>
          <w:sz w:val="22"/>
          <w:szCs w:val="22"/>
        </w:rPr>
        <w:t>%</w:t>
      </w:r>
      <w:r w:rsidR="003832DA" w:rsidRPr="00D310C6">
        <w:rPr>
          <w:rFonts w:eastAsia="Arial Unicode MS"/>
          <w:sz w:val="22"/>
          <w:szCs w:val="22"/>
        </w:rPr>
        <w:t xml:space="preserve"> au </w:t>
      </w:r>
      <w:r w:rsidR="006D4D06">
        <w:rPr>
          <w:rFonts w:eastAsia="Arial Unicode MS"/>
          <w:sz w:val="22"/>
          <w:szCs w:val="22"/>
        </w:rPr>
        <w:t>1</w:t>
      </w:r>
      <w:r w:rsidR="006D4D06">
        <w:rPr>
          <w:rFonts w:eastAsia="Arial Unicode MS"/>
          <w:sz w:val="22"/>
          <w:szCs w:val="22"/>
          <w:vertAlign w:val="superscript"/>
        </w:rPr>
        <w:t>er</w:t>
      </w:r>
      <w:r w:rsidR="003832DA" w:rsidRPr="00D310C6">
        <w:rPr>
          <w:rFonts w:eastAsia="Arial Unicode MS"/>
          <w:sz w:val="22"/>
          <w:szCs w:val="22"/>
        </w:rPr>
        <w:t xml:space="preserve"> trimestre</w:t>
      </w:r>
      <w:r w:rsidR="00CE05B3">
        <w:rPr>
          <w:rFonts w:eastAsia="Arial Unicode MS"/>
          <w:sz w:val="22"/>
          <w:szCs w:val="22"/>
        </w:rPr>
        <w:t xml:space="preserve"> </w:t>
      </w:r>
      <w:r w:rsidR="002824C8" w:rsidRPr="00D310C6">
        <w:rPr>
          <w:rFonts w:eastAsia="Arial Unicode MS"/>
          <w:sz w:val="22"/>
          <w:szCs w:val="22"/>
        </w:rPr>
        <w:t>201</w:t>
      </w:r>
      <w:r w:rsidR="006D4D06">
        <w:rPr>
          <w:rFonts w:eastAsia="Arial Unicode MS"/>
          <w:sz w:val="22"/>
          <w:szCs w:val="22"/>
        </w:rPr>
        <w:t>7</w:t>
      </w:r>
      <w:r w:rsidR="00FA2ABB">
        <w:rPr>
          <w:rFonts w:eastAsia="Arial Unicode MS"/>
          <w:sz w:val="22"/>
          <w:szCs w:val="22"/>
        </w:rPr>
        <w:t>.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8590B" w:rsidRPr="00302676" w:rsidRDefault="002C77E0" w:rsidP="00CE05B3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3183890</wp:posOffset>
            </wp:positionH>
            <wp:positionV relativeFrom="margin">
              <wp:posOffset>-80645</wp:posOffset>
            </wp:positionV>
            <wp:extent cx="3256280" cy="2571750"/>
            <wp:effectExtent l="0" t="0" r="0" b="0"/>
            <wp:wrapSquare wrapText="bothSides"/>
            <wp:docPr id="116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8C2F2B">
        <w:rPr>
          <w:rFonts w:eastAsia="Arial Unicode MS"/>
          <w:sz w:val="22"/>
          <w:szCs w:val="22"/>
        </w:rPr>
        <w:t>L</w:t>
      </w:r>
      <w:r w:rsidR="00A15EDE">
        <w:rPr>
          <w:rFonts w:eastAsia="Arial Unicode MS"/>
          <w:sz w:val="22"/>
          <w:szCs w:val="22"/>
        </w:rPr>
        <w:t>a production du</w:t>
      </w:r>
      <w:r w:rsidR="008C2F2B">
        <w:rPr>
          <w:rFonts w:eastAsia="Arial Unicode MS"/>
          <w:sz w:val="22"/>
          <w:szCs w:val="22"/>
        </w:rPr>
        <w:t xml:space="preserve"> secteur </w:t>
      </w:r>
      <w:r w:rsidR="0038590B" w:rsidRPr="00302676">
        <w:rPr>
          <w:rFonts w:eastAsia="Arial Unicode MS"/>
          <w:sz w:val="22"/>
          <w:szCs w:val="22"/>
        </w:rPr>
        <w:t>de</w:t>
      </w:r>
      <w:r w:rsidR="00C926FE">
        <w:rPr>
          <w:rFonts w:eastAsia="Arial Unicode MS"/>
          <w:sz w:val="22"/>
          <w:szCs w:val="22"/>
        </w:rPr>
        <w:t xml:space="preserve"> </w:t>
      </w:r>
      <w:r w:rsidR="009C02DC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8C2F2B" w:rsidRPr="00B857E2">
        <w:rPr>
          <w:rFonts w:eastAsia="Arial Unicode MS"/>
          <w:sz w:val="22"/>
          <w:szCs w:val="22"/>
        </w:rPr>
        <w:t>,</w:t>
      </w:r>
      <w:r w:rsidR="00C926FE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 xml:space="preserve">aurait, </w:t>
      </w:r>
      <w:r w:rsidR="003E73AE" w:rsidRPr="00CE05B3">
        <w:rPr>
          <w:rFonts w:eastAsia="Arial Unicode MS"/>
          <w:sz w:val="22"/>
          <w:szCs w:val="22"/>
        </w:rPr>
        <w:t>de son côté,</w:t>
      </w:r>
      <w:r w:rsidR="00C926FE" w:rsidRPr="00CE05B3">
        <w:rPr>
          <w:rFonts w:eastAsia="Arial Unicode MS"/>
          <w:sz w:val="22"/>
          <w:szCs w:val="22"/>
        </w:rPr>
        <w:t xml:space="preserve"> affiché</w:t>
      </w:r>
      <w:r w:rsidR="0038590B" w:rsidRPr="00CE05B3">
        <w:rPr>
          <w:rFonts w:eastAsia="Arial Unicode MS"/>
          <w:sz w:val="22"/>
          <w:szCs w:val="22"/>
        </w:rPr>
        <w:t xml:space="preserve">, </w:t>
      </w:r>
      <w:r w:rsidR="00C926FE" w:rsidRPr="00CE05B3">
        <w:rPr>
          <w:rFonts w:eastAsia="Arial Unicode MS"/>
          <w:sz w:val="22"/>
          <w:szCs w:val="22"/>
        </w:rPr>
        <w:t xml:space="preserve">une augmentation </w:t>
      </w:r>
      <w:r w:rsidR="00EF0EC6" w:rsidRPr="00CE05B3">
        <w:rPr>
          <w:rFonts w:eastAsia="Arial Unicode MS"/>
          <w:sz w:val="22"/>
          <w:szCs w:val="22"/>
        </w:rPr>
        <w:t xml:space="preserve">selon </w:t>
      </w:r>
      <w:r w:rsidR="001631EF" w:rsidRPr="00CE05B3">
        <w:rPr>
          <w:rFonts w:eastAsia="Arial Unicode MS"/>
          <w:sz w:val="22"/>
          <w:szCs w:val="22"/>
        </w:rPr>
        <w:t>92</w:t>
      </w:r>
      <w:r w:rsidR="0063735A" w:rsidRPr="00CE05B3">
        <w:rPr>
          <w:rFonts w:eastAsia="Arial Unicode MS"/>
          <w:sz w:val="22"/>
          <w:szCs w:val="22"/>
        </w:rPr>
        <w:t>%</w:t>
      </w:r>
      <w:r w:rsidR="00EF0EC6" w:rsidRPr="00CE05B3">
        <w:rPr>
          <w:rFonts w:eastAsia="Arial Unicode MS"/>
          <w:sz w:val="22"/>
          <w:szCs w:val="22"/>
        </w:rPr>
        <w:t xml:space="preserve"> des patrons, </w:t>
      </w:r>
      <w:r w:rsidR="00C926FE" w:rsidRPr="00CE05B3">
        <w:rPr>
          <w:rFonts w:eastAsia="Arial Unicode MS"/>
          <w:sz w:val="22"/>
          <w:szCs w:val="22"/>
        </w:rPr>
        <w:t>attribuable</w:t>
      </w:r>
      <w:r w:rsidR="0038590B" w:rsidRPr="00CE05B3">
        <w:rPr>
          <w:rFonts w:eastAsia="Arial Unicode MS"/>
          <w:sz w:val="22"/>
          <w:szCs w:val="22"/>
        </w:rPr>
        <w:t>, en particulier, à</w:t>
      </w:r>
      <w:r w:rsidR="00CE05B3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1631EF">
        <w:rPr>
          <w:rFonts w:eastAsia="Arial Unicode MS"/>
          <w:sz w:val="22"/>
          <w:szCs w:val="22"/>
        </w:rPr>
        <w:t>hausse</w:t>
      </w:r>
      <w:r w:rsidR="00CE05B3">
        <w:rPr>
          <w:rFonts w:eastAsia="Arial Unicode MS"/>
          <w:sz w:val="22"/>
          <w:szCs w:val="22"/>
        </w:rPr>
        <w:t xml:space="preserve"> </w:t>
      </w:r>
      <w:r w:rsidR="00356D34" w:rsidRPr="00302676">
        <w:rPr>
          <w:rFonts w:eastAsia="Arial Unicode MS"/>
          <w:sz w:val="22"/>
          <w:szCs w:val="22"/>
        </w:rPr>
        <w:t>d</w:t>
      </w:r>
      <w:r w:rsidR="0038590B" w:rsidRPr="00302676">
        <w:rPr>
          <w:rFonts w:eastAsia="Arial Unicode MS"/>
          <w:sz w:val="22"/>
          <w:szCs w:val="22"/>
        </w:rPr>
        <w:t>e la production d</w:t>
      </w:r>
      <w:r w:rsidR="00A15EDE">
        <w:rPr>
          <w:rFonts w:eastAsia="Arial Unicode MS"/>
          <w:sz w:val="22"/>
          <w:szCs w:val="22"/>
        </w:rPr>
        <w:t>’</w:t>
      </w:r>
      <w:r w:rsidR="0038590B" w:rsidRPr="00302676">
        <w:rPr>
          <w:rFonts w:eastAsia="Arial Unicode MS"/>
          <w:sz w:val="22"/>
          <w:szCs w:val="22"/>
        </w:rPr>
        <w:t xml:space="preserve">«Autres industries extractives», dominée par </w:t>
      </w:r>
      <w:r w:rsidR="00356D34" w:rsidRPr="00302676">
        <w:rPr>
          <w:rFonts w:eastAsia="Arial Unicode MS"/>
          <w:sz w:val="22"/>
          <w:szCs w:val="22"/>
        </w:rPr>
        <w:t>l</w:t>
      </w:r>
      <w:r w:rsidR="0038590B" w:rsidRPr="00302676">
        <w:rPr>
          <w:rFonts w:eastAsia="Arial Unicode MS"/>
          <w:sz w:val="22"/>
          <w:szCs w:val="22"/>
        </w:rPr>
        <w:t xml:space="preserve">es phosphates. </w:t>
      </w:r>
    </w:p>
    <w:p w:rsidR="0038590B" w:rsidRPr="00302676" w:rsidRDefault="0038590B" w:rsidP="0038590B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  <w:sectPr w:rsidR="0038590B" w:rsidRPr="00302676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</w:p>
    <w:p w:rsidR="0038590B" w:rsidRPr="00490415" w:rsidRDefault="0038590B" w:rsidP="001631EF">
      <w:pPr>
        <w:spacing w:after="120" w:line="276" w:lineRule="auto"/>
        <w:ind w:left="-284"/>
        <w:jc w:val="both"/>
        <w:rPr>
          <w:rFonts w:eastAsia="Arial Unicode MS"/>
          <w:color w:val="FF0000"/>
          <w:sz w:val="22"/>
          <w:szCs w:val="22"/>
          <w:u w:val="single"/>
        </w:rPr>
      </w:pPr>
      <w:r w:rsidRPr="00302676">
        <w:rPr>
          <w:rFonts w:eastAsia="Arial Unicode MS"/>
          <w:sz w:val="22"/>
          <w:szCs w:val="22"/>
        </w:rPr>
        <w:t xml:space="preserve">La situation des carnets de commande </w:t>
      </w:r>
      <w:r w:rsidR="00011B92">
        <w:rPr>
          <w:rFonts w:eastAsia="Arial Unicode MS"/>
          <w:sz w:val="22"/>
          <w:szCs w:val="22"/>
        </w:rPr>
        <w:t>a été</w:t>
      </w:r>
      <w:r w:rsidRPr="00302676">
        <w:rPr>
          <w:rFonts w:eastAsia="Arial Unicode MS"/>
          <w:sz w:val="22"/>
          <w:szCs w:val="22"/>
        </w:rPr>
        <w:t xml:space="preserve">, par ailleurs, jugée d’un niveau normal par </w:t>
      </w:r>
      <w:r w:rsidR="00706C10">
        <w:rPr>
          <w:rFonts w:eastAsia="Arial Unicode MS"/>
          <w:sz w:val="22"/>
          <w:szCs w:val="22"/>
        </w:rPr>
        <w:t>9</w:t>
      </w:r>
      <w:r w:rsidR="001631EF">
        <w:rPr>
          <w:rFonts w:eastAsia="Arial Unicode MS"/>
          <w:sz w:val="22"/>
          <w:szCs w:val="22"/>
        </w:rPr>
        <w:t>8</w:t>
      </w:r>
      <w:r w:rsidR="00706C10">
        <w:rPr>
          <w:rFonts w:eastAsia="Arial Unicode MS"/>
          <w:sz w:val="22"/>
          <w:szCs w:val="22"/>
        </w:rPr>
        <w:t>%</w:t>
      </w:r>
      <w:r w:rsidRPr="00302676">
        <w:rPr>
          <w:rFonts w:eastAsia="Arial Unicode MS"/>
          <w:sz w:val="22"/>
          <w:szCs w:val="22"/>
        </w:rPr>
        <w:t xml:space="preserve"> des chefs d’entreprises de ce secteur. L’emploi</w:t>
      </w:r>
      <w:r w:rsidR="002A1960" w:rsidRPr="00302676">
        <w:rPr>
          <w:rFonts w:eastAsia="Arial Unicode MS"/>
          <w:sz w:val="22"/>
          <w:szCs w:val="22"/>
        </w:rPr>
        <w:t xml:space="preserve"> aurait</w:t>
      </w:r>
      <w:r w:rsidRPr="00302676">
        <w:rPr>
          <w:rFonts w:eastAsia="Arial Unicode MS"/>
          <w:sz w:val="22"/>
          <w:szCs w:val="22"/>
        </w:rPr>
        <w:t xml:space="preserve">, </w:t>
      </w:r>
      <w:r w:rsidR="003F0254" w:rsidRPr="00302676">
        <w:rPr>
          <w:rFonts w:eastAsia="Arial Unicode MS"/>
          <w:sz w:val="22"/>
          <w:szCs w:val="22"/>
        </w:rPr>
        <w:t xml:space="preserve">selon </w:t>
      </w:r>
      <w:r w:rsidR="001631EF">
        <w:rPr>
          <w:rFonts w:eastAsia="Arial Unicode MS"/>
          <w:sz w:val="22"/>
          <w:szCs w:val="22"/>
        </w:rPr>
        <w:t>91</w:t>
      </w:r>
      <w:r w:rsidR="0063735A">
        <w:rPr>
          <w:rFonts w:eastAsia="Arial Unicode MS"/>
          <w:sz w:val="22"/>
          <w:szCs w:val="22"/>
        </w:rPr>
        <w:t>%</w:t>
      </w:r>
      <w:r w:rsidR="003F0254" w:rsidRPr="00302676">
        <w:rPr>
          <w:rFonts w:eastAsia="Arial Unicode MS"/>
          <w:sz w:val="22"/>
          <w:szCs w:val="22"/>
        </w:rPr>
        <w:t xml:space="preserve"> des patrons</w:t>
      </w:r>
      <w:r w:rsidRPr="00302676">
        <w:rPr>
          <w:rFonts w:eastAsia="Arial Unicode MS"/>
          <w:sz w:val="22"/>
          <w:szCs w:val="22"/>
        </w:rPr>
        <w:t>, connu une stabilité</w:t>
      </w:r>
      <w:r w:rsidR="00CE05B3">
        <w:rPr>
          <w:rFonts w:eastAsia="Arial Unicode MS"/>
          <w:sz w:val="22"/>
          <w:szCs w:val="22"/>
        </w:rPr>
        <w:t xml:space="preserve"> </w:t>
      </w:r>
      <w:r w:rsidR="00EF0B38">
        <w:rPr>
          <w:rFonts w:eastAsia="Arial Unicode MS"/>
          <w:sz w:val="22"/>
          <w:szCs w:val="22"/>
        </w:rPr>
        <w:t>et le</w:t>
      </w:r>
      <w:r w:rsidR="00CE05B3">
        <w:rPr>
          <w:rFonts w:eastAsia="Arial Unicode MS"/>
          <w:sz w:val="22"/>
          <w:szCs w:val="22"/>
        </w:rPr>
        <w:t xml:space="preserve"> </w:t>
      </w:r>
      <w:r w:rsidRPr="004A5769">
        <w:rPr>
          <w:rFonts w:eastAsia="Arial Unicode MS"/>
          <w:sz w:val="22"/>
          <w:szCs w:val="22"/>
        </w:rPr>
        <w:t>TUC</w:t>
      </w:r>
      <w:r w:rsidR="00490415" w:rsidRPr="004A5769">
        <w:rPr>
          <w:rFonts w:eastAsia="Arial Unicode MS"/>
          <w:sz w:val="22"/>
          <w:szCs w:val="22"/>
        </w:rPr>
        <w:t xml:space="preserve"> se serait </w:t>
      </w:r>
      <w:r w:rsidRPr="004A5769">
        <w:rPr>
          <w:rFonts w:eastAsia="Arial Unicode MS"/>
          <w:sz w:val="22"/>
          <w:szCs w:val="22"/>
        </w:rPr>
        <w:t>établi</w:t>
      </w:r>
      <w:r w:rsidR="003F0254" w:rsidRPr="004A5769">
        <w:rPr>
          <w:rFonts w:eastAsia="Arial Unicode MS"/>
          <w:sz w:val="22"/>
          <w:szCs w:val="22"/>
        </w:rPr>
        <w:t xml:space="preserve"> à</w:t>
      </w:r>
      <w:r w:rsidR="00CE05B3">
        <w:rPr>
          <w:rFonts w:eastAsia="Arial Unicode MS"/>
          <w:sz w:val="22"/>
          <w:szCs w:val="22"/>
        </w:rPr>
        <w:t xml:space="preserve"> </w:t>
      </w:r>
      <w:r w:rsidR="001631EF">
        <w:rPr>
          <w:rFonts w:eastAsia="Arial Unicode MS"/>
          <w:sz w:val="22"/>
          <w:szCs w:val="22"/>
        </w:rPr>
        <w:t>75</w:t>
      </w:r>
      <w:r w:rsidRPr="004A5769">
        <w:rPr>
          <w:rFonts w:eastAsia="Arial Unicode MS"/>
          <w:sz w:val="22"/>
          <w:szCs w:val="22"/>
        </w:rPr>
        <w:t>%.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38590B" w:rsidRPr="00302676" w:rsidRDefault="00A15EDE" w:rsidP="00A1694E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color w:val="660033"/>
          <w:sz w:val="22"/>
          <w:szCs w:val="22"/>
        </w:rPr>
        <w:t>L</w:t>
      </w:r>
      <w:r w:rsidR="0038590B" w:rsidRPr="00302676">
        <w:rPr>
          <w:rFonts w:eastAsia="Arial Unicode MS"/>
          <w:b/>
          <w:bCs/>
          <w:color w:val="660033"/>
          <w:sz w:val="22"/>
          <w:szCs w:val="22"/>
        </w:rPr>
        <w:t>’industrie énergétique</w:t>
      </w:r>
      <w:r w:rsidR="00C926FE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aurait</w:t>
      </w:r>
      <w:r w:rsidR="00EF0EC6" w:rsidRPr="00302676">
        <w:rPr>
          <w:rFonts w:eastAsia="Arial Unicode MS"/>
          <w:sz w:val="22"/>
          <w:szCs w:val="22"/>
        </w:rPr>
        <w:t xml:space="preserve">, </w:t>
      </w:r>
      <w:r w:rsidR="008E04B8" w:rsidRPr="00302676">
        <w:rPr>
          <w:rFonts w:eastAsia="Arial Unicode MS"/>
          <w:sz w:val="22"/>
          <w:szCs w:val="22"/>
        </w:rPr>
        <w:t xml:space="preserve">selon </w:t>
      </w:r>
      <w:r w:rsidR="00A1694E">
        <w:rPr>
          <w:rFonts w:eastAsia="Arial Unicode MS"/>
          <w:sz w:val="22"/>
          <w:szCs w:val="22"/>
        </w:rPr>
        <w:t>80</w:t>
      </w:r>
      <w:r w:rsidR="0044734F">
        <w:rPr>
          <w:rFonts w:eastAsia="Arial Unicode MS"/>
          <w:sz w:val="22"/>
          <w:szCs w:val="22"/>
        </w:rPr>
        <w:t>%</w:t>
      </w:r>
      <w:r w:rsidR="008E04B8" w:rsidRPr="00302676">
        <w:rPr>
          <w:rFonts w:eastAsia="Arial Unicode MS"/>
          <w:sz w:val="22"/>
          <w:szCs w:val="22"/>
        </w:rPr>
        <w:t xml:space="preserve"> des chefs d’entreprises, </w:t>
      </w:r>
      <w:r>
        <w:rPr>
          <w:rFonts w:eastAsia="Arial Unicode MS"/>
          <w:sz w:val="22"/>
          <w:szCs w:val="22"/>
        </w:rPr>
        <w:t>connu</w:t>
      </w:r>
      <w:r w:rsidR="00C926FE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une</w:t>
      </w:r>
      <w:r w:rsidR="00A1694E">
        <w:rPr>
          <w:rFonts w:eastAsia="Arial Unicode MS"/>
          <w:sz w:val="22"/>
          <w:szCs w:val="22"/>
        </w:rPr>
        <w:t xml:space="preserve"> baisse</w:t>
      </w:r>
      <w:r w:rsidR="00C926FE">
        <w:rPr>
          <w:rFonts w:eastAsia="Arial Unicode MS"/>
          <w:sz w:val="22"/>
          <w:szCs w:val="22"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>due</w:t>
      </w:r>
      <w:r w:rsidR="00C926FE">
        <w:rPr>
          <w:rFonts w:eastAsia="Arial Unicode MS"/>
          <w:sz w:val="22"/>
          <w:szCs w:val="22"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 xml:space="preserve">à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A1694E">
        <w:rPr>
          <w:rFonts w:eastAsia="Arial Unicode MS"/>
          <w:sz w:val="22"/>
          <w:szCs w:val="22"/>
        </w:rPr>
        <w:t>diminution</w:t>
      </w:r>
      <w:r w:rsidR="00C926FE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de la </w:t>
      </w:r>
      <w:r w:rsidR="009831C0" w:rsidRPr="00302676">
        <w:rPr>
          <w:rFonts w:eastAsia="Arial Unicode MS"/>
          <w:sz w:val="22"/>
          <w:szCs w:val="22"/>
        </w:rPr>
        <w:t>«</w:t>
      </w:r>
      <w:r w:rsidR="009831C0">
        <w:rPr>
          <w:rFonts w:eastAsia="Arial Unicode MS"/>
          <w:sz w:val="22"/>
          <w:szCs w:val="22"/>
        </w:rPr>
        <w:t>P</w:t>
      </w:r>
      <w:r w:rsidR="0038590B" w:rsidRPr="00302676">
        <w:rPr>
          <w:rFonts w:eastAsia="Arial Unicode MS"/>
          <w:sz w:val="22"/>
          <w:szCs w:val="22"/>
        </w:rPr>
        <w:t>roduction et distribution</w:t>
      </w:r>
      <w:r w:rsidR="009E1CC2" w:rsidRPr="00302676">
        <w:rPr>
          <w:rFonts w:eastAsia="Arial Unicode MS"/>
          <w:sz w:val="22"/>
          <w:szCs w:val="22"/>
        </w:rPr>
        <w:t> </w:t>
      </w:r>
      <w:r w:rsidR="0038590B" w:rsidRPr="00302676">
        <w:rPr>
          <w:rFonts w:eastAsia="Arial Unicode MS"/>
          <w:sz w:val="22"/>
          <w:szCs w:val="22"/>
        </w:rPr>
        <w:t xml:space="preserve">d’électricité, de gaz, de vapeur et d’air conditionné ». </w:t>
      </w:r>
    </w:p>
    <w:p w:rsidR="0038590B" w:rsidRPr="00302676" w:rsidRDefault="00A94D3C" w:rsidP="00A1694E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La production</w:t>
      </w:r>
      <w:r w:rsidR="00C926FE">
        <w:rPr>
          <w:rFonts w:eastAsia="Arial Unicode MS"/>
          <w:sz w:val="22"/>
          <w:szCs w:val="22"/>
        </w:rPr>
        <w:t xml:space="preserve"> </w:t>
      </w:r>
      <w:r w:rsidRPr="0063735A">
        <w:rPr>
          <w:rFonts w:eastAsia="Arial Unicode MS"/>
          <w:sz w:val="22"/>
          <w:szCs w:val="22"/>
        </w:rPr>
        <w:t>de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l</w:t>
      </w:r>
      <w:r w:rsidR="0038590B" w:rsidRPr="00302676">
        <w:rPr>
          <w:rFonts w:eastAsia="Arial Unicode MS"/>
          <w:b/>
          <w:bCs/>
          <w:color w:val="660033"/>
          <w:sz w:val="22"/>
          <w:szCs w:val="22"/>
        </w:rPr>
        <w:t>’industrie environnementale</w:t>
      </w:r>
      <w:r w:rsidR="00C926FE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>aurait</w:t>
      </w:r>
      <w:r w:rsidR="00C926FE">
        <w:rPr>
          <w:rFonts w:eastAsia="Arial Unicode MS"/>
          <w:sz w:val="22"/>
          <w:szCs w:val="22"/>
        </w:rPr>
        <w:t xml:space="preserve"> </w:t>
      </w:r>
      <w:r w:rsidR="00C33D7F" w:rsidRPr="00302676">
        <w:rPr>
          <w:rFonts w:eastAsia="Arial Unicode MS"/>
          <w:sz w:val="22"/>
          <w:szCs w:val="22"/>
        </w:rPr>
        <w:t>enregistré</w:t>
      </w:r>
      <w:r w:rsidR="00C926FE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augmentation</w:t>
      </w:r>
      <w:r w:rsidR="00EF0EC6" w:rsidRPr="00302676">
        <w:rPr>
          <w:rFonts w:eastAsia="Arial Unicode MS"/>
          <w:sz w:val="22"/>
          <w:szCs w:val="22"/>
        </w:rPr>
        <w:t xml:space="preserve">, selon </w:t>
      </w:r>
      <w:r w:rsidR="0044734F">
        <w:rPr>
          <w:rFonts w:eastAsia="Arial Unicode MS"/>
          <w:sz w:val="22"/>
          <w:szCs w:val="22"/>
        </w:rPr>
        <w:t>9</w:t>
      </w:r>
      <w:r w:rsidR="00A1694E">
        <w:rPr>
          <w:rFonts w:eastAsia="Arial Unicode MS"/>
          <w:sz w:val="22"/>
          <w:szCs w:val="22"/>
        </w:rPr>
        <w:t>4</w:t>
      </w:r>
      <w:r w:rsidR="00EF0EC6" w:rsidRPr="00302676">
        <w:rPr>
          <w:rFonts w:eastAsia="Arial Unicode MS"/>
          <w:sz w:val="22"/>
          <w:szCs w:val="22"/>
        </w:rPr>
        <w:t xml:space="preserve">% des chefs d’entreprises, </w:t>
      </w:r>
      <w:r w:rsidR="0038590B" w:rsidRPr="00302676">
        <w:rPr>
          <w:rFonts w:eastAsia="Arial Unicode MS"/>
          <w:sz w:val="22"/>
          <w:szCs w:val="22"/>
        </w:rPr>
        <w:t xml:space="preserve">imputable </w:t>
      </w:r>
      <w:r w:rsidR="0044734F">
        <w:rPr>
          <w:rFonts w:eastAsia="Arial Unicode MS"/>
          <w:sz w:val="22"/>
          <w:szCs w:val="22"/>
        </w:rPr>
        <w:t>à une hausse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3F1A8D">
        <w:rPr>
          <w:rFonts w:eastAsia="Arial Unicode MS"/>
          <w:sz w:val="22"/>
          <w:szCs w:val="22"/>
        </w:rPr>
        <w:t>e l</w:t>
      </w:r>
      <w:r w:rsidR="00356D34" w:rsidRPr="00302676">
        <w:rPr>
          <w:rFonts w:eastAsia="Arial Unicode MS"/>
          <w:sz w:val="22"/>
          <w:szCs w:val="22"/>
        </w:rPr>
        <w:t xml:space="preserve">'activité du </w:t>
      </w:r>
      <w:r w:rsidR="0038590B" w:rsidRPr="00302676">
        <w:rPr>
          <w:rFonts w:eastAsia="Arial Unicode MS"/>
          <w:sz w:val="22"/>
          <w:szCs w:val="22"/>
        </w:rPr>
        <w:t xml:space="preserve">«Captage, traitement et distribution d’eau». </w:t>
      </w:r>
    </w:p>
    <w:p w:rsidR="009377FB" w:rsidRDefault="0038590B" w:rsidP="00AF3140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302676">
        <w:rPr>
          <w:rFonts w:eastAsia="Arial Unicode MS"/>
          <w:sz w:val="22"/>
          <w:szCs w:val="22"/>
        </w:rPr>
        <w:t xml:space="preserve">Les carnets de commandes </w:t>
      </w:r>
      <w:r w:rsidR="00011B92">
        <w:rPr>
          <w:rFonts w:eastAsia="Arial Unicode MS"/>
          <w:sz w:val="22"/>
          <w:szCs w:val="22"/>
        </w:rPr>
        <w:t>ont</w:t>
      </w:r>
      <w:r w:rsidRPr="00302676">
        <w:rPr>
          <w:rFonts w:eastAsia="Arial Unicode MS"/>
          <w:sz w:val="22"/>
          <w:szCs w:val="22"/>
        </w:rPr>
        <w:t xml:space="preserve"> été jugés d’un niveau normal par la </w:t>
      </w:r>
      <w:r w:rsidR="003E73AE" w:rsidRPr="003D46A9">
        <w:rPr>
          <w:rFonts w:eastAsia="Arial Unicode MS"/>
          <w:sz w:val="22"/>
          <w:szCs w:val="22"/>
        </w:rPr>
        <w:t>quasi-</w:t>
      </w:r>
      <w:r w:rsidR="00A1694E" w:rsidRPr="003D46A9">
        <w:rPr>
          <w:rFonts w:eastAsia="Arial Unicode MS"/>
          <w:sz w:val="22"/>
          <w:szCs w:val="22"/>
        </w:rPr>
        <w:t>totalité</w:t>
      </w:r>
      <w:r w:rsidR="00C926FE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des chefs d’entreprises des deux secteurs</w:t>
      </w:r>
      <w:r w:rsidR="00011B92">
        <w:rPr>
          <w:rFonts w:eastAsia="Arial Unicode MS"/>
          <w:sz w:val="22"/>
          <w:szCs w:val="22"/>
        </w:rPr>
        <w:t>,</w:t>
      </w:r>
      <w:r w:rsidRPr="00302676">
        <w:rPr>
          <w:rFonts w:eastAsia="Arial Unicode MS"/>
          <w:sz w:val="22"/>
          <w:szCs w:val="22"/>
        </w:rPr>
        <w:t xml:space="preserve"> énergétique et environnemental. </w:t>
      </w:r>
      <w:r w:rsidR="003F0254" w:rsidRPr="00302676">
        <w:rPr>
          <w:rFonts w:eastAsia="Arial Unicode MS"/>
          <w:sz w:val="22"/>
          <w:szCs w:val="22"/>
        </w:rPr>
        <w:t>L’e</w:t>
      </w:r>
      <w:r w:rsidRPr="00302676">
        <w:rPr>
          <w:rFonts w:eastAsia="Arial Unicode MS"/>
          <w:sz w:val="22"/>
          <w:szCs w:val="22"/>
        </w:rPr>
        <w:t>mploi</w:t>
      </w:r>
      <w:r w:rsidR="00C926FE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aurait</w:t>
      </w:r>
      <w:r w:rsidR="003F0254" w:rsidRPr="00302676">
        <w:rPr>
          <w:rFonts w:eastAsia="Arial Unicode MS"/>
          <w:sz w:val="22"/>
          <w:szCs w:val="22"/>
        </w:rPr>
        <w:t xml:space="preserve">, selon </w:t>
      </w:r>
      <w:r w:rsidR="00A1694E">
        <w:rPr>
          <w:rFonts w:eastAsia="Arial Unicode MS"/>
          <w:sz w:val="22"/>
          <w:szCs w:val="22"/>
        </w:rPr>
        <w:t>86</w:t>
      </w:r>
      <w:r w:rsidR="00317A9E">
        <w:rPr>
          <w:rFonts w:eastAsia="Arial Unicode MS"/>
          <w:sz w:val="22"/>
          <w:szCs w:val="22"/>
        </w:rPr>
        <w:t>%</w:t>
      </w:r>
      <w:r w:rsidR="003F0254" w:rsidRPr="00302676">
        <w:rPr>
          <w:rFonts w:eastAsia="Arial Unicode MS"/>
          <w:sz w:val="22"/>
          <w:szCs w:val="22"/>
        </w:rPr>
        <w:t xml:space="preserve"> des patrons du secteur énergétique</w:t>
      </w:r>
      <w:r w:rsidR="00A1694E">
        <w:rPr>
          <w:rFonts w:eastAsia="Arial Unicode MS"/>
          <w:sz w:val="22"/>
          <w:szCs w:val="22"/>
        </w:rPr>
        <w:t xml:space="preserve"> et 79% du secteur </w:t>
      </w:r>
      <w:r w:rsidR="00A1694E" w:rsidRPr="003D46A9">
        <w:rPr>
          <w:rFonts w:eastAsia="Arial Unicode MS"/>
          <w:sz w:val="22"/>
          <w:szCs w:val="22"/>
        </w:rPr>
        <w:t>environnemental</w:t>
      </w:r>
      <w:r w:rsidR="003E73AE" w:rsidRPr="003D46A9">
        <w:rPr>
          <w:rFonts w:eastAsia="Arial Unicode MS"/>
          <w:sz w:val="22"/>
          <w:szCs w:val="22"/>
        </w:rPr>
        <w:t>,</w:t>
      </w:r>
      <w:r w:rsidR="00C926FE">
        <w:rPr>
          <w:rFonts w:eastAsia="Arial Unicode MS"/>
          <w:sz w:val="22"/>
          <w:szCs w:val="22"/>
        </w:rPr>
        <w:t xml:space="preserve"> </w:t>
      </w:r>
      <w:r w:rsidR="00921E8C" w:rsidRPr="003D46A9">
        <w:rPr>
          <w:rFonts w:eastAsia="Arial Unicode MS"/>
          <w:sz w:val="22"/>
          <w:szCs w:val="22"/>
        </w:rPr>
        <w:t>connu</w:t>
      </w:r>
      <w:r w:rsidR="00C926FE">
        <w:rPr>
          <w:rFonts w:eastAsia="Arial Unicode MS"/>
          <w:sz w:val="22"/>
          <w:szCs w:val="22"/>
        </w:rPr>
        <w:t xml:space="preserve"> </w:t>
      </w:r>
      <w:r w:rsidR="00921E8C">
        <w:rPr>
          <w:rFonts w:eastAsia="Arial Unicode MS"/>
          <w:sz w:val="22"/>
          <w:szCs w:val="22"/>
        </w:rPr>
        <w:t>une baisse</w:t>
      </w:r>
      <w:r w:rsidRPr="00302676">
        <w:rPr>
          <w:rFonts w:eastAsia="Arial Unicode MS"/>
          <w:sz w:val="22"/>
          <w:szCs w:val="22"/>
        </w:rPr>
        <w:t xml:space="preserve">. Dans ces conditions, le TUC </w:t>
      </w:r>
      <w:r w:rsidR="003E73AE" w:rsidRPr="003D46A9">
        <w:rPr>
          <w:rFonts w:eastAsia="Arial Unicode MS"/>
          <w:sz w:val="22"/>
          <w:szCs w:val="22"/>
        </w:rPr>
        <w:t xml:space="preserve">se </w:t>
      </w:r>
      <w:r w:rsidR="00AF3140" w:rsidRPr="003D46A9">
        <w:rPr>
          <w:rFonts w:eastAsia="Arial Unicode MS"/>
          <w:sz w:val="22"/>
          <w:szCs w:val="22"/>
        </w:rPr>
        <w:t>serait</w:t>
      </w:r>
      <w:r w:rsidR="00C926FE">
        <w:rPr>
          <w:rFonts w:eastAsia="Arial Unicode MS"/>
          <w:sz w:val="22"/>
          <w:szCs w:val="22"/>
        </w:rPr>
        <w:t xml:space="preserve"> </w:t>
      </w:r>
      <w:r w:rsidR="00AF3140">
        <w:rPr>
          <w:rFonts w:eastAsia="Arial Unicode MS"/>
          <w:sz w:val="22"/>
          <w:szCs w:val="22"/>
        </w:rPr>
        <w:t>établi</w:t>
      </w:r>
      <w:r w:rsidR="00C926FE">
        <w:rPr>
          <w:rFonts w:eastAsia="Arial Unicode MS"/>
          <w:sz w:val="22"/>
          <w:szCs w:val="22"/>
        </w:rPr>
        <w:t xml:space="preserve"> </w:t>
      </w:r>
      <w:r w:rsidR="00AF3140">
        <w:rPr>
          <w:rFonts w:eastAsia="Arial Unicode MS"/>
          <w:sz w:val="22"/>
          <w:szCs w:val="22"/>
        </w:rPr>
        <w:t>à</w:t>
      </w:r>
      <w:r w:rsidR="00CE05B3">
        <w:rPr>
          <w:rFonts w:eastAsia="Arial Unicode MS"/>
          <w:sz w:val="22"/>
          <w:szCs w:val="22"/>
        </w:rPr>
        <w:t xml:space="preserve"> </w:t>
      </w:r>
      <w:r w:rsidR="00902341">
        <w:rPr>
          <w:rFonts w:eastAsia="Arial Unicode MS"/>
          <w:sz w:val="22"/>
          <w:szCs w:val="22"/>
        </w:rPr>
        <w:t>90</w:t>
      </w:r>
      <w:r w:rsidRPr="00302676">
        <w:rPr>
          <w:rFonts w:eastAsia="Arial Unicode MS"/>
          <w:sz w:val="22"/>
          <w:szCs w:val="22"/>
        </w:rPr>
        <w:t>% pour l</w:t>
      </w:r>
      <w:r w:rsidR="00757AF5" w:rsidRPr="00302676">
        <w:rPr>
          <w:rFonts w:eastAsia="Arial Unicode MS"/>
          <w:sz w:val="22"/>
          <w:szCs w:val="22"/>
        </w:rPr>
        <w:t xml:space="preserve">'industrie </w:t>
      </w:r>
      <w:r w:rsidRPr="00302676">
        <w:rPr>
          <w:rFonts w:eastAsia="Arial Unicode MS"/>
          <w:sz w:val="22"/>
          <w:szCs w:val="22"/>
        </w:rPr>
        <w:t>énergétique et</w:t>
      </w:r>
      <w:r w:rsidR="00AF3140">
        <w:rPr>
          <w:rFonts w:eastAsia="Arial Unicode MS"/>
          <w:sz w:val="22"/>
          <w:szCs w:val="22"/>
        </w:rPr>
        <w:t xml:space="preserve"> à</w:t>
      </w:r>
      <w:r w:rsidR="00CE05B3">
        <w:rPr>
          <w:rFonts w:eastAsia="Arial Unicode MS"/>
          <w:sz w:val="22"/>
          <w:szCs w:val="22"/>
        </w:rPr>
        <w:t xml:space="preserve"> </w:t>
      </w:r>
      <w:r w:rsidR="00500ACF" w:rsidRPr="00302676">
        <w:rPr>
          <w:rFonts w:eastAsia="Arial Unicode MS"/>
          <w:sz w:val="22"/>
          <w:szCs w:val="22"/>
        </w:rPr>
        <w:t>8</w:t>
      </w:r>
      <w:r w:rsidR="00A1694E">
        <w:rPr>
          <w:rFonts w:eastAsia="Arial Unicode MS"/>
          <w:sz w:val="22"/>
          <w:szCs w:val="22"/>
        </w:rPr>
        <w:t>8</w:t>
      </w:r>
      <w:r w:rsidRPr="00302676">
        <w:rPr>
          <w:rFonts w:eastAsia="Arial Unicode MS"/>
          <w:sz w:val="22"/>
          <w:szCs w:val="22"/>
        </w:rPr>
        <w:t>% pour l’industrie environnementale.</w:t>
      </w:r>
    </w:p>
    <w:p w:rsidR="00A2455C" w:rsidRDefault="000E04FA" w:rsidP="000E04FA">
      <w:pPr>
        <w:spacing w:after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3004185</wp:posOffset>
            </wp:positionH>
            <wp:positionV relativeFrom="margin">
              <wp:posOffset>4528185</wp:posOffset>
            </wp:positionV>
            <wp:extent cx="2940050" cy="3390900"/>
            <wp:effectExtent l="0" t="0" r="0" b="0"/>
            <wp:wrapSquare wrapText="bothSides"/>
            <wp:docPr id="115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2C77E0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4681855</wp:posOffset>
            </wp:positionV>
            <wp:extent cx="3007360" cy="3206750"/>
            <wp:effectExtent l="0" t="0" r="0" b="0"/>
            <wp:wrapSquare wrapText="bothSides"/>
            <wp:docPr id="114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A2455C"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572FD7" w:rsidRPr="00F03C7C" w:rsidRDefault="00572FD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8A5D7C" w:rsidRDefault="008A5D7C" w:rsidP="003E73AE">
      <w:pPr>
        <w:pStyle w:val="Paragraphedeliste"/>
        <w:spacing w:after="120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8A5D7C" w:rsidRPr="003D46A9" w:rsidRDefault="002C77E0" w:rsidP="003E73AE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3297555</wp:posOffset>
            </wp:positionH>
            <wp:positionV relativeFrom="margin">
              <wp:posOffset>583565</wp:posOffset>
            </wp:positionV>
            <wp:extent cx="3134360" cy="2909570"/>
            <wp:effectExtent l="1905" t="0" r="0" b="254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8A5D7C" w:rsidRPr="003D46A9">
        <w:rPr>
          <w:rFonts w:eastAsia="Arial Unicode MS"/>
          <w:sz w:val="22"/>
          <w:szCs w:val="22"/>
        </w:rPr>
        <w:t xml:space="preserve">Dans </w:t>
      </w:r>
      <w:r w:rsidR="008A5D7C" w:rsidRPr="003D46A9">
        <w:rPr>
          <w:rFonts w:eastAsia="Arial Unicode MS"/>
          <w:b/>
          <w:bCs/>
          <w:sz w:val="22"/>
          <w:szCs w:val="22"/>
        </w:rPr>
        <w:t>le secteur de la construction</w:t>
      </w:r>
      <w:r w:rsidR="008A5D7C" w:rsidRPr="003D46A9">
        <w:rPr>
          <w:rFonts w:eastAsia="Arial Unicode MS"/>
          <w:sz w:val="22"/>
          <w:szCs w:val="22"/>
        </w:rPr>
        <w:t xml:space="preserve">, l’activité aurait </w:t>
      </w:r>
      <w:r w:rsidR="003E73AE" w:rsidRPr="003D46A9">
        <w:rPr>
          <w:rFonts w:eastAsia="Arial Unicode MS"/>
          <w:sz w:val="22"/>
          <w:szCs w:val="22"/>
        </w:rPr>
        <w:t>connu</w:t>
      </w:r>
      <w:r w:rsidR="00A2564B" w:rsidRPr="003D46A9">
        <w:rPr>
          <w:rFonts w:eastAsia="Arial Unicode MS"/>
          <w:sz w:val="22"/>
          <w:szCs w:val="22"/>
        </w:rPr>
        <w:t xml:space="preserve">, </w:t>
      </w:r>
      <w:r w:rsidR="003E73AE" w:rsidRPr="003D46A9">
        <w:rPr>
          <w:rFonts w:eastAsia="Arial Unicode MS"/>
          <w:sz w:val="22"/>
          <w:szCs w:val="22"/>
        </w:rPr>
        <w:t xml:space="preserve">au premier trimestre 2017, une stabilité </w:t>
      </w:r>
      <w:r w:rsidR="00A2564B" w:rsidRPr="003D46A9">
        <w:rPr>
          <w:rFonts w:eastAsia="Arial Unicode MS"/>
          <w:sz w:val="22"/>
          <w:szCs w:val="22"/>
        </w:rPr>
        <w:t>selon</w:t>
      </w:r>
      <w:r w:rsidR="008A5D7C" w:rsidRPr="003D46A9">
        <w:rPr>
          <w:rFonts w:eastAsia="Arial Unicode MS"/>
          <w:sz w:val="22"/>
          <w:szCs w:val="22"/>
        </w:rPr>
        <w:t xml:space="preserve"> 6</w:t>
      </w:r>
      <w:r w:rsidR="00F21AA5" w:rsidRPr="003D46A9">
        <w:rPr>
          <w:rFonts w:eastAsia="Arial Unicode MS"/>
          <w:sz w:val="22"/>
          <w:szCs w:val="22"/>
        </w:rPr>
        <w:t>1</w:t>
      </w:r>
      <w:r w:rsidR="008A5D7C" w:rsidRPr="003D46A9">
        <w:rPr>
          <w:rFonts w:eastAsia="Arial Unicode MS"/>
          <w:sz w:val="22"/>
          <w:szCs w:val="22"/>
        </w:rPr>
        <w:t xml:space="preserve">% des patrons et </w:t>
      </w:r>
      <w:r w:rsidR="003E73AE" w:rsidRPr="003D46A9">
        <w:rPr>
          <w:rFonts w:eastAsia="Arial Unicode MS"/>
          <w:sz w:val="22"/>
          <w:szCs w:val="22"/>
        </w:rPr>
        <w:t xml:space="preserve">une hausse </w:t>
      </w:r>
      <w:r w:rsidR="008A5D7C" w:rsidRPr="003D46A9">
        <w:rPr>
          <w:rFonts w:eastAsia="Arial Unicode MS"/>
          <w:sz w:val="22"/>
          <w:szCs w:val="22"/>
        </w:rPr>
        <w:t xml:space="preserve">selon 20%. Cette stabilité aurait été </w:t>
      </w:r>
      <w:r w:rsidR="003E73AE" w:rsidRPr="003D46A9">
        <w:rPr>
          <w:rFonts w:eastAsia="Arial Unicode MS"/>
          <w:sz w:val="22"/>
          <w:szCs w:val="22"/>
        </w:rPr>
        <w:t xml:space="preserve">due </w:t>
      </w:r>
      <w:r w:rsidR="008A5D7C" w:rsidRPr="003D46A9">
        <w:rPr>
          <w:rFonts w:eastAsia="Arial Unicode MS"/>
          <w:sz w:val="22"/>
          <w:szCs w:val="22"/>
        </w:rPr>
        <w:t xml:space="preserve">principalement </w:t>
      </w:r>
      <w:r w:rsidR="003E73AE" w:rsidRPr="003D46A9">
        <w:rPr>
          <w:rFonts w:eastAsia="Arial Unicode MS"/>
          <w:sz w:val="22"/>
          <w:szCs w:val="22"/>
        </w:rPr>
        <w:t>à</w:t>
      </w:r>
      <w:r w:rsidR="008A5D7C" w:rsidRPr="003D46A9">
        <w:rPr>
          <w:rFonts w:eastAsia="Arial Unicode MS"/>
          <w:sz w:val="22"/>
          <w:szCs w:val="22"/>
        </w:rPr>
        <w:t xml:space="preserve"> la hausse d’activité dans les branches d</w:t>
      </w:r>
      <w:r w:rsidR="00A2564B" w:rsidRPr="003D46A9">
        <w:rPr>
          <w:rFonts w:eastAsia="Arial Unicode MS"/>
          <w:sz w:val="22"/>
          <w:szCs w:val="22"/>
        </w:rPr>
        <w:t>es</w:t>
      </w:r>
      <w:r w:rsidR="008A5D7C" w:rsidRPr="003D46A9">
        <w:rPr>
          <w:rFonts w:eastAsia="Arial Unicode MS"/>
          <w:sz w:val="22"/>
          <w:szCs w:val="22"/>
        </w:rPr>
        <w:t xml:space="preserve"> «Travaux de construction spécialisés» et de la «Construction de Bâtiments»,</w:t>
      </w:r>
      <w:r w:rsidR="003E73AE" w:rsidRPr="003D46A9">
        <w:rPr>
          <w:rFonts w:eastAsia="Arial Unicode MS"/>
          <w:sz w:val="22"/>
          <w:szCs w:val="22"/>
        </w:rPr>
        <w:t xml:space="preserve"> d’une part,</w:t>
      </w:r>
      <w:r w:rsidR="008A5D7C" w:rsidRPr="003D46A9">
        <w:rPr>
          <w:rFonts w:eastAsia="Arial Unicode MS"/>
          <w:sz w:val="22"/>
          <w:szCs w:val="22"/>
        </w:rPr>
        <w:t xml:space="preserve"> et </w:t>
      </w:r>
      <w:r w:rsidR="003E73AE" w:rsidRPr="003D46A9">
        <w:rPr>
          <w:rFonts w:eastAsia="Arial Unicode MS"/>
          <w:sz w:val="22"/>
          <w:szCs w:val="22"/>
        </w:rPr>
        <w:t>à</w:t>
      </w:r>
      <w:r w:rsidR="008A5D7C" w:rsidRPr="003D46A9">
        <w:rPr>
          <w:rFonts w:eastAsia="Arial Unicode MS"/>
          <w:sz w:val="22"/>
          <w:szCs w:val="22"/>
        </w:rPr>
        <w:t xml:space="preserve"> la baisse d’activité dans le « Génie civil »</w:t>
      </w:r>
      <w:r w:rsidR="003E73AE" w:rsidRPr="003D46A9">
        <w:rPr>
          <w:rFonts w:eastAsia="Arial Unicode MS"/>
          <w:sz w:val="22"/>
          <w:szCs w:val="22"/>
        </w:rPr>
        <w:t xml:space="preserve"> d’autre part</w:t>
      </w:r>
      <w:r w:rsidR="00A2564B" w:rsidRPr="003D46A9">
        <w:rPr>
          <w:rFonts w:eastAsia="Arial Unicode MS"/>
          <w:sz w:val="22"/>
          <w:szCs w:val="22"/>
        </w:rPr>
        <w:t>.</w:t>
      </w:r>
    </w:p>
    <w:p w:rsidR="008A5D7C" w:rsidRPr="00801153" w:rsidRDefault="008A5D7C" w:rsidP="008A5D7C">
      <w:pPr>
        <w:spacing w:line="276" w:lineRule="auto"/>
        <w:ind w:right="170"/>
        <w:jc w:val="both"/>
        <w:rPr>
          <w:rFonts w:eastAsia="Arial Unicode MS"/>
          <w:color w:val="000000"/>
          <w:sz w:val="22"/>
          <w:szCs w:val="22"/>
        </w:rPr>
      </w:pPr>
    </w:p>
    <w:p w:rsidR="008A5D7C" w:rsidRPr="004915DF" w:rsidRDefault="008A5D7C" w:rsidP="008A5D7C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8A5D7C" w:rsidRPr="003D46A9" w:rsidRDefault="008A5D7C" w:rsidP="003F3032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La</w:t>
      </w:r>
      <w:r w:rsidRPr="00DD1D7B">
        <w:rPr>
          <w:rFonts w:eastAsia="Arial Unicode MS"/>
          <w:noProof/>
          <w:sz w:val="22"/>
          <w:szCs w:val="22"/>
        </w:rPr>
        <w:t xml:space="preserve"> situation des carnets de commande dans ce secteur a été jugée d’un niveau normal par </w:t>
      </w:r>
      <w:r>
        <w:rPr>
          <w:rFonts w:eastAsia="Arial Unicode MS"/>
          <w:noProof/>
          <w:sz w:val="22"/>
          <w:szCs w:val="22"/>
        </w:rPr>
        <w:t>62</w:t>
      </w:r>
      <w:r w:rsidRPr="00DD1D7B">
        <w:rPr>
          <w:rFonts w:eastAsia="Arial Unicode MS"/>
          <w:noProof/>
          <w:sz w:val="22"/>
          <w:szCs w:val="22"/>
        </w:rPr>
        <w:t xml:space="preserve">% des patrons et </w:t>
      </w:r>
      <w:r w:rsidR="003A0669">
        <w:rPr>
          <w:rFonts w:eastAsia="Arial Unicode MS"/>
          <w:noProof/>
          <w:sz w:val="22"/>
          <w:szCs w:val="22"/>
        </w:rPr>
        <w:t xml:space="preserve">inférieur à la normale </w:t>
      </w:r>
      <w:r w:rsidRPr="00DD1D7B">
        <w:rPr>
          <w:rFonts w:eastAsia="Arial Unicode MS"/>
          <w:noProof/>
          <w:sz w:val="22"/>
          <w:szCs w:val="22"/>
        </w:rPr>
        <w:t xml:space="preserve">par </w:t>
      </w:r>
      <w:r>
        <w:rPr>
          <w:rFonts w:eastAsia="Arial Unicode MS"/>
          <w:noProof/>
          <w:sz w:val="22"/>
          <w:szCs w:val="22"/>
        </w:rPr>
        <w:t>28</w:t>
      </w:r>
      <w:r w:rsidRPr="00DD1D7B">
        <w:rPr>
          <w:rFonts w:eastAsia="Arial Unicode MS"/>
          <w:noProof/>
          <w:sz w:val="22"/>
          <w:szCs w:val="22"/>
        </w:rPr>
        <w:t xml:space="preserve">% d’entre eux. </w:t>
      </w:r>
      <w:r w:rsidR="004C612B">
        <w:rPr>
          <w:rFonts w:eastAsia="Arial Unicode MS"/>
          <w:noProof/>
          <w:sz w:val="22"/>
          <w:szCs w:val="22"/>
        </w:rPr>
        <w:t>L</w:t>
      </w:r>
      <w:r w:rsidRPr="00DD1D7B">
        <w:rPr>
          <w:rFonts w:eastAsia="Arial Unicode MS"/>
          <w:noProof/>
          <w:sz w:val="22"/>
          <w:szCs w:val="22"/>
        </w:rPr>
        <w:t>’emploi</w:t>
      </w:r>
      <w:r w:rsidRPr="003D46A9">
        <w:rPr>
          <w:rFonts w:eastAsia="Arial Unicode MS"/>
          <w:noProof/>
          <w:sz w:val="22"/>
          <w:szCs w:val="22"/>
        </w:rPr>
        <w:t xml:space="preserve">aurait </w:t>
      </w:r>
      <w:r w:rsidR="004C612B" w:rsidRPr="003D46A9">
        <w:rPr>
          <w:rFonts w:eastAsia="Arial Unicode MS"/>
          <w:noProof/>
          <w:sz w:val="22"/>
          <w:szCs w:val="22"/>
        </w:rPr>
        <w:t xml:space="preserve">connuune stabilité </w:t>
      </w:r>
      <w:r w:rsidR="00603794" w:rsidRPr="003D46A9">
        <w:rPr>
          <w:rFonts w:eastAsia="Arial Unicode MS"/>
          <w:noProof/>
          <w:sz w:val="22"/>
          <w:szCs w:val="22"/>
        </w:rPr>
        <w:t>selon</w:t>
      </w:r>
      <w:r w:rsidRPr="003D46A9">
        <w:rPr>
          <w:rFonts w:eastAsia="Arial Unicode MS"/>
          <w:noProof/>
          <w:sz w:val="22"/>
          <w:szCs w:val="22"/>
        </w:rPr>
        <w:t xml:space="preserve"> 74% des patrons</w:t>
      </w:r>
      <w:r w:rsidR="0054513D" w:rsidRPr="003D46A9">
        <w:rPr>
          <w:rFonts w:eastAsia="Arial Unicode MS"/>
          <w:noProof/>
          <w:sz w:val="22"/>
          <w:szCs w:val="22"/>
        </w:rPr>
        <w:t xml:space="preserve"> et </w:t>
      </w:r>
      <w:r w:rsidRPr="003D46A9">
        <w:rPr>
          <w:rFonts w:eastAsia="Arial Unicode MS"/>
          <w:noProof/>
          <w:sz w:val="22"/>
          <w:szCs w:val="22"/>
        </w:rPr>
        <w:t xml:space="preserve"> le taux d’utilisation de la capacité productive (TUC) se serait établi </w:t>
      </w:r>
      <w:r w:rsidR="003F3032" w:rsidRPr="003D46A9">
        <w:rPr>
          <w:rFonts w:eastAsia="Arial Unicode MS"/>
          <w:noProof/>
          <w:sz w:val="22"/>
          <w:szCs w:val="22"/>
        </w:rPr>
        <w:t xml:space="preserve">ainsi </w:t>
      </w:r>
      <w:r w:rsidRPr="003D46A9">
        <w:rPr>
          <w:rFonts w:eastAsia="Arial Unicode MS"/>
          <w:noProof/>
          <w:sz w:val="22"/>
          <w:szCs w:val="22"/>
        </w:rPr>
        <w:t>à 73%.</w:t>
      </w: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F03C7C" w:rsidRDefault="002E1737" w:rsidP="00A1694E">
      <w:pPr>
        <w:pStyle w:val="Paragraphedeliste"/>
        <w:numPr>
          <w:ilvl w:val="0"/>
          <w:numId w:val="20"/>
        </w:numPr>
        <w:spacing w:after="240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A1694E">
        <w:rPr>
          <w:rFonts w:ascii="Trebuchet MS" w:eastAsia="Arial Unicode MS" w:hAnsi="Trebuchet MS"/>
          <w:b/>
          <w:bCs/>
          <w:color w:val="660033"/>
          <w:sz w:val="26"/>
          <w:szCs w:val="26"/>
        </w:rPr>
        <w:t>deuxième</w:t>
      </w:r>
      <w:r w:rsidR="00CE05B3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484E17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7E5AD3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F81A11" w:rsidRPr="00F03C7C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902341" w:rsidRPr="00544B74" w:rsidRDefault="002C77E0" w:rsidP="0070760B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3178810</wp:posOffset>
            </wp:positionH>
            <wp:positionV relativeFrom="margin">
              <wp:posOffset>4562475</wp:posOffset>
            </wp:positionV>
            <wp:extent cx="3255010" cy="3200400"/>
            <wp:effectExtent l="0" t="0" r="5080" b="0"/>
            <wp:wrapSquare wrapText="bothSides"/>
            <wp:docPr id="112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A1694E">
        <w:rPr>
          <w:rFonts w:eastAsia="Arial Unicode MS"/>
          <w:sz w:val="22"/>
          <w:szCs w:val="22"/>
        </w:rPr>
        <w:t>50</w:t>
      </w:r>
      <w:r w:rsidR="00902341" w:rsidRPr="00544B74">
        <w:rPr>
          <w:rFonts w:eastAsia="Arial Unicode MS"/>
          <w:sz w:val="22"/>
          <w:szCs w:val="22"/>
        </w:rPr>
        <w:t xml:space="preserve">% des patrons anticipent une hausse de la production </w:t>
      </w:r>
      <w:r w:rsidR="00902341" w:rsidRPr="00544B74">
        <w:rPr>
          <w:rFonts w:eastAsia="Arial Unicode MS"/>
          <w:b/>
          <w:bCs/>
          <w:color w:val="660033"/>
          <w:sz w:val="22"/>
          <w:szCs w:val="22"/>
        </w:rPr>
        <w:t>industrielle manufacturière</w:t>
      </w:r>
      <w:r w:rsidR="00902341" w:rsidRPr="00544B74">
        <w:rPr>
          <w:rFonts w:eastAsia="Arial Unicode MS"/>
          <w:sz w:val="22"/>
          <w:szCs w:val="22"/>
        </w:rPr>
        <w:t xml:space="preserve"> au </w:t>
      </w:r>
      <w:r w:rsidR="00A1694E">
        <w:rPr>
          <w:rFonts w:eastAsia="Arial Unicode MS"/>
          <w:sz w:val="22"/>
          <w:szCs w:val="22"/>
        </w:rPr>
        <w:t>2</w:t>
      </w:r>
      <w:r w:rsidR="00A1694E">
        <w:rPr>
          <w:rFonts w:eastAsia="Arial Unicode MS"/>
          <w:sz w:val="22"/>
          <w:szCs w:val="22"/>
          <w:vertAlign w:val="superscript"/>
        </w:rPr>
        <w:t xml:space="preserve">ème </w:t>
      </w:r>
      <w:r w:rsidR="00544B74" w:rsidRPr="00544B74">
        <w:rPr>
          <w:rFonts w:eastAsia="Arial Unicode MS"/>
          <w:sz w:val="22"/>
          <w:szCs w:val="22"/>
        </w:rPr>
        <w:t>trimestre 2017</w:t>
      </w:r>
      <w:r w:rsidR="00902341" w:rsidRPr="00544B74">
        <w:rPr>
          <w:rFonts w:eastAsia="Arial Unicode MS"/>
          <w:sz w:val="22"/>
          <w:szCs w:val="22"/>
        </w:rPr>
        <w:t xml:space="preserve"> attribuable à une augmentation de l’activité </w:t>
      </w:r>
      <w:r w:rsidR="00A1694E">
        <w:rPr>
          <w:rFonts w:eastAsia="Arial Unicode MS"/>
          <w:sz w:val="22"/>
          <w:szCs w:val="22"/>
        </w:rPr>
        <w:t>des</w:t>
      </w:r>
      <w:bookmarkStart w:id="1" w:name="_GoBack"/>
      <w:bookmarkEnd w:id="1"/>
      <w:r w:rsidR="00A1694E">
        <w:rPr>
          <w:rFonts w:eastAsia="Arial Unicode MS"/>
          <w:sz w:val="22"/>
          <w:szCs w:val="22"/>
        </w:rPr>
        <w:t xml:space="preserve"> </w:t>
      </w:r>
      <w:r w:rsidR="00902341" w:rsidRPr="00544B74">
        <w:rPr>
          <w:rFonts w:eastAsia="Arial Unicode MS"/>
          <w:sz w:val="22"/>
          <w:szCs w:val="22"/>
        </w:rPr>
        <w:t>« </w:t>
      </w:r>
      <w:r w:rsidR="00A1694E" w:rsidRPr="00A1694E">
        <w:rPr>
          <w:rFonts w:eastAsia="Arial Unicode MS"/>
          <w:sz w:val="22"/>
          <w:szCs w:val="22"/>
        </w:rPr>
        <w:t>Industries alimentaires</w:t>
      </w:r>
      <w:r w:rsidR="00544B74" w:rsidRPr="00544B74">
        <w:rPr>
          <w:rFonts w:eastAsia="Arial Unicode MS"/>
          <w:sz w:val="22"/>
          <w:szCs w:val="22"/>
        </w:rPr>
        <w:t>»</w:t>
      </w:r>
      <w:r w:rsidR="00CE05B3">
        <w:rPr>
          <w:rFonts w:eastAsia="Arial Unicode MS"/>
          <w:sz w:val="22"/>
          <w:szCs w:val="22"/>
        </w:rPr>
        <w:t xml:space="preserve"> </w:t>
      </w:r>
      <w:r w:rsidR="0063735A" w:rsidRPr="00544B74">
        <w:rPr>
          <w:rFonts w:eastAsia="Arial Unicode MS"/>
          <w:sz w:val="22"/>
          <w:szCs w:val="22"/>
        </w:rPr>
        <w:t xml:space="preserve">et </w:t>
      </w:r>
      <w:r w:rsidR="00A1694E">
        <w:rPr>
          <w:rFonts w:eastAsia="Arial Unicode MS"/>
          <w:sz w:val="22"/>
          <w:szCs w:val="22"/>
        </w:rPr>
        <w:t>de l’</w:t>
      </w:r>
      <w:r w:rsidR="00902341" w:rsidRPr="00544B74">
        <w:rPr>
          <w:rFonts w:eastAsia="Arial Unicode MS"/>
          <w:sz w:val="22"/>
          <w:szCs w:val="22"/>
        </w:rPr>
        <w:t>« </w:t>
      </w:r>
      <w:r w:rsidR="00A1694E" w:rsidRPr="00A1694E">
        <w:rPr>
          <w:rFonts w:eastAsia="Arial Unicode MS"/>
          <w:sz w:val="22"/>
          <w:szCs w:val="22"/>
        </w:rPr>
        <w:t>Industrie chimique</w:t>
      </w:r>
      <w:r w:rsidR="00902341" w:rsidRPr="00544B74">
        <w:rPr>
          <w:rFonts w:eastAsia="Arial Unicode MS"/>
          <w:sz w:val="22"/>
          <w:szCs w:val="22"/>
        </w:rPr>
        <w:t xml:space="preserve">».  En outre, </w:t>
      </w:r>
      <w:r w:rsidR="00A1694E">
        <w:rPr>
          <w:rFonts w:eastAsia="Arial Unicode MS"/>
          <w:sz w:val="22"/>
          <w:szCs w:val="22"/>
        </w:rPr>
        <w:t>44</w:t>
      </w:r>
      <w:r w:rsidR="00902341" w:rsidRPr="00544B74">
        <w:rPr>
          <w:rFonts w:eastAsia="Arial Unicode MS"/>
          <w:sz w:val="22"/>
          <w:szCs w:val="22"/>
        </w:rPr>
        <w:t>% des chefs d’entreprises prévoient une augmentation des effectifs employés.</w:t>
      </w:r>
    </w:p>
    <w:p w:rsidR="00902341" w:rsidRPr="002B204B" w:rsidRDefault="00902341" w:rsidP="000B2AA5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2B204B">
        <w:rPr>
          <w:rFonts w:eastAsia="Arial Unicode MS"/>
          <w:sz w:val="22"/>
          <w:szCs w:val="22"/>
        </w:rPr>
        <w:t xml:space="preserve">es anticipations de la majorité des patrons </w:t>
      </w:r>
      <w:r>
        <w:rPr>
          <w:rFonts w:eastAsia="Arial Unicode MS"/>
          <w:sz w:val="22"/>
          <w:szCs w:val="22"/>
        </w:rPr>
        <w:t xml:space="preserve">révèlent également </w:t>
      </w:r>
      <w:r w:rsidRPr="002B204B">
        <w:rPr>
          <w:rFonts w:eastAsia="Arial Unicode MS"/>
          <w:sz w:val="22"/>
          <w:szCs w:val="22"/>
        </w:rPr>
        <w:t xml:space="preserve">une hausse de la production </w:t>
      </w:r>
      <w:r>
        <w:rPr>
          <w:rFonts w:eastAsia="Arial Unicode MS"/>
          <w:sz w:val="22"/>
          <w:szCs w:val="22"/>
        </w:rPr>
        <w:t>de</w:t>
      </w:r>
      <w:r w:rsidR="00CE05B3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Pr="002B204B">
        <w:rPr>
          <w:rFonts w:eastAsia="Arial Unicode MS"/>
          <w:sz w:val="22"/>
          <w:szCs w:val="22"/>
        </w:rPr>
        <w:t xml:space="preserve"> imputable principalement à une amélioration de la production des phosphates. Au niveau des effectifs employés, </w:t>
      </w:r>
      <w:r>
        <w:rPr>
          <w:rFonts w:eastAsia="Arial Unicode MS"/>
          <w:sz w:val="22"/>
          <w:szCs w:val="22"/>
        </w:rPr>
        <w:t>la totalité</w:t>
      </w:r>
      <w:r w:rsidRPr="002B204B">
        <w:rPr>
          <w:rFonts w:eastAsia="Arial Unicode MS"/>
          <w:sz w:val="22"/>
          <w:szCs w:val="22"/>
        </w:rPr>
        <w:t xml:space="preserve"> des patrons prévoient une stabilité.</w:t>
      </w:r>
    </w:p>
    <w:p w:rsidR="00F21AA5" w:rsidRDefault="00902341" w:rsidP="000B2AA5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color w:val="660033"/>
          <w:sz w:val="22"/>
          <w:szCs w:val="22"/>
        </w:rPr>
        <w:t>L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>’industrie énergétique</w:t>
      </w:r>
      <w:r w:rsidR="00CE05B3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>connaîtrait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 xml:space="preserve">, </w:t>
      </w:r>
      <w:r w:rsidRPr="002B204B">
        <w:rPr>
          <w:rFonts w:eastAsia="Arial Unicode MS"/>
          <w:sz w:val="22"/>
          <w:szCs w:val="22"/>
        </w:rPr>
        <w:t xml:space="preserve">selon </w:t>
      </w:r>
      <w:r w:rsidR="000B2AA5">
        <w:rPr>
          <w:rFonts w:eastAsia="Arial Unicode MS"/>
          <w:sz w:val="22"/>
          <w:szCs w:val="22"/>
        </w:rPr>
        <w:t>89</w:t>
      </w:r>
      <w:r>
        <w:rPr>
          <w:rFonts w:eastAsia="Arial Unicode MS"/>
          <w:sz w:val="22"/>
          <w:szCs w:val="22"/>
        </w:rPr>
        <w:t>%</w:t>
      </w:r>
      <w:r w:rsidRPr="002B204B">
        <w:rPr>
          <w:rFonts w:eastAsia="Arial Unicode MS"/>
          <w:sz w:val="22"/>
          <w:szCs w:val="22"/>
        </w:rPr>
        <w:t xml:space="preserve"> des chefs d’entreprises,</w:t>
      </w:r>
      <w:r>
        <w:rPr>
          <w:rFonts w:eastAsia="Arial Unicode MS"/>
          <w:sz w:val="22"/>
          <w:szCs w:val="22"/>
        </w:rPr>
        <w:t xml:space="preserve"> une stabilité de</w:t>
      </w:r>
      <w:r w:rsidRPr="002B204B">
        <w:rPr>
          <w:rFonts w:eastAsia="Arial Unicode MS"/>
          <w:sz w:val="22"/>
          <w:szCs w:val="22"/>
        </w:rPr>
        <w:t xml:space="preserve"> la production due à une </w:t>
      </w:r>
      <w:r>
        <w:rPr>
          <w:rFonts w:eastAsia="Arial Unicode MS"/>
          <w:sz w:val="22"/>
          <w:szCs w:val="22"/>
        </w:rPr>
        <w:t>stagnation</w:t>
      </w:r>
      <w:r w:rsidRPr="004A5769">
        <w:rPr>
          <w:rFonts w:eastAsia="Arial Unicode MS"/>
          <w:sz w:val="22"/>
          <w:szCs w:val="22"/>
        </w:rPr>
        <w:t xml:space="preserve"> de la</w:t>
      </w:r>
      <w:r w:rsidRPr="002B204B">
        <w:rPr>
          <w:rFonts w:eastAsia="Arial Unicode MS"/>
          <w:sz w:val="22"/>
          <w:szCs w:val="22"/>
        </w:rPr>
        <w:t xml:space="preserve"> « Production et distribution d’électricité, de gaz, de vapeur et d’air conditionné». </w:t>
      </w:r>
      <w:r>
        <w:rPr>
          <w:rFonts w:eastAsia="Arial Unicode MS"/>
          <w:sz w:val="22"/>
          <w:szCs w:val="22"/>
        </w:rPr>
        <w:t xml:space="preserve">La production de 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>l’industrie environnementale</w:t>
      </w:r>
      <w:r w:rsidR="00CE05B3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EC7A91">
        <w:rPr>
          <w:rFonts w:eastAsia="Arial Unicode MS"/>
          <w:sz w:val="22"/>
          <w:szCs w:val="22"/>
        </w:rPr>
        <w:t>devrait, pour</w:t>
      </w:r>
      <w:r>
        <w:rPr>
          <w:rFonts w:eastAsia="Arial Unicode MS"/>
          <w:sz w:val="22"/>
          <w:szCs w:val="22"/>
        </w:rPr>
        <w:t>9</w:t>
      </w:r>
      <w:r w:rsidR="000B2AA5">
        <w:rPr>
          <w:rFonts w:eastAsia="Arial Unicode MS"/>
          <w:sz w:val="22"/>
          <w:szCs w:val="22"/>
        </w:rPr>
        <w:t>4</w:t>
      </w:r>
      <w:r w:rsidRPr="002B204B">
        <w:rPr>
          <w:rFonts w:eastAsia="Arial Unicode MS"/>
          <w:sz w:val="22"/>
          <w:szCs w:val="22"/>
        </w:rPr>
        <w:t>% des industriels</w:t>
      </w:r>
      <w:r>
        <w:rPr>
          <w:rFonts w:eastAsia="Arial Unicode MS"/>
          <w:sz w:val="22"/>
          <w:szCs w:val="22"/>
        </w:rPr>
        <w:t>, augmenter</w:t>
      </w:r>
      <w:r w:rsidRPr="002B204B">
        <w:rPr>
          <w:rFonts w:eastAsia="Arial Unicode MS"/>
          <w:sz w:val="22"/>
          <w:szCs w:val="22"/>
        </w:rPr>
        <w:t>, notamment, dans les activités du «Captage, traitement et distribution d’eau». L’emploi</w:t>
      </w:r>
      <w:r w:rsidR="00CE05B3">
        <w:rPr>
          <w:rFonts w:eastAsia="Arial Unicode MS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 xml:space="preserve">connaîtrait </w:t>
      </w:r>
      <w:r w:rsidRPr="004A5769">
        <w:rPr>
          <w:rFonts w:eastAsia="Arial Unicode MS"/>
          <w:sz w:val="22"/>
          <w:szCs w:val="22"/>
        </w:rPr>
        <w:t xml:space="preserve">une </w:t>
      </w:r>
      <w:r>
        <w:rPr>
          <w:rFonts w:eastAsia="Arial Unicode MS"/>
          <w:sz w:val="22"/>
          <w:szCs w:val="22"/>
        </w:rPr>
        <w:t>stabilité</w:t>
      </w:r>
      <w:r w:rsidRPr="004A5769">
        <w:rPr>
          <w:rFonts w:eastAsia="Arial Unicode MS"/>
          <w:sz w:val="22"/>
          <w:szCs w:val="22"/>
        </w:rPr>
        <w:t xml:space="preserve"> selon </w:t>
      </w:r>
      <w:r w:rsidR="000B2AA5">
        <w:rPr>
          <w:rFonts w:eastAsia="Arial Unicode MS"/>
          <w:sz w:val="22"/>
          <w:szCs w:val="22"/>
        </w:rPr>
        <w:t>82</w:t>
      </w:r>
      <w:r>
        <w:rPr>
          <w:rFonts w:eastAsia="Arial Unicode MS"/>
          <w:sz w:val="22"/>
          <w:szCs w:val="22"/>
        </w:rPr>
        <w:t>%</w:t>
      </w:r>
      <w:r w:rsidRPr="002B204B">
        <w:rPr>
          <w:rFonts w:eastAsia="Arial Unicode MS"/>
          <w:sz w:val="22"/>
          <w:szCs w:val="22"/>
        </w:rPr>
        <w:t xml:space="preserve"> des patrons du secteur énergétique et une </w:t>
      </w:r>
      <w:r>
        <w:rPr>
          <w:rFonts w:eastAsia="Arial Unicode MS"/>
          <w:sz w:val="22"/>
          <w:szCs w:val="22"/>
        </w:rPr>
        <w:t>diminution</w:t>
      </w:r>
      <w:r w:rsidRPr="002B204B">
        <w:rPr>
          <w:rFonts w:eastAsia="Arial Unicode MS"/>
          <w:sz w:val="22"/>
          <w:szCs w:val="22"/>
        </w:rPr>
        <w:t xml:space="preserve"> selon </w:t>
      </w:r>
      <w:r w:rsidR="000B2AA5">
        <w:rPr>
          <w:rFonts w:eastAsia="Arial Unicode MS"/>
          <w:sz w:val="22"/>
          <w:szCs w:val="22"/>
        </w:rPr>
        <w:t>79%</w:t>
      </w:r>
      <w:r w:rsidRPr="002B204B">
        <w:rPr>
          <w:rFonts w:eastAsia="Arial Unicode MS"/>
          <w:sz w:val="22"/>
          <w:szCs w:val="22"/>
        </w:rPr>
        <w:t xml:space="preserve"> des chefs d’entreprises du secteur environnemental.</w:t>
      </w:r>
    </w:p>
    <w:p w:rsidR="00902341" w:rsidRDefault="00902341" w:rsidP="000B2AA5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33375A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  <w:r w:rsidR="002C77E0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2995930</wp:posOffset>
            </wp:positionH>
            <wp:positionV relativeFrom="margin">
              <wp:posOffset>182245</wp:posOffset>
            </wp:positionV>
            <wp:extent cx="3200400" cy="2792095"/>
            <wp:effectExtent l="0" t="1270" r="4445" b="0"/>
            <wp:wrapSquare wrapText="bothSides"/>
            <wp:docPr id="111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8A5D7C" w:rsidRPr="003D46A9" w:rsidRDefault="008A5D7C" w:rsidP="004737B9">
      <w:pPr>
        <w:spacing w:after="120" w:line="300" w:lineRule="exact"/>
        <w:jc w:val="both"/>
      </w:pPr>
      <w:r>
        <w:rPr>
          <w:rFonts w:eastAsia="Arial Unicode MS"/>
          <w:sz w:val="22"/>
          <w:szCs w:val="22"/>
        </w:rPr>
        <w:t>L</w:t>
      </w:r>
      <w:r w:rsidRPr="00AF11D6">
        <w:rPr>
          <w:rFonts w:eastAsia="Arial Unicode MS"/>
          <w:sz w:val="22"/>
          <w:szCs w:val="22"/>
        </w:rPr>
        <w:t xml:space="preserve">es anticipations avancées </w:t>
      </w:r>
      <w:r>
        <w:rPr>
          <w:rFonts w:eastAsia="Arial Unicode MS"/>
          <w:sz w:val="22"/>
          <w:szCs w:val="22"/>
        </w:rPr>
        <w:t xml:space="preserve">pour </w:t>
      </w:r>
      <w:r w:rsidRPr="00AF11D6">
        <w:rPr>
          <w:rFonts w:eastAsia="Arial Unicode MS"/>
          <w:sz w:val="22"/>
          <w:szCs w:val="22"/>
        </w:rPr>
        <w:t xml:space="preserve">le secteur de </w:t>
      </w:r>
      <w:r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Pr="00AF11D6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 xml:space="preserve">au </w:t>
      </w:r>
      <w:r w:rsidRPr="00AF11D6">
        <w:rPr>
          <w:rFonts w:eastAsia="Arial Unicode MS"/>
          <w:sz w:val="22"/>
          <w:szCs w:val="22"/>
        </w:rPr>
        <w:t xml:space="preserve">deuxième trimestre </w:t>
      </w:r>
      <w:r>
        <w:rPr>
          <w:rFonts w:eastAsia="Arial Unicode MS"/>
          <w:sz w:val="22"/>
          <w:szCs w:val="22"/>
        </w:rPr>
        <w:t>2017</w:t>
      </w:r>
      <w:r w:rsidRPr="00AF11D6">
        <w:rPr>
          <w:rFonts w:eastAsia="Arial Unicode MS"/>
          <w:sz w:val="22"/>
          <w:szCs w:val="22"/>
        </w:rPr>
        <w:t xml:space="preserve">, font </w:t>
      </w:r>
      <w:r w:rsidRPr="003D46A9">
        <w:rPr>
          <w:rFonts w:eastAsia="Arial Unicode MS"/>
          <w:sz w:val="22"/>
          <w:szCs w:val="22"/>
        </w:rPr>
        <w:t xml:space="preserve">ressortir, globalement,  une hausse de l’activité selon 35% des chefs d’entreprises. Cette légère </w:t>
      </w:r>
      <w:r w:rsidR="00DC6E42">
        <w:rPr>
          <w:rFonts w:eastAsia="Arial Unicode MS"/>
          <w:sz w:val="22"/>
          <w:szCs w:val="22"/>
        </w:rPr>
        <w:t xml:space="preserve">hausse résulterait </w:t>
      </w:r>
      <w:r w:rsidR="004737B9">
        <w:rPr>
          <w:rFonts w:eastAsia="Arial Unicode MS"/>
          <w:sz w:val="22"/>
          <w:szCs w:val="22"/>
        </w:rPr>
        <w:t xml:space="preserve">de </w:t>
      </w:r>
      <w:r w:rsidR="004737B9" w:rsidRPr="00CE05B3">
        <w:rPr>
          <w:rFonts w:eastAsia="Arial Unicode MS"/>
          <w:sz w:val="22"/>
          <w:szCs w:val="22"/>
        </w:rPr>
        <w:t>l’augmentation</w:t>
      </w:r>
      <w:r w:rsidRPr="00CE05B3">
        <w:rPr>
          <w:rFonts w:eastAsia="Arial Unicode MS"/>
          <w:sz w:val="22"/>
          <w:szCs w:val="22"/>
        </w:rPr>
        <w:t xml:space="preserve"> </w:t>
      </w:r>
      <w:r w:rsidRPr="003D46A9">
        <w:rPr>
          <w:rFonts w:eastAsia="Arial Unicode MS"/>
          <w:sz w:val="22"/>
          <w:szCs w:val="22"/>
        </w:rPr>
        <w:t xml:space="preserve">d’activité prévue au niveau des branches des « Travaux de construction spécialisés »et </w:t>
      </w:r>
      <w:r w:rsidR="00957DD8" w:rsidRPr="003D46A9">
        <w:rPr>
          <w:rFonts w:eastAsia="Arial Unicode MS"/>
          <w:sz w:val="22"/>
          <w:szCs w:val="22"/>
        </w:rPr>
        <w:t>du « Génie civil »</w:t>
      </w:r>
      <w:r w:rsidRPr="003D46A9">
        <w:rPr>
          <w:rFonts w:eastAsia="Arial Unicode MS"/>
          <w:sz w:val="22"/>
          <w:szCs w:val="22"/>
        </w:rPr>
        <w:t>. Elle serait accompagnée, selon près de 65% des chefs d’entreprises, par une stabilité des effectifs employés.</w:t>
      </w:r>
    </w:p>
    <w:p w:rsidR="008A5D7C" w:rsidRDefault="008A5D7C" w:rsidP="008A5D7C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Default="005B18F9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sectPr w:rsidR="005B18F9" w:rsidSect="00ED001D">
      <w:footerReference w:type="default" r:id="rId19"/>
      <w:footerReference w:type="first" r:id="rId20"/>
      <w:type w:val="continuous"/>
      <w:pgSz w:w="11906" w:h="16838"/>
      <w:pgMar w:top="1258" w:right="1417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37" w:rsidRDefault="00F05237">
      <w:r>
        <w:separator/>
      </w:r>
    </w:p>
  </w:endnote>
  <w:endnote w:type="continuationSeparator" w:id="0">
    <w:p w:rsidR="00F05237" w:rsidRDefault="00F0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8331"/>
      <w:gridCol w:w="1523"/>
    </w:tblGrid>
    <w:tr w:rsidR="00ED001D" w:rsidRPr="00FE7F7C" w:rsidTr="009066FA">
      <w:trPr>
        <w:trHeight w:val="274"/>
      </w:trPr>
      <w:tc>
        <w:tcPr>
          <w:tcW w:w="4227" w:type="pct"/>
          <w:vAlign w:val="center"/>
        </w:tcPr>
        <w:p w:rsidR="00ED001D" w:rsidRPr="00FE7F7C" w:rsidRDefault="00ED001D" w:rsidP="00F3631B">
          <w:pPr>
            <w:pStyle w:val="Pieddepage"/>
            <w:jc w:val="right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773" w:type="pct"/>
          <w:shd w:val="clear" w:color="auto" w:fill="auto"/>
          <w:vAlign w:val="center"/>
        </w:tcPr>
        <w:p w:rsidR="00ED001D" w:rsidRPr="009066FA" w:rsidRDefault="004C2C45" w:rsidP="00F3631B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Juin 2017        </w:t>
          </w:r>
          <w:r w:rsidR="00453F1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453F1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F05237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453F1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453F1C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1525"/>
    </w:tblGrid>
    <w:tr w:rsidR="00ED001D" w:rsidTr="009066FA">
      <w:trPr>
        <w:trHeight w:val="274"/>
      </w:trPr>
      <w:tc>
        <w:tcPr>
          <w:tcW w:w="4179" w:type="pct"/>
          <w:vAlign w:val="center"/>
        </w:tcPr>
        <w:p w:rsidR="00ED001D" w:rsidRPr="00ED001D" w:rsidRDefault="00ED001D" w:rsidP="00ED001D">
          <w:pPr>
            <w:pStyle w:val="Pieddepage"/>
            <w:jc w:val="right"/>
            <w:rPr>
              <w:rFonts w:ascii="Book Antiqua" w:hAnsi="Book Antiqua"/>
              <w:i/>
              <w:iCs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821" w:type="pct"/>
          <w:shd w:val="clear" w:color="auto" w:fill="auto"/>
          <w:vAlign w:val="center"/>
        </w:tcPr>
        <w:p w:rsidR="00ED001D" w:rsidRPr="009066FA" w:rsidRDefault="00FE7F7C" w:rsidP="00FE7F7C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</w:t>
          </w:r>
          <w:r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,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Juin 2017        </w:t>
          </w:r>
          <w:r w:rsidR="00453F1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453F1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5C0687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4</w:t>
          </w:r>
          <w:r w:rsidR="00453F1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453F1C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37" w:rsidRDefault="00F05237">
      <w:r>
        <w:separator/>
      </w:r>
    </w:p>
  </w:footnote>
  <w:footnote w:type="continuationSeparator" w:id="0">
    <w:p w:rsidR="00F05237" w:rsidRDefault="00F05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5CD7"/>
    <w:rsid w:val="00006216"/>
    <w:rsid w:val="00006861"/>
    <w:rsid w:val="00006DD3"/>
    <w:rsid w:val="0001021C"/>
    <w:rsid w:val="00011235"/>
    <w:rsid w:val="00011B92"/>
    <w:rsid w:val="00013E44"/>
    <w:rsid w:val="00014315"/>
    <w:rsid w:val="000275EF"/>
    <w:rsid w:val="00031605"/>
    <w:rsid w:val="0003329C"/>
    <w:rsid w:val="0003724A"/>
    <w:rsid w:val="00043D21"/>
    <w:rsid w:val="00053F91"/>
    <w:rsid w:val="000554EE"/>
    <w:rsid w:val="000625B3"/>
    <w:rsid w:val="00074098"/>
    <w:rsid w:val="0007624B"/>
    <w:rsid w:val="00084B71"/>
    <w:rsid w:val="00086874"/>
    <w:rsid w:val="0009283F"/>
    <w:rsid w:val="00095BA9"/>
    <w:rsid w:val="000A2AE4"/>
    <w:rsid w:val="000A3E97"/>
    <w:rsid w:val="000A6D2B"/>
    <w:rsid w:val="000B1D9D"/>
    <w:rsid w:val="000B2A3E"/>
    <w:rsid w:val="000B2AA5"/>
    <w:rsid w:val="000B3925"/>
    <w:rsid w:val="000B5B84"/>
    <w:rsid w:val="000B6C46"/>
    <w:rsid w:val="000D4A9A"/>
    <w:rsid w:val="000E04FA"/>
    <w:rsid w:val="000E1335"/>
    <w:rsid w:val="000E52CC"/>
    <w:rsid w:val="000E5893"/>
    <w:rsid w:val="000E76B0"/>
    <w:rsid w:val="000F0BF1"/>
    <w:rsid w:val="000F6813"/>
    <w:rsid w:val="000F71D1"/>
    <w:rsid w:val="00100AF5"/>
    <w:rsid w:val="0010285F"/>
    <w:rsid w:val="001062FA"/>
    <w:rsid w:val="00106C12"/>
    <w:rsid w:val="00112318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7652"/>
    <w:rsid w:val="0014114C"/>
    <w:rsid w:val="00144168"/>
    <w:rsid w:val="0014690D"/>
    <w:rsid w:val="00151644"/>
    <w:rsid w:val="0015197C"/>
    <w:rsid w:val="001575EB"/>
    <w:rsid w:val="00157A43"/>
    <w:rsid w:val="00160B9E"/>
    <w:rsid w:val="001631EF"/>
    <w:rsid w:val="0016330A"/>
    <w:rsid w:val="00164075"/>
    <w:rsid w:val="00167B4D"/>
    <w:rsid w:val="0017017D"/>
    <w:rsid w:val="001724B1"/>
    <w:rsid w:val="0017323F"/>
    <w:rsid w:val="00176022"/>
    <w:rsid w:val="001814FA"/>
    <w:rsid w:val="00186F4B"/>
    <w:rsid w:val="00193033"/>
    <w:rsid w:val="00193417"/>
    <w:rsid w:val="00196035"/>
    <w:rsid w:val="001A0E03"/>
    <w:rsid w:val="001A1553"/>
    <w:rsid w:val="001A2AA6"/>
    <w:rsid w:val="001B0372"/>
    <w:rsid w:val="001B3EBA"/>
    <w:rsid w:val="001B5764"/>
    <w:rsid w:val="001B65A8"/>
    <w:rsid w:val="001C3920"/>
    <w:rsid w:val="001D119E"/>
    <w:rsid w:val="001D4566"/>
    <w:rsid w:val="001D6519"/>
    <w:rsid w:val="001D69A9"/>
    <w:rsid w:val="001D6CCE"/>
    <w:rsid w:val="001D6D12"/>
    <w:rsid w:val="001D6F2D"/>
    <w:rsid w:val="001E0DAC"/>
    <w:rsid w:val="001E3163"/>
    <w:rsid w:val="001E5F22"/>
    <w:rsid w:val="001F0CEF"/>
    <w:rsid w:val="001F1643"/>
    <w:rsid w:val="001F19C6"/>
    <w:rsid w:val="001F2033"/>
    <w:rsid w:val="001F3599"/>
    <w:rsid w:val="001F6BEB"/>
    <w:rsid w:val="001F73EE"/>
    <w:rsid w:val="00203FD6"/>
    <w:rsid w:val="00204441"/>
    <w:rsid w:val="0020594A"/>
    <w:rsid w:val="00206659"/>
    <w:rsid w:val="00207F60"/>
    <w:rsid w:val="00210EFA"/>
    <w:rsid w:val="00212505"/>
    <w:rsid w:val="00215236"/>
    <w:rsid w:val="002164FB"/>
    <w:rsid w:val="0022299E"/>
    <w:rsid w:val="00233459"/>
    <w:rsid w:val="00236B5B"/>
    <w:rsid w:val="00245FD1"/>
    <w:rsid w:val="002559DF"/>
    <w:rsid w:val="00256291"/>
    <w:rsid w:val="00257C74"/>
    <w:rsid w:val="00260217"/>
    <w:rsid w:val="00265A87"/>
    <w:rsid w:val="002668FE"/>
    <w:rsid w:val="002760BD"/>
    <w:rsid w:val="002770BB"/>
    <w:rsid w:val="00281414"/>
    <w:rsid w:val="002824C8"/>
    <w:rsid w:val="002833BE"/>
    <w:rsid w:val="00283E97"/>
    <w:rsid w:val="00284321"/>
    <w:rsid w:val="0028439F"/>
    <w:rsid w:val="00286F23"/>
    <w:rsid w:val="00290BF8"/>
    <w:rsid w:val="00292557"/>
    <w:rsid w:val="002930D8"/>
    <w:rsid w:val="00295A6C"/>
    <w:rsid w:val="002A0E1D"/>
    <w:rsid w:val="002A1960"/>
    <w:rsid w:val="002A416A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537A"/>
    <w:rsid w:val="002D769F"/>
    <w:rsid w:val="002E1737"/>
    <w:rsid w:val="002E446D"/>
    <w:rsid w:val="002E750F"/>
    <w:rsid w:val="002F37B3"/>
    <w:rsid w:val="002F3FB3"/>
    <w:rsid w:val="002F5C54"/>
    <w:rsid w:val="002F71A5"/>
    <w:rsid w:val="002F7B54"/>
    <w:rsid w:val="00302676"/>
    <w:rsid w:val="003027A9"/>
    <w:rsid w:val="00302E80"/>
    <w:rsid w:val="00304F3F"/>
    <w:rsid w:val="00305B12"/>
    <w:rsid w:val="0030605C"/>
    <w:rsid w:val="00306CBC"/>
    <w:rsid w:val="00307146"/>
    <w:rsid w:val="003121A0"/>
    <w:rsid w:val="00312DB8"/>
    <w:rsid w:val="00313123"/>
    <w:rsid w:val="00314191"/>
    <w:rsid w:val="00316313"/>
    <w:rsid w:val="00317A9E"/>
    <w:rsid w:val="00321166"/>
    <w:rsid w:val="00330198"/>
    <w:rsid w:val="003329F7"/>
    <w:rsid w:val="0033375A"/>
    <w:rsid w:val="00334763"/>
    <w:rsid w:val="0033541E"/>
    <w:rsid w:val="00336BD4"/>
    <w:rsid w:val="0034133F"/>
    <w:rsid w:val="0034613F"/>
    <w:rsid w:val="00351D4C"/>
    <w:rsid w:val="00356D34"/>
    <w:rsid w:val="00365978"/>
    <w:rsid w:val="0036616B"/>
    <w:rsid w:val="00373B71"/>
    <w:rsid w:val="00373C67"/>
    <w:rsid w:val="00374017"/>
    <w:rsid w:val="00377B93"/>
    <w:rsid w:val="003832DA"/>
    <w:rsid w:val="00383327"/>
    <w:rsid w:val="0038590B"/>
    <w:rsid w:val="00391150"/>
    <w:rsid w:val="003930A1"/>
    <w:rsid w:val="0039671A"/>
    <w:rsid w:val="003A0669"/>
    <w:rsid w:val="003A2CE4"/>
    <w:rsid w:val="003B0615"/>
    <w:rsid w:val="003B5F82"/>
    <w:rsid w:val="003B6532"/>
    <w:rsid w:val="003B7C9A"/>
    <w:rsid w:val="003C153C"/>
    <w:rsid w:val="003C1B70"/>
    <w:rsid w:val="003C2ECA"/>
    <w:rsid w:val="003C3C15"/>
    <w:rsid w:val="003C709A"/>
    <w:rsid w:val="003D0B92"/>
    <w:rsid w:val="003D46A9"/>
    <w:rsid w:val="003D68CD"/>
    <w:rsid w:val="003D76E8"/>
    <w:rsid w:val="003E208A"/>
    <w:rsid w:val="003E37F2"/>
    <w:rsid w:val="003E443B"/>
    <w:rsid w:val="003E4FE1"/>
    <w:rsid w:val="003E7341"/>
    <w:rsid w:val="003E73AE"/>
    <w:rsid w:val="003F0254"/>
    <w:rsid w:val="003F1A8D"/>
    <w:rsid w:val="003F28EA"/>
    <w:rsid w:val="003F3032"/>
    <w:rsid w:val="003F68B1"/>
    <w:rsid w:val="003F7BFE"/>
    <w:rsid w:val="00404176"/>
    <w:rsid w:val="00405781"/>
    <w:rsid w:val="00407D80"/>
    <w:rsid w:val="00416C7F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2822"/>
    <w:rsid w:val="00462AEA"/>
    <w:rsid w:val="004659F5"/>
    <w:rsid w:val="00470F06"/>
    <w:rsid w:val="0047233F"/>
    <w:rsid w:val="004737B9"/>
    <w:rsid w:val="00474E89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10D9"/>
    <w:rsid w:val="004915DF"/>
    <w:rsid w:val="00491F4E"/>
    <w:rsid w:val="004A03AC"/>
    <w:rsid w:val="004A1B02"/>
    <w:rsid w:val="004A2AD5"/>
    <w:rsid w:val="004A5769"/>
    <w:rsid w:val="004A7EF1"/>
    <w:rsid w:val="004B19E7"/>
    <w:rsid w:val="004B2E96"/>
    <w:rsid w:val="004B411A"/>
    <w:rsid w:val="004C2C45"/>
    <w:rsid w:val="004C612B"/>
    <w:rsid w:val="004C7838"/>
    <w:rsid w:val="004D4CBB"/>
    <w:rsid w:val="004E20CC"/>
    <w:rsid w:val="004E24AF"/>
    <w:rsid w:val="004E2B58"/>
    <w:rsid w:val="004E2DD7"/>
    <w:rsid w:val="004E423B"/>
    <w:rsid w:val="004E59A5"/>
    <w:rsid w:val="004E5E98"/>
    <w:rsid w:val="004E682E"/>
    <w:rsid w:val="004E6E15"/>
    <w:rsid w:val="004E7600"/>
    <w:rsid w:val="004F3556"/>
    <w:rsid w:val="00500ACF"/>
    <w:rsid w:val="00502528"/>
    <w:rsid w:val="00504E5F"/>
    <w:rsid w:val="00505AD5"/>
    <w:rsid w:val="00506785"/>
    <w:rsid w:val="00513024"/>
    <w:rsid w:val="005142A8"/>
    <w:rsid w:val="00514D14"/>
    <w:rsid w:val="00530796"/>
    <w:rsid w:val="00532B0F"/>
    <w:rsid w:val="005337B6"/>
    <w:rsid w:val="00533D55"/>
    <w:rsid w:val="00535A84"/>
    <w:rsid w:val="00537897"/>
    <w:rsid w:val="00541980"/>
    <w:rsid w:val="00541C46"/>
    <w:rsid w:val="00544B74"/>
    <w:rsid w:val="00544B7F"/>
    <w:rsid w:val="0054513D"/>
    <w:rsid w:val="005516EE"/>
    <w:rsid w:val="00551FCF"/>
    <w:rsid w:val="0055363B"/>
    <w:rsid w:val="00557213"/>
    <w:rsid w:val="005573F0"/>
    <w:rsid w:val="00566A26"/>
    <w:rsid w:val="00572FD7"/>
    <w:rsid w:val="00577644"/>
    <w:rsid w:val="00580B2B"/>
    <w:rsid w:val="00581492"/>
    <w:rsid w:val="00583A84"/>
    <w:rsid w:val="00584197"/>
    <w:rsid w:val="005850FD"/>
    <w:rsid w:val="00585CD7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789E"/>
    <w:rsid w:val="005C0687"/>
    <w:rsid w:val="005C3B99"/>
    <w:rsid w:val="005C490C"/>
    <w:rsid w:val="005D0DC1"/>
    <w:rsid w:val="005D4A17"/>
    <w:rsid w:val="005E5C5A"/>
    <w:rsid w:val="005E5F58"/>
    <w:rsid w:val="005F3076"/>
    <w:rsid w:val="00600463"/>
    <w:rsid w:val="00600F6D"/>
    <w:rsid w:val="00602C7C"/>
    <w:rsid w:val="00603794"/>
    <w:rsid w:val="00604007"/>
    <w:rsid w:val="006056E5"/>
    <w:rsid w:val="00612B0E"/>
    <w:rsid w:val="006153E5"/>
    <w:rsid w:val="00616F7E"/>
    <w:rsid w:val="006202E0"/>
    <w:rsid w:val="00621BE8"/>
    <w:rsid w:val="00630C01"/>
    <w:rsid w:val="00630E13"/>
    <w:rsid w:val="00631531"/>
    <w:rsid w:val="006328C2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5C54"/>
    <w:rsid w:val="00667ECC"/>
    <w:rsid w:val="006707C0"/>
    <w:rsid w:val="00676B69"/>
    <w:rsid w:val="00683CC4"/>
    <w:rsid w:val="00684DA3"/>
    <w:rsid w:val="006850D8"/>
    <w:rsid w:val="0068688D"/>
    <w:rsid w:val="00690102"/>
    <w:rsid w:val="00695538"/>
    <w:rsid w:val="00695704"/>
    <w:rsid w:val="006A2D89"/>
    <w:rsid w:val="006B089B"/>
    <w:rsid w:val="006B3697"/>
    <w:rsid w:val="006B36B6"/>
    <w:rsid w:val="006B3900"/>
    <w:rsid w:val="006C4536"/>
    <w:rsid w:val="006D08D3"/>
    <w:rsid w:val="006D09D7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5679"/>
    <w:rsid w:val="006E6C4B"/>
    <w:rsid w:val="006F499A"/>
    <w:rsid w:val="00702012"/>
    <w:rsid w:val="00704699"/>
    <w:rsid w:val="00706C10"/>
    <w:rsid w:val="0070760B"/>
    <w:rsid w:val="00711A4F"/>
    <w:rsid w:val="00711D32"/>
    <w:rsid w:val="00720AA5"/>
    <w:rsid w:val="00722358"/>
    <w:rsid w:val="00722F27"/>
    <w:rsid w:val="007320F2"/>
    <w:rsid w:val="00733C13"/>
    <w:rsid w:val="00737135"/>
    <w:rsid w:val="00744367"/>
    <w:rsid w:val="007507E3"/>
    <w:rsid w:val="00752DE5"/>
    <w:rsid w:val="00753113"/>
    <w:rsid w:val="0075402B"/>
    <w:rsid w:val="007563F9"/>
    <w:rsid w:val="00757AF5"/>
    <w:rsid w:val="00757E5D"/>
    <w:rsid w:val="00760864"/>
    <w:rsid w:val="00760A52"/>
    <w:rsid w:val="007611CA"/>
    <w:rsid w:val="0076370A"/>
    <w:rsid w:val="00766520"/>
    <w:rsid w:val="00772EAC"/>
    <w:rsid w:val="00777D93"/>
    <w:rsid w:val="0078191E"/>
    <w:rsid w:val="007862ED"/>
    <w:rsid w:val="00787D8A"/>
    <w:rsid w:val="00790B01"/>
    <w:rsid w:val="007923E3"/>
    <w:rsid w:val="00792FF0"/>
    <w:rsid w:val="007A4D09"/>
    <w:rsid w:val="007B3B1A"/>
    <w:rsid w:val="007B3F80"/>
    <w:rsid w:val="007B3FA3"/>
    <w:rsid w:val="007C305A"/>
    <w:rsid w:val="007D02BB"/>
    <w:rsid w:val="007D09FF"/>
    <w:rsid w:val="007D2263"/>
    <w:rsid w:val="007D442B"/>
    <w:rsid w:val="007E1420"/>
    <w:rsid w:val="007E1533"/>
    <w:rsid w:val="007E5AD3"/>
    <w:rsid w:val="007E64AF"/>
    <w:rsid w:val="007E71EE"/>
    <w:rsid w:val="007F0825"/>
    <w:rsid w:val="007F4784"/>
    <w:rsid w:val="007F4BA9"/>
    <w:rsid w:val="007F5B2F"/>
    <w:rsid w:val="00801153"/>
    <w:rsid w:val="00801F97"/>
    <w:rsid w:val="00803FCD"/>
    <w:rsid w:val="00804FEE"/>
    <w:rsid w:val="00810D7F"/>
    <w:rsid w:val="008150BF"/>
    <w:rsid w:val="00815FC3"/>
    <w:rsid w:val="0082137A"/>
    <w:rsid w:val="00825871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37F4"/>
    <w:rsid w:val="00866410"/>
    <w:rsid w:val="00871F9A"/>
    <w:rsid w:val="008741C5"/>
    <w:rsid w:val="008758DE"/>
    <w:rsid w:val="00876787"/>
    <w:rsid w:val="00881864"/>
    <w:rsid w:val="00882C89"/>
    <w:rsid w:val="00893F31"/>
    <w:rsid w:val="00894A15"/>
    <w:rsid w:val="00895AA3"/>
    <w:rsid w:val="008A5D7C"/>
    <w:rsid w:val="008A691E"/>
    <w:rsid w:val="008A7F8C"/>
    <w:rsid w:val="008B0453"/>
    <w:rsid w:val="008B1E64"/>
    <w:rsid w:val="008B2CBB"/>
    <w:rsid w:val="008B4895"/>
    <w:rsid w:val="008B7C79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902289"/>
    <w:rsid w:val="00902341"/>
    <w:rsid w:val="009031FE"/>
    <w:rsid w:val="009049AB"/>
    <w:rsid w:val="009066FA"/>
    <w:rsid w:val="00906EB8"/>
    <w:rsid w:val="009102EE"/>
    <w:rsid w:val="009174FB"/>
    <w:rsid w:val="00921E8C"/>
    <w:rsid w:val="0092724E"/>
    <w:rsid w:val="00931126"/>
    <w:rsid w:val="009377FB"/>
    <w:rsid w:val="00940D49"/>
    <w:rsid w:val="0094389A"/>
    <w:rsid w:val="00946792"/>
    <w:rsid w:val="009475AB"/>
    <w:rsid w:val="00947FC6"/>
    <w:rsid w:val="00952BCB"/>
    <w:rsid w:val="00954425"/>
    <w:rsid w:val="0095483F"/>
    <w:rsid w:val="00957A56"/>
    <w:rsid w:val="00957DD8"/>
    <w:rsid w:val="00961F36"/>
    <w:rsid w:val="0096568D"/>
    <w:rsid w:val="00971D5C"/>
    <w:rsid w:val="009801E4"/>
    <w:rsid w:val="00982ADB"/>
    <w:rsid w:val="009831C0"/>
    <w:rsid w:val="00983318"/>
    <w:rsid w:val="00983ECD"/>
    <w:rsid w:val="00984FAB"/>
    <w:rsid w:val="00986F74"/>
    <w:rsid w:val="00991D68"/>
    <w:rsid w:val="009929AA"/>
    <w:rsid w:val="009956CF"/>
    <w:rsid w:val="009975E3"/>
    <w:rsid w:val="009A3DCF"/>
    <w:rsid w:val="009A3EBE"/>
    <w:rsid w:val="009A431C"/>
    <w:rsid w:val="009A69BF"/>
    <w:rsid w:val="009A7A01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5321"/>
    <w:rsid w:val="009D5A39"/>
    <w:rsid w:val="009D5F2E"/>
    <w:rsid w:val="009D7D48"/>
    <w:rsid w:val="009E1CC2"/>
    <w:rsid w:val="009E4E74"/>
    <w:rsid w:val="009F4C75"/>
    <w:rsid w:val="00A01DE9"/>
    <w:rsid w:val="00A02ED5"/>
    <w:rsid w:val="00A03537"/>
    <w:rsid w:val="00A03B99"/>
    <w:rsid w:val="00A06792"/>
    <w:rsid w:val="00A075CB"/>
    <w:rsid w:val="00A12866"/>
    <w:rsid w:val="00A13AFA"/>
    <w:rsid w:val="00A13CF0"/>
    <w:rsid w:val="00A1430C"/>
    <w:rsid w:val="00A153E5"/>
    <w:rsid w:val="00A1572C"/>
    <w:rsid w:val="00A15EDE"/>
    <w:rsid w:val="00A16299"/>
    <w:rsid w:val="00A1694E"/>
    <w:rsid w:val="00A2168A"/>
    <w:rsid w:val="00A23965"/>
    <w:rsid w:val="00A2404F"/>
    <w:rsid w:val="00A2455C"/>
    <w:rsid w:val="00A24A06"/>
    <w:rsid w:val="00A2564B"/>
    <w:rsid w:val="00A354B7"/>
    <w:rsid w:val="00A36B5E"/>
    <w:rsid w:val="00A42EA3"/>
    <w:rsid w:val="00A43B9B"/>
    <w:rsid w:val="00A529E0"/>
    <w:rsid w:val="00A5393D"/>
    <w:rsid w:val="00A611F6"/>
    <w:rsid w:val="00A61367"/>
    <w:rsid w:val="00A614FE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34E9"/>
    <w:rsid w:val="00A85D85"/>
    <w:rsid w:val="00A9195F"/>
    <w:rsid w:val="00A92176"/>
    <w:rsid w:val="00A92EB8"/>
    <w:rsid w:val="00A94D3C"/>
    <w:rsid w:val="00A95465"/>
    <w:rsid w:val="00A96487"/>
    <w:rsid w:val="00AA53CC"/>
    <w:rsid w:val="00AB0858"/>
    <w:rsid w:val="00AB24B6"/>
    <w:rsid w:val="00AB5150"/>
    <w:rsid w:val="00AB635B"/>
    <w:rsid w:val="00AC26A5"/>
    <w:rsid w:val="00AC2CF2"/>
    <w:rsid w:val="00AC3EF4"/>
    <w:rsid w:val="00AC7561"/>
    <w:rsid w:val="00AC7EEE"/>
    <w:rsid w:val="00AD4CA8"/>
    <w:rsid w:val="00AD53FD"/>
    <w:rsid w:val="00AD56E7"/>
    <w:rsid w:val="00AE4467"/>
    <w:rsid w:val="00AF04E7"/>
    <w:rsid w:val="00AF11D6"/>
    <w:rsid w:val="00AF3140"/>
    <w:rsid w:val="00AF5CFA"/>
    <w:rsid w:val="00AF6102"/>
    <w:rsid w:val="00B0327E"/>
    <w:rsid w:val="00B0407B"/>
    <w:rsid w:val="00B05478"/>
    <w:rsid w:val="00B065DA"/>
    <w:rsid w:val="00B10250"/>
    <w:rsid w:val="00B2004F"/>
    <w:rsid w:val="00B24F9D"/>
    <w:rsid w:val="00B26FFC"/>
    <w:rsid w:val="00B345AB"/>
    <w:rsid w:val="00B35B39"/>
    <w:rsid w:val="00B365B9"/>
    <w:rsid w:val="00B36EC4"/>
    <w:rsid w:val="00B376D9"/>
    <w:rsid w:val="00B43C5F"/>
    <w:rsid w:val="00B44B88"/>
    <w:rsid w:val="00B4533E"/>
    <w:rsid w:val="00B5029B"/>
    <w:rsid w:val="00B51A49"/>
    <w:rsid w:val="00B55AAA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A67"/>
    <w:rsid w:val="00B77653"/>
    <w:rsid w:val="00B81D2D"/>
    <w:rsid w:val="00B83220"/>
    <w:rsid w:val="00B841D5"/>
    <w:rsid w:val="00B857E2"/>
    <w:rsid w:val="00B86C55"/>
    <w:rsid w:val="00B9066A"/>
    <w:rsid w:val="00B94223"/>
    <w:rsid w:val="00B974D5"/>
    <w:rsid w:val="00BB0A03"/>
    <w:rsid w:val="00BB2266"/>
    <w:rsid w:val="00BB2982"/>
    <w:rsid w:val="00BB322B"/>
    <w:rsid w:val="00BB616E"/>
    <w:rsid w:val="00BC2E39"/>
    <w:rsid w:val="00BC7766"/>
    <w:rsid w:val="00BD29DA"/>
    <w:rsid w:val="00BD2B3A"/>
    <w:rsid w:val="00BD3A65"/>
    <w:rsid w:val="00BE0748"/>
    <w:rsid w:val="00BE23F2"/>
    <w:rsid w:val="00BE79F4"/>
    <w:rsid w:val="00C10E72"/>
    <w:rsid w:val="00C14DCE"/>
    <w:rsid w:val="00C17688"/>
    <w:rsid w:val="00C23B5E"/>
    <w:rsid w:val="00C26145"/>
    <w:rsid w:val="00C32730"/>
    <w:rsid w:val="00C33D7F"/>
    <w:rsid w:val="00C42507"/>
    <w:rsid w:val="00C466D1"/>
    <w:rsid w:val="00C5491F"/>
    <w:rsid w:val="00C55FD3"/>
    <w:rsid w:val="00C56B6E"/>
    <w:rsid w:val="00C61F50"/>
    <w:rsid w:val="00C64B98"/>
    <w:rsid w:val="00C67995"/>
    <w:rsid w:val="00C73BA9"/>
    <w:rsid w:val="00C76671"/>
    <w:rsid w:val="00C8184F"/>
    <w:rsid w:val="00C827BD"/>
    <w:rsid w:val="00C926FE"/>
    <w:rsid w:val="00C9525B"/>
    <w:rsid w:val="00C97449"/>
    <w:rsid w:val="00CA2006"/>
    <w:rsid w:val="00CA2232"/>
    <w:rsid w:val="00CB06D7"/>
    <w:rsid w:val="00CB19A6"/>
    <w:rsid w:val="00CB2E28"/>
    <w:rsid w:val="00CB3A44"/>
    <w:rsid w:val="00CB45BE"/>
    <w:rsid w:val="00CB49D0"/>
    <w:rsid w:val="00CB6AE1"/>
    <w:rsid w:val="00CC383A"/>
    <w:rsid w:val="00CC43FB"/>
    <w:rsid w:val="00CD6E99"/>
    <w:rsid w:val="00CE05B3"/>
    <w:rsid w:val="00CE16A5"/>
    <w:rsid w:val="00CE2229"/>
    <w:rsid w:val="00CE234D"/>
    <w:rsid w:val="00CE3972"/>
    <w:rsid w:val="00CE3CEA"/>
    <w:rsid w:val="00CE5918"/>
    <w:rsid w:val="00CE6A15"/>
    <w:rsid w:val="00CE7B4D"/>
    <w:rsid w:val="00CF2970"/>
    <w:rsid w:val="00CF3217"/>
    <w:rsid w:val="00CF5EA6"/>
    <w:rsid w:val="00CF6466"/>
    <w:rsid w:val="00CF6D85"/>
    <w:rsid w:val="00CF6F9D"/>
    <w:rsid w:val="00CF7036"/>
    <w:rsid w:val="00D00354"/>
    <w:rsid w:val="00D04431"/>
    <w:rsid w:val="00D119CB"/>
    <w:rsid w:val="00D135EC"/>
    <w:rsid w:val="00D15412"/>
    <w:rsid w:val="00D16D19"/>
    <w:rsid w:val="00D16DE4"/>
    <w:rsid w:val="00D20556"/>
    <w:rsid w:val="00D235C1"/>
    <w:rsid w:val="00D26980"/>
    <w:rsid w:val="00D30B74"/>
    <w:rsid w:val="00D310C6"/>
    <w:rsid w:val="00D3407E"/>
    <w:rsid w:val="00D34498"/>
    <w:rsid w:val="00D407AA"/>
    <w:rsid w:val="00D4168B"/>
    <w:rsid w:val="00D42230"/>
    <w:rsid w:val="00D4334A"/>
    <w:rsid w:val="00D53B2F"/>
    <w:rsid w:val="00D54458"/>
    <w:rsid w:val="00D6022B"/>
    <w:rsid w:val="00D626C6"/>
    <w:rsid w:val="00D676A7"/>
    <w:rsid w:val="00D72D1C"/>
    <w:rsid w:val="00D74FF0"/>
    <w:rsid w:val="00D75067"/>
    <w:rsid w:val="00D80FF6"/>
    <w:rsid w:val="00D83517"/>
    <w:rsid w:val="00D85184"/>
    <w:rsid w:val="00D92659"/>
    <w:rsid w:val="00D94221"/>
    <w:rsid w:val="00DA02A1"/>
    <w:rsid w:val="00DA2114"/>
    <w:rsid w:val="00DA3F98"/>
    <w:rsid w:val="00DB1375"/>
    <w:rsid w:val="00DB210B"/>
    <w:rsid w:val="00DB2CCF"/>
    <w:rsid w:val="00DB4906"/>
    <w:rsid w:val="00DB4CFC"/>
    <w:rsid w:val="00DC0356"/>
    <w:rsid w:val="00DC0988"/>
    <w:rsid w:val="00DC6E42"/>
    <w:rsid w:val="00DD1D7B"/>
    <w:rsid w:val="00DD280D"/>
    <w:rsid w:val="00DD391E"/>
    <w:rsid w:val="00DE1B47"/>
    <w:rsid w:val="00DE26C3"/>
    <w:rsid w:val="00DF27E6"/>
    <w:rsid w:val="00E017B8"/>
    <w:rsid w:val="00E052C6"/>
    <w:rsid w:val="00E11548"/>
    <w:rsid w:val="00E208A0"/>
    <w:rsid w:val="00E324DB"/>
    <w:rsid w:val="00E3569D"/>
    <w:rsid w:val="00E459A8"/>
    <w:rsid w:val="00E50B24"/>
    <w:rsid w:val="00E564E6"/>
    <w:rsid w:val="00E57CE0"/>
    <w:rsid w:val="00E62C54"/>
    <w:rsid w:val="00E62E93"/>
    <w:rsid w:val="00E630BD"/>
    <w:rsid w:val="00E64713"/>
    <w:rsid w:val="00E663F9"/>
    <w:rsid w:val="00E6770C"/>
    <w:rsid w:val="00E702AF"/>
    <w:rsid w:val="00E72DEE"/>
    <w:rsid w:val="00E734FE"/>
    <w:rsid w:val="00E77A1E"/>
    <w:rsid w:val="00E9575F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C1447"/>
    <w:rsid w:val="00EC7A91"/>
    <w:rsid w:val="00ED001D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3025"/>
    <w:rsid w:val="00F0227C"/>
    <w:rsid w:val="00F03C7C"/>
    <w:rsid w:val="00F05237"/>
    <w:rsid w:val="00F05668"/>
    <w:rsid w:val="00F05BE7"/>
    <w:rsid w:val="00F07CFD"/>
    <w:rsid w:val="00F10EDE"/>
    <w:rsid w:val="00F1754C"/>
    <w:rsid w:val="00F17FE2"/>
    <w:rsid w:val="00F21865"/>
    <w:rsid w:val="00F21AA5"/>
    <w:rsid w:val="00F236C1"/>
    <w:rsid w:val="00F27289"/>
    <w:rsid w:val="00F31D0B"/>
    <w:rsid w:val="00F34DE5"/>
    <w:rsid w:val="00F3631B"/>
    <w:rsid w:val="00F37DE1"/>
    <w:rsid w:val="00F461BE"/>
    <w:rsid w:val="00F463ED"/>
    <w:rsid w:val="00F4704E"/>
    <w:rsid w:val="00F50C76"/>
    <w:rsid w:val="00F511E9"/>
    <w:rsid w:val="00F5202C"/>
    <w:rsid w:val="00F5556A"/>
    <w:rsid w:val="00F55E9F"/>
    <w:rsid w:val="00F62091"/>
    <w:rsid w:val="00F63E5F"/>
    <w:rsid w:val="00F64E2D"/>
    <w:rsid w:val="00F70AC7"/>
    <w:rsid w:val="00F75193"/>
    <w:rsid w:val="00F75DAA"/>
    <w:rsid w:val="00F76F1D"/>
    <w:rsid w:val="00F81A11"/>
    <w:rsid w:val="00F82293"/>
    <w:rsid w:val="00F831A2"/>
    <w:rsid w:val="00F85406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D771B"/>
    <w:rsid w:val="00FE08CF"/>
    <w:rsid w:val="00FE1581"/>
    <w:rsid w:val="00FE18C9"/>
    <w:rsid w:val="00FE2289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manufacturière, proportion en % </a:t>
            </a:r>
          </a:p>
        </c:rich>
      </c:tx>
      <c:layout>
        <c:manualLayout>
          <c:xMode val="edge"/>
          <c:yMode val="edge"/>
          <c:x val="9.4872565271446482E-2"/>
          <c:y val="3.5398211942257209E-2"/>
        </c:manualLayout>
      </c:layout>
    </c:title>
    <c:plotArea>
      <c:layout>
        <c:manualLayout>
          <c:layoutTarget val="inner"/>
          <c:xMode val="edge"/>
          <c:yMode val="edge"/>
          <c:x val="0.12333684404099172"/>
          <c:y val="0.26377789442986332"/>
          <c:w val="0.67871842452815334"/>
          <c:h val="0.5518861475648877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24.05</c:v>
                </c:pt>
                <c:pt idx="1">
                  <c:v>3.2800000000000002</c:v>
                </c:pt>
                <c:pt idx="2">
                  <c:v>20.9</c:v>
                </c:pt>
                <c:pt idx="3">
                  <c:v>22.6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44.39</c:v>
                </c:pt>
                <c:pt idx="1">
                  <c:v>73.89</c:v>
                </c:pt>
                <c:pt idx="2">
                  <c:v>66.410000000000025</c:v>
                </c:pt>
                <c:pt idx="3">
                  <c:v>48.94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31.57</c:v>
                </c:pt>
                <c:pt idx="1">
                  <c:v>22.830000000000005</c:v>
                </c:pt>
                <c:pt idx="2">
                  <c:v>12.69</c:v>
                </c:pt>
                <c:pt idx="3">
                  <c:v>28.459999999999987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-7.52</c:v>
                </c:pt>
                <c:pt idx="1">
                  <c:v>-19.55</c:v>
                </c:pt>
                <c:pt idx="2">
                  <c:v>8.2100000000000009</c:v>
                </c:pt>
                <c:pt idx="3">
                  <c:v>-5.8599999999999985</c:v>
                </c:pt>
              </c:numCache>
            </c:numRef>
          </c:val>
        </c:ser>
        <c:axId val="139960704"/>
        <c:axId val="139962240"/>
      </c:barChart>
      <c:catAx>
        <c:axId val="139960704"/>
        <c:scaling>
          <c:orientation val="minMax"/>
        </c:scaling>
        <c:axPos val="b"/>
        <c:majorGridlines>
          <c:spPr>
            <a:ln w="9558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962240"/>
        <c:crosses val="autoZero"/>
        <c:auto val="1"/>
        <c:lblAlgn val="ctr"/>
        <c:lblOffset val="100"/>
      </c:catAx>
      <c:valAx>
        <c:axId val="139962240"/>
        <c:scaling>
          <c:orientation val="minMax"/>
          <c:max val="80"/>
        </c:scaling>
        <c:axPos val="l"/>
        <c:majorGridlines>
          <c:spPr>
            <a:ln w="9558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96070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47686144498"/>
          <c:y val="0.41368889435695577"/>
          <c:w val="0.16643804392871939"/>
          <c:h val="0.29893413713910783"/>
        </c:manualLayout>
      </c:layout>
      <c:txPr>
        <a:bodyPr/>
        <a:lstStyle/>
        <a:p>
          <a:pPr>
            <a:defRPr sz="7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extractive, proportion en % </a:t>
            </a:r>
          </a:p>
        </c:rich>
      </c:tx>
    </c:title>
    <c:plotArea>
      <c:layout>
        <c:manualLayout>
          <c:layoutTarget val="inner"/>
          <c:xMode val="edge"/>
          <c:yMode val="edge"/>
          <c:x val="0.13273226811560834"/>
          <c:y val="0.19290867007914428"/>
          <c:w val="0.63614280671057266"/>
          <c:h val="0.6342764073093654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91.98</c:v>
                </c:pt>
                <c:pt idx="1">
                  <c:v>0</c:v>
                </c:pt>
                <c:pt idx="2">
                  <c:v>8.5300000000000011</c:v>
                </c:pt>
                <c:pt idx="3">
                  <c:v>2.08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6.34</c:v>
                </c:pt>
                <c:pt idx="1">
                  <c:v>97.940000000000026</c:v>
                </c:pt>
                <c:pt idx="2">
                  <c:v>4.5</c:v>
                </c:pt>
                <c:pt idx="3">
                  <c:v>90.649999999999991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1.6800000000000008</c:v>
                </c:pt>
                <c:pt idx="1">
                  <c:v>2.06</c:v>
                </c:pt>
                <c:pt idx="2">
                  <c:v>86.97</c:v>
                </c:pt>
                <c:pt idx="3">
                  <c:v>7.28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90.3</c:v>
                </c:pt>
                <c:pt idx="1">
                  <c:v>-2.06</c:v>
                </c:pt>
                <c:pt idx="2">
                  <c:v>-78.430000000000007</c:v>
                </c:pt>
                <c:pt idx="3">
                  <c:v>-5.2</c:v>
                </c:pt>
              </c:numCache>
            </c:numRef>
          </c:val>
        </c:ser>
        <c:axId val="139339264"/>
        <c:axId val="139340800"/>
      </c:barChart>
      <c:catAx>
        <c:axId val="1393392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340800"/>
        <c:crosses val="autoZero"/>
        <c:auto val="1"/>
        <c:lblAlgn val="ctr"/>
        <c:lblOffset val="100"/>
      </c:catAx>
      <c:valAx>
        <c:axId val="139340800"/>
        <c:scaling>
          <c:orientation val="minMax"/>
          <c:max val="100"/>
          <c:min val="-80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33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653736816221"/>
          <c:y val="0.36872400565313951"/>
          <c:w val="0.15338211218351389"/>
          <c:h val="0.30596486977589393"/>
        </c:manualLayout>
      </c:layout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7" b="1" i="0" baseline="0"/>
              <a:t>Opinion des entreprises dans l'industrie environnementale, proportion en % </a:t>
            </a:r>
            <a:endParaRPr lang="fr-FR" sz="1000" b="1"/>
          </a:p>
        </c:rich>
      </c:tx>
      <c:layout>
        <c:manualLayout>
          <c:xMode val="edge"/>
          <c:yMode val="edge"/>
          <c:x val="9.5874788226722504E-2"/>
          <c:y val="9.5961039552137001E-2"/>
        </c:manualLayout>
      </c:layout>
    </c:title>
    <c:plotArea>
      <c:layout>
        <c:manualLayout>
          <c:layoutTarget val="inner"/>
          <c:xMode val="edge"/>
          <c:yMode val="edge"/>
          <c:x val="8.9659469985609072E-2"/>
          <c:y val="0.23657338986473037"/>
          <c:w val="0.71127152654306158"/>
          <c:h val="0.576599636583905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93.57</c:v>
                </c:pt>
                <c:pt idx="1">
                  <c:v>0</c:v>
                </c:pt>
                <c:pt idx="2">
                  <c:v>0</c:v>
                </c:pt>
                <c:pt idx="3">
                  <c:v>14.21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6.4300000000000024</c:v>
                </c:pt>
                <c:pt idx="1">
                  <c:v>99.990000000000023</c:v>
                </c:pt>
                <c:pt idx="2">
                  <c:v>100</c:v>
                </c:pt>
                <c:pt idx="3">
                  <c:v>6.42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1.0000000000000005E-2</c:v>
                </c:pt>
                <c:pt idx="2">
                  <c:v>0</c:v>
                </c:pt>
                <c:pt idx="3">
                  <c:v>79.36999999999999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93.57</c:v>
                </c:pt>
                <c:pt idx="1">
                  <c:v>-1.0000000000000005E-2</c:v>
                </c:pt>
                <c:pt idx="2">
                  <c:v>0</c:v>
                </c:pt>
                <c:pt idx="3">
                  <c:v>-65.16</c:v>
                </c:pt>
              </c:numCache>
            </c:numRef>
          </c:val>
        </c:ser>
        <c:axId val="140077312"/>
        <c:axId val="140103680"/>
      </c:barChart>
      <c:catAx>
        <c:axId val="140077312"/>
        <c:scaling>
          <c:orientation val="minMax"/>
        </c:scaling>
        <c:axPos val="b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/>
          <a:lstStyle/>
          <a:p>
            <a:pPr>
              <a:defRPr sz="798" b="1"/>
            </a:pPr>
            <a:endParaRPr lang="fr-FR"/>
          </a:p>
        </c:txPr>
        <c:crossAx val="140103680"/>
        <c:crosses val="autoZero"/>
        <c:auto val="1"/>
        <c:lblAlgn val="ctr"/>
        <c:lblOffset val="100"/>
      </c:catAx>
      <c:valAx>
        <c:axId val="140103680"/>
        <c:scaling>
          <c:orientation val="minMax"/>
          <c:max val="110"/>
          <c:min val="-70"/>
        </c:scaling>
        <c:axPos val="l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140077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71565761637"/>
          <c:y val="0.364085992141156"/>
          <c:w val="0.17141758617965408"/>
          <c:h val="0.37639221397903344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énergétique, proportion en % </a:t>
            </a:r>
          </a:p>
        </c:rich>
      </c:tx>
      <c:layout>
        <c:manualLayout>
          <c:xMode val="edge"/>
          <c:yMode val="edge"/>
          <c:x val="0.11410358018973119"/>
          <c:y val="5.4508094745037677E-2"/>
        </c:manualLayout>
      </c:layout>
    </c:title>
    <c:plotArea>
      <c:layout>
        <c:manualLayout>
          <c:layoutTarget val="inner"/>
          <c:xMode val="edge"/>
          <c:yMode val="edge"/>
          <c:x val="0.12637886621480804"/>
          <c:y val="0.19404327218279996"/>
          <c:w val="0.69565666633443712"/>
          <c:h val="0.58336523319200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11.89</c:v>
                </c:pt>
                <c:pt idx="1">
                  <c:v>0</c:v>
                </c:pt>
                <c:pt idx="2">
                  <c:v>96.490000000000023</c:v>
                </c:pt>
                <c:pt idx="3">
                  <c:v>13.08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8.19</c:v>
                </c:pt>
                <c:pt idx="1">
                  <c:v>100</c:v>
                </c:pt>
                <c:pt idx="2">
                  <c:v>3.51</c:v>
                </c:pt>
                <c:pt idx="3">
                  <c:v>0.97000000000000042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79.930000000000007</c:v>
                </c:pt>
                <c:pt idx="1">
                  <c:v>0</c:v>
                </c:pt>
                <c:pt idx="2">
                  <c:v>0</c:v>
                </c:pt>
                <c:pt idx="3">
                  <c:v>85.95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-68.040000000000006</c:v>
                </c:pt>
                <c:pt idx="1">
                  <c:v>0</c:v>
                </c:pt>
                <c:pt idx="2">
                  <c:v>96.490000000000023</c:v>
                </c:pt>
                <c:pt idx="3">
                  <c:v>-72.86999999999999</c:v>
                </c:pt>
              </c:numCache>
            </c:numRef>
          </c:val>
        </c:ser>
        <c:axId val="135966080"/>
        <c:axId val="135984256"/>
      </c:barChart>
      <c:catAx>
        <c:axId val="135966080"/>
        <c:scaling>
          <c:orientation val="minMax"/>
        </c:scaling>
        <c:axPos val="b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5984256"/>
        <c:crossesAt val="0"/>
        <c:auto val="1"/>
        <c:lblAlgn val="ctr"/>
        <c:lblOffset val="100"/>
      </c:catAx>
      <c:valAx>
        <c:axId val="135984256"/>
        <c:scaling>
          <c:orientation val="minMax"/>
          <c:max val="105"/>
          <c:min val="-80"/>
        </c:scaling>
        <c:axPos val="l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596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52692433049"/>
          <c:y val="0.37531845216595677"/>
          <c:w val="0.17841147307566951"/>
          <c:h val="0.34528546317031489"/>
        </c:manualLayout>
      </c:layout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entreprises sur l'activité  de la construction, proportion en %</a:t>
            </a:r>
            <a:endParaRPr lang="fr-FR" sz="900"/>
          </a:p>
        </c:rich>
      </c:tx>
      <c:layout>
        <c:manualLayout>
          <c:xMode val="edge"/>
          <c:yMode val="edge"/>
          <c:x val="0.17455783648332379"/>
          <c:y val="3.6907335735575454E-2"/>
        </c:manualLayout>
      </c:layout>
    </c:title>
    <c:plotArea>
      <c:layout>
        <c:manualLayout>
          <c:layoutTarget val="inner"/>
          <c:xMode val="edge"/>
          <c:yMode val="edge"/>
          <c:x val="0.15467011232195038"/>
          <c:y val="0.18761435756985445"/>
          <c:w val="0.6823019972372395"/>
          <c:h val="0.539551047644468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</c:v>
                </c:pt>
                <c:pt idx="1">
                  <c:v>18.999970000000001</c:v>
                </c:pt>
                <c:pt idx="2">
                  <c:v>10.281081</c:v>
                </c:pt>
                <c:pt idx="3">
                  <c:v>30.264807999999999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61</c:v>
                </c:pt>
                <c:pt idx="1">
                  <c:v>73.976307999999989</c:v>
                </c:pt>
                <c:pt idx="2">
                  <c:v>63.477274999999999</c:v>
                </c:pt>
                <c:pt idx="3">
                  <c:v>49.211497000000001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19</c:v>
                </c:pt>
                <c:pt idx="1">
                  <c:v>7.02372</c:v>
                </c:pt>
                <c:pt idx="2">
                  <c:v>26.241641999999981</c:v>
                </c:pt>
                <c:pt idx="3">
                  <c:v>20.523693000000002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1.1624003158962313</c:v>
                </c:pt>
                <c:pt idx="1">
                  <c:v>11.97625</c:v>
                </c:pt>
                <c:pt idx="2">
                  <c:v>-15.960561</c:v>
                </c:pt>
                <c:pt idx="3">
                  <c:v>9.7411149999999971</c:v>
                </c:pt>
              </c:numCache>
            </c:numRef>
          </c:val>
        </c:ser>
        <c:axId val="139858688"/>
        <c:axId val="139860224"/>
      </c:barChart>
      <c:catAx>
        <c:axId val="139858688"/>
        <c:scaling>
          <c:orientation val="minMax"/>
        </c:scaling>
        <c:axPos val="b"/>
        <c:majorGridlines>
          <c:spPr>
            <a:ln w="952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spPr>
          <a:ln w="25405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139860224"/>
        <c:crosses val="autoZero"/>
        <c:auto val="1"/>
        <c:lblAlgn val="ctr"/>
        <c:lblOffset val="100"/>
      </c:catAx>
      <c:valAx>
        <c:axId val="139860224"/>
        <c:scaling>
          <c:orientation val="minMax"/>
          <c:min val="-20"/>
        </c:scaling>
        <c:axPos val="l"/>
        <c:majorGridlines>
          <c:spPr>
            <a:ln w="15879" cap="flat" cmpd="sng" algn="ctr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spPr>
          <a:ln w="19053"/>
        </c:spPr>
        <c:crossAx val="139858688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152397126044152"/>
          <c:y val="0.45208772632234556"/>
          <c:w val="0.17518528741204994"/>
          <c:h val="0.25530851016504313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899" b="1" i="0" baseline="0"/>
              <a:t>Anticipations des 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26970875628"/>
          <c:y val="4.9235946733652156E-2"/>
        </c:manualLayout>
      </c:layout>
    </c:title>
    <c:plotArea>
      <c:layout>
        <c:manualLayout>
          <c:layoutTarget val="inner"/>
          <c:xMode val="edge"/>
          <c:yMode val="edge"/>
          <c:x val="8.6857611548556465E-2"/>
          <c:y val="0.19666675444833609"/>
          <c:w val="0.70446064612293757"/>
          <c:h val="0.7005646390518465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49.92</c:v>
                </c:pt>
                <c:pt idx="1">
                  <c:v>89.9</c:v>
                </c:pt>
                <c:pt idx="2">
                  <c:v>10.68</c:v>
                </c:pt>
                <c:pt idx="3">
                  <c:v>93.57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38.980000000000004</c:v>
                </c:pt>
                <c:pt idx="1">
                  <c:v>10.1</c:v>
                </c:pt>
                <c:pt idx="2">
                  <c:v>89.32</c:v>
                </c:pt>
                <c:pt idx="3">
                  <c:v>6.4300000000000024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11.1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38.82</c:v>
                </c:pt>
                <c:pt idx="1">
                  <c:v>89.9</c:v>
                </c:pt>
                <c:pt idx="2">
                  <c:v>10.68</c:v>
                </c:pt>
                <c:pt idx="3">
                  <c:v>93.57</c:v>
                </c:pt>
              </c:numCache>
            </c:numRef>
          </c:val>
        </c:ser>
        <c:axId val="139282304"/>
        <c:axId val="139283840"/>
      </c:barChart>
      <c:catAx>
        <c:axId val="139282304"/>
        <c:scaling>
          <c:orientation val="minMax"/>
        </c:scaling>
        <c:axPos val="b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139283840"/>
        <c:crosses val="autoZero"/>
        <c:auto val="1"/>
        <c:lblAlgn val="ctr"/>
        <c:lblOffset val="100"/>
      </c:catAx>
      <c:valAx>
        <c:axId val="139283840"/>
        <c:scaling>
          <c:orientation val="minMax"/>
        </c:scaling>
        <c:axPos val="l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13928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81842329949784"/>
          <c:y val="0.2753757467433135"/>
          <c:w val="0.17618157670050272"/>
          <c:h val="0.32513244126692747"/>
        </c:manualLayout>
      </c:layout>
      <c:txPr>
        <a:bodyPr/>
        <a:lstStyle/>
        <a:p>
          <a:pPr>
            <a:defRPr sz="799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entreprises sur l'activité  de construction, proportion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0731787693205017"/>
          <c:y val="0.19951345634034762"/>
          <c:w val="0.71733566637503665"/>
          <c:h val="0.5807458769146396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35</c:v>
                </c:pt>
                <c:pt idx="1">
                  <c:v>17</c:v>
                </c:pt>
                <c:pt idx="2">
                  <c:v>41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40</c:v>
                </c:pt>
                <c:pt idx="1">
                  <c:v>48</c:v>
                </c:pt>
                <c:pt idx="2">
                  <c:v>36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  <c:pt idx="2">
                  <c:v>24</c:v>
                </c:pt>
                <c:pt idx="3">
                  <c:v>18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10</c:v>
                </c:pt>
                <c:pt idx="1">
                  <c:v>-18</c:v>
                </c:pt>
                <c:pt idx="2">
                  <c:v>17</c:v>
                </c:pt>
                <c:pt idx="3">
                  <c:v>25</c:v>
                </c:pt>
              </c:numCache>
            </c:numRef>
          </c:val>
        </c:ser>
        <c:axId val="140602368"/>
        <c:axId val="140608256"/>
      </c:barChart>
      <c:catAx>
        <c:axId val="140602368"/>
        <c:scaling>
          <c:orientation val="minMax"/>
        </c:scaling>
        <c:axPos val="b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0608256"/>
        <c:crosses val="autoZero"/>
        <c:auto val="1"/>
        <c:lblAlgn val="ctr"/>
        <c:lblOffset val="100"/>
      </c:catAx>
      <c:valAx>
        <c:axId val="140608256"/>
        <c:scaling>
          <c:orientation val="minMax"/>
          <c:max val="50"/>
          <c:min val="-20"/>
        </c:scaling>
        <c:axPos val="l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0602368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4336280050883261"/>
          <c:y val="0.36661936692542441"/>
          <c:w val="0.15663719949116803"/>
          <c:h val="0.2573295122561976"/>
        </c:manualLayout>
      </c:layout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DECEE-EFBA-4E38-A749-6E950F19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user</cp:lastModifiedBy>
  <cp:revision>2</cp:revision>
  <cp:lastPrinted>2017-06-16T13:23:00Z</cp:lastPrinted>
  <dcterms:created xsi:type="dcterms:W3CDTF">2017-06-19T10:21:00Z</dcterms:created>
  <dcterms:modified xsi:type="dcterms:W3CDTF">2017-06-19T10:21:00Z</dcterms:modified>
</cp:coreProperties>
</file>