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8C0B0D" w:rsidP="006A31C1">
      <w:pPr>
        <w:bidi/>
        <w:jc w:val="center"/>
        <w:outlineLvl w:val="0"/>
      </w:pPr>
      <w:r>
        <w:t xml:space="preserve">                     </w:t>
      </w:r>
    </w:p>
    <w:p w:rsidR="006A31C1" w:rsidRDefault="006A31C1" w:rsidP="006A31C1">
      <w:pPr>
        <w:bidi/>
        <w:jc w:val="center"/>
        <w:outlineLvl w:val="0"/>
      </w:pPr>
    </w:p>
    <w:p w:rsidR="006A31C1" w:rsidRDefault="006A31C1" w:rsidP="006A31C1">
      <w:pPr>
        <w:bidi/>
        <w:jc w:val="center"/>
        <w:outlineLvl w:val="0"/>
      </w:pPr>
    </w:p>
    <w:p w:rsidR="00453FB2" w:rsidRDefault="001D181C" w:rsidP="00E52CA4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16.9pt;width:655pt;height:354.8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48961331" r:id="rId8"/>
        </w:pict>
      </w: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E52CA4" w:rsidRDefault="00E52CA4" w:rsidP="00E52CA4">
      <w:pPr>
        <w:bidi/>
        <w:jc w:val="center"/>
        <w:rPr>
          <w:b/>
          <w:bCs/>
          <w:sz w:val="36"/>
          <w:szCs w:val="36"/>
          <w:lang w:bidi="ar-MA"/>
        </w:rPr>
      </w:pPr>
    </w:p>
    <w:p w:rsidR="00E52CA4" w:rsidRDefault="00E52CA4" w:rsidP="00E52CA4">
      <w:pPr>
        <w:bidi/>
        <w:jc w:val="center"/>
        <w:rPr>
          <w:b/>
          <w:bCs/>
          <w:sz w:val="36"/>
          <w:szCs w:val="36"/>
          <w:lang w:bidi="ar-MA"/>
        </w:rPr>
      </w:pPr>
    </w:p>
    <w:p w:rsidR="00E52CA4" w:rsidRPr="001867EA" w:rsidRDefault="00E52CA4" w:rsidP="00E52CA4">
      <w:pPr>
        <w:bidi/>
        <w:jc w:val="center"/>
        <w:rPr>
          <w:b/>
          <w:bCs/>
          <w:color w:val="FF0000"/>
          <w:sz w:val="36"/>
          <w:szCs w:val="36"/>
          <w:lang w:bidi="ar-MA"/>
        </w:rPr>
      </w:pPr>
      <w:r w:rsidRPr="001867EA">
        <w:rPr>
          <w:b/>
          <w:bCs/>
          <w:color w:val="FF0000"/>
          <w:sz w:val="36"/>
          <w:szCs w:val="36"/>
          <w:rtl/>
          <w:lang w:bidi="ar-MA"/>
        </w:rPr>
        <w:t>مذكرة إخبارية حول الحسابات الوطنية</w:t>
      </w:r>
    </w:p>
    <w:p w:rsidR="00E52CA4" w:rsidRPr="001867EA" w:rsidRDefault="00E52CA4" w:rsidP="00E52CA4">
      <w:pPr>
        <w:bidi/>
        <w:jc w:val="center"/>
        <w:rPr>
          <w:b/>
          <w:bCs/>
          <w:color w:val="FF0000"/>
          <w:sz w:val="36"/>
          <w:szCs w:val="36"/>
          <w:rtl/>
          <w:lang w:bidi="ar-MA"/>
        </w:rPr>
      </w:pPr>
      <w:r w:rsidRPr="001867EA">
        <w:rPr>
          <w:b/>
          <w:bCs/>
          <w:color w:val="FF0000"/>
          <w:sz w:val="36"/>
          <w:szCs w:val="36"/>
          <w:rtl/>
          <w:lang w:bidi="ar-MA"/>
        </w:rPr>
        <w:t>للقطاعات المؤسساتية لسنة 2015</w:t>
      </w:r>
    </w:p>
    <w:p w:rsidR="00E52CA4" w:rsidRPr="001867EA" w:rsidRDefault="00E52CA4" w:rsidP="00E52CA4">
      <w:pPr>
        <w:bidi/>
        <w:rPr>
          <w:color w:val="FF0000"/>
          <w:sz w:val="32"/>
          <w:szCs w:val="32"/>
          <w:rtl/>
          <w:lang w:bidi="ar-MA"/>
        </w:rPr>
      </w:pPr>
    </w:p>
    <w:p w:rsidR="00E52CA4" w:rsidRDefault="00E52CA4" w:rsidP="00E52CA4">
      <w:pPr>
        <w:bidi/>
        <w:rPr>
          <w:sz w:val="32"/>
          <w:szCs w:val="32"/>
          <w:lang w:bidi="ar-MA"/>
        </w:rPr>
      </w:pPr>
    </w:p>
    <w:p w:rsidR="00E52CA4" w:rsidRPr="001867EA" w:rsidRDefault="00391674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للتذكير،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بلغ الناتج الداخلي الاجمالي للاقتصاد الوطني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بالقيمة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982,2 مليار درهم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سنة 2015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، مسجلا </w:t>
      </w:r>
      <w:r w:rsidR="0070523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بذلك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ارتفاعا نسبته 6,3</w:t>
      </w:r>
      <w:r w:rsidR="003D78B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% مقارنة مع سنة 2014.</w:t>
      </w: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وتعتبر الحسابات الوطنية المؤقتة للقطاعات المؤسساتية تكملة لنتائج الحسابات التي نشرت خلال شهر يونيو 201</w:t>
      </w:r>
      <w:r w:rsidR="004D3AA8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6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، </w:t>
      </w:r>
      <w:r w:rsidR="0070523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إذ توفر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سلسلة متكاملة من الحسابات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غير المالية و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المالية للقطاعات المؤسساتية و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القطاعات الفرعية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بالنسبة لنفس السنة، وكذلك جدول الحسابات الاقتصادية المتكاملة وجدول العمليات المالية.</w:t>
      </w:r>
    </w:p>
    <w:p w:rsidR="0070523B" w:rsidRPr="001867EA" w:rsidRDefault="0070523B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sz w:val="28"/>
          <w:szCs w:val="28"/>
          <w:rtl/>
          <w:lang w:bidi="ar-MA"/>
        </w:rPr>
        <w:t>وقد أظهرت نتائج هذه الحسابات خلال سنة 2015</w:t>
      </w:r>
      <w:r w:rsidR="00F07FEB" w:rsidRPr="001867EA">
        <w:rPr>
          <w:rFonts w:ascii="Book Antiqua" w:eastAsia="SimHei" w:hAnsi="Book Antiqua"/>
          <w:sz w:val="28"/>
          <w:szCs w:val="28"/>
          <w:rtl/>
          <w:lang w:bidi="ar-MA"/>
        </w:rPr>
        <w:t xml:space="preserve"> ما</w:t>
      </w:r>
      <w:r w:rsidR="00033A60" w:rsidRPr="001867EA">
        <w:rPr>
          <w:rFonts w:ascii="Book Antiqua" w:eastAsia="SimHei" w:hAnsi="Book Antiqua"/>
          <w:sz w:val="28"/>
          <w:szCs w:val="28"/>
          <w:lang w:bidi="ar-MA"/>
        </w:rPr>
        <w:t xml:space="preserve"> </w:t>
      </w:r>
      <w:r w:rsidR="00F07FEB" w:rsidRPr="001867EA">
        <w:rPr>
          <w:rFonts w:ascii="Book Antiqua" w:eastAsia="SimHei" w:hAnsi="Book Antiqua"/>
          <w:sz w:val="28"/>
          <w:szCs w:val="28"/>
          <w:rtl/>
          <w:lang w:bidi="ar-MA"/>
        </w:rPr>
        <w:t>يلي</w:t>
      </w:r>
      <w:r w:rsidRPr="001867EA">
        <w:rPr>
          <w:rFonts w:ascii="Book Antiqua" w:eastAsia="SimHei" w:hAnsi="Book Antiqua"/>
          <w:sz w:val="28"/>
          <w:szCs w:val="28"/>
          <w:rtl/>
          <w:lang w:bidi="ar-MA"/>
        </w:rPr>
        <w:t>:</w:t>
      </w: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sz w:val="28"/>
          <w:szCs w:val="28"/>
          <w:lang w:bidi="ar-MA"/>
        </w:rPr>
      </w:pPr>
    </w:p>
    <w:p w:rsidR="00E52CA4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تساهم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المالية وغير المالية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في خلق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42,1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من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الثروة الوطنية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كما تتوفر على 14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 من إجمالي الدخل الوطني المتاح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؛     </w:t>
      </w:r>
    </w:p>
    <w:p w:rsidR="00E52CA4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تنتج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 والمؤسسات غير الهادفة للربح </w:t>
      </w:r>
      <w:r w:rsidR="00F467E9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30,3 %  من القيمة المضافة الإجمالية كما تتوفر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على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64,3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من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إجمالي الدخل الوطني المتاح، مع تحسن القدرة الشرائية ب </w:t>
      </w:r>
      <w:r w:rsidR="00F467E9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1,5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%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في سياق يتسم بضبط التضخم؛</w:t>
      </w:r>
    </w:p>
    <w:p w:rsidR="0014749E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بخصوص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الادخار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:</w:t>
      </w:r>
    </w:p>
    <w:p w:rsidR="0014749E" w:rsidRPr="001867EA" w:rsidRDefault="006A2B3F" w:rsidP="001867EA">
      <w:pPr>
        <w:numPr>
          <w:ilvl w:val="1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ساهمت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المالية وغير المالية بما يعادل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51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2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="00D57F69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من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الادخار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الوطني؛</w:t>
      </w:r>
    </w:p>
    <w:p w:rsidR="00897784" w:rsidRPr="001867EA" w:rsidRDefault="006A2B3F" w:rsidP="001867EA">
      <w:pPr>
        <w:numPr>
          <w:ilvl w:val="1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حققت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والمؤسسات غير الهادفة للربح </w:t>
      </w:r>
      <w:r w:rsidR="0091789F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35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3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من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الادخار الوطني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؛</w:t>
      </w:r>
    </w:p>
    <w:p w:rsidR="00F07FEB" w:rsidRPr="001867EA" w:rsidRDefault="00F07FEB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بخصوص الاستثمار:</w:t>
      </w:r>
    </w:p>
    <w:p w:rsidR="00F07FEB" w:rsidRPr="001867EA" w:rsidRDefault="006A2B3F" w:rsidP="001867EA">
      <w:pPr>
        <w:numPr>
          <w:ilvl w:val="1"/>
          <w:numId w:val="37"/>
        </w:numPr>
        <w:bidi/>
        <w:spacing w:line="276" w:lineRule="auto"/>
        <w:ind w:right="284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ساهمت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المالية وغير المالية ب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56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1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إجمالي تكوين رأس المال الثابت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؛</w:t>
      </w:r>
    </w:p>
    <w:p w:rsidR="00E52CA4" w:rsidRPr="001867EA" w:rsidRDefault="006A2B3F" w:rsidP="001867EA">
      <w:pPr>
        <w:numPr>
          <w:ilvl w:val="1"/>
          <w:numId w:val="37"/>
        </w:numPr>
        <w:bidi/>
        <w:spacing w:line="276" w:lineRule="auto"/>
        <w:ind w:right="284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حققت الأسر 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والمؤسسات غير الهادفة للربح </w:t>
      </w:r>
      <w:r w:rsidR="0091789F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في خدمة 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الأسر 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28,4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من إجمالي</w:t>
      </w:r>
      <w:r w:rsidR="001867EA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تكوين رأس المال الثابت.</w:t>
      </w:r>
    </w:p>
    <w:p w:rsidR="006A2B3F" w:rsidRDefault="006A2B3F" w:rsidP="00D57F69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Pr="006A2B3F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lang w:bidi="ar-MA"/>
        </w:rPr>
      </w:pPr>
    </w:p>
    <w:p w:rsidR="00E52CA4" w:rsidRPr="0070523B" w:rsidRDefault="00E52CA4" w:rsidP="00E52CA4">
      <w:pPr>
        <w:bidi/>
        <w:spacing w:line="276" w:lineRule="auto"/>
        <w:ind w:right="-426"/>
        <w:jc w:val="both"/>
        <w:rPr>
          <w:b/>
          <w:bCs/>
          <w:color w:val="C00000"/>
          <w:sz w:val="32"/>
          <w:szCs w:val="32"/>
          <w:rtl/>
          <w:lang w:bidi="ar-MA"/>
        </w:rPr>
      </w:pPr>
      <w:r w:rsidRPr="0070523B">
        <w:rPr>
          <w:b/>
          <w:bCs/>
          <w:color w:val="C00000"/>
          <w:sz w:val="32"/>
          <w:szCs w:val="32"/>
          <w:rtl/>
          <w:lang w:bidi="ar-MA"/>
        </w:rPr>
        <w:lastRenderedPageBreak/>
        <w:t xml:space="preserve">مساهمة القطاعات المؤسساتية في الناتج الداخلي </w:t>
      </w:r>
      <w:r w:rsidR="00033A60" w:rsidRPr="0070523B">
        <w:rPr>
          <w:rFonts w:hint="cs"/>
          <w:b/>
          <w:bCs/>
          <w:color w:val="C00000"/>
          <w:sz w:val="32"/>
          <w:szCs w:val="32"/>
          <w:rtl/>
          <w:lang w:bidi="ar-MA"/>
        </w:rPr>
        <w:t>الإجمالي</w:t>
      </w:r>
      <w:r w:rsidRPr="0070523B">
        <w:rPr>
          <w:b/>
          <w:bCs/>
          <w:color w:val="C00000"/>
          <w:sz w:val="32"/>
          <w:szCs w:val="32"/>
          <w:rtl/>
          <w:lang w:bidi="ar-MA"/>
        </w:rPr>
        <w:t xml:space="preserve"> وإجمالي الدخل الوطني المتاح</w:t>
      </w:r>
    </w:p>
    <w:p w:rsidR="006A2B3F" w:rsidRDefault="006A2B3F" w:rsidP="007F023E">
      <w:pPr>
        <w:bidi/>
        <w:spacing w:line="276" w:lineRule="auto"/>
        <w:jc w:val="both"/>
        <w:rPr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بالرغم من التراجع 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>الطفيف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مساهمتها في الناتج الداخلي الإجمالي، 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>حافظت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الشركات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 المالية وغير المالية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على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مرتبتها الأولى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نتاج الثروة الوطنية</w:t>
      </w:r>
      <w:r w:rsidR="008C296D" w:rsidRPr="001867EA">
        <w:rPr>
          <w:rFonts w:ascii="Book Antiqua" w:hAnsi="Book Antiqua"/>
          <w:sz w:val="28"/>
          <w:szCs w:val="28"/>
          <w:rtl/>
          <w:lang w:bidi="ar-MA"/>
        </w:rPr>
        <w:t>،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 xml:space="preserve"> إذ ساهمت ب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نسبة 42,1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في الناتج الداخلي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2015 عوض 43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2014.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ومن جهتها، ارتفعت مساهمة الأسر 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 xml:space="preserve">والمؤسسات غير الهادفة للربح </w:t>
      </w:r>
      <w:r w:rsidR="008C296D" w:rsidRPr="001867EA">
        <w:rPr>
          <w:rFonts w:ascii="Book Antiqua" w:hAnsi="Book Antiqua"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 xml:space="preserve"> الأسر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في الناتج الداخلي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0,3 نقطة لتصل 30,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>3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2015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.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بينما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انخفضت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مساهمة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دارات العمومية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من 16,7 % سنة 2014 إلى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15,9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2015.</w:t>
      </w:r>
    </w:p>
    <w:p w:rsidR="00E52CA4" w:rsidRPr="001867EA" w:rsidRDefault="006A2B3F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وب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لغ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جمالي الدخل الوطني المتاح 1039,7 مليار درهم سنة 2015 عوض 985,9 مليار درهم سنة 2014، أي بزيادة قدرها 5,5% . ويرجع هذا التحسن الى ارتفاع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جمالي الدخل المتاح للشركات (المالية وغيرالمالية)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ب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نسب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ة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5B78FD" w:rsidRPr="001867EA">
        <w:rPr>
          <w:rFonts w:ascii="Book Antiqua" w:hAnsi="Book Antiqua"/>
          <w:sz w:val="28"/>
          <w:szCs w:val="28"/>
          <w:lang w:bidi="ar-MA"/>
        </w:rPr>
        <w:t>18,1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و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تزايد المداخيل المتاحة للأسر والإدارات العمومية ب 4,2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و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على التوالي.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lang w:bidi="ar-MA"/>
        </w:rPr>
      </w:pPr>
      <w:r w:rsidRPr="001867EA">
        <w:rPr>
          <w:rFonts w:ascii="Book Antiqua" w:hAnsi="Book Antiqua"/>
          <w:sz w:val="28"/>
          <w:szCs w:val="28"/>
          <w:lang w:bidi="ar-MA"/>
        </w:rPr>
        <w:t xml:space="preserve"> 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وبخصوص مساهمات القطاعات المؤسساتية في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إجمالي الدخل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الوطني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 المتاح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2015، يظهر أن: </w:t>
      </w:r>
    </w:p>
    <w:p w:rsidR="00E52CA4" w:rsidRPr="001867EA" w:rsidRDefault="00E52CA4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الأسر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تساهم ب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64,3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، </w:t>
      </w:r>
    </w:p>
    <w:p w:rsidR="00E52CA4" w:rsidRPr="001867EA" w:rsidRDefault="00033A60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الإدارات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العمومية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تساهم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بنسبة 21,7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%،</w:t>
      </w:r>
    </w:p>
    <w:p w:rsidR="00E52CA4" w:rsidRPr="001867EA" w:rsidRDefault="00E52CA4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الشركات  </w:t>
      </w:r>
      <w:r w:rsidR="00737AE9" w:rsidRPr="001867EA">
        <w:rPr>
          <w:rFonts w:ascii="Book Antiqua" w:hAnsi="Book Antiqua"/>
          <w:sz w:val="28"/>
          <w:szCs w:val="28"/>
          <w:rtl/>
          <w:lang w:bidi="ar-MA"/>
        </w:rPr>
        <w:t>تساهم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>14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(منها 2,4% </w:t>
      </w:r>
      <w:r w:rsidR="00827E1B" w:rsidRPr="001867EA">
        <w:rPr>
          <w:rFonts w:ascii="Book Antiqua" w:hAnsi="Book Antiqua"/>
          <w:sz w:val="28"/>
          <w:szCs w:val="28"/>
          <w:rtl/>
          <w:lang w:bidi="ar-MA"/>
        </w:rPr>
        <w:t xml:space="preserve">تعود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للشركات غير المالية).</w:t>
      </w:r>
    </w:p>
    <w:p w:rsidR="00E52CA4" w:rsidRPr="001867EA" w:rsidRDefault="009E2974" w:rsidP="008A6542">
      <w:pPr>
        <w:bidi/>
        <w:spacing w:line="400" w:lineRule="exact"/>
        <w:jc w:val="both"/>
        <w:rPr>
          <w:rFonts w:ascii="Book Antiqua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t>بنية</w:t>
      </w:r>
      <w:r w:rsidR="00E52CA4"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t xml:space="preserve"> إجمالي الدخل المتاح للأسر والقدرة الشرائية</w:t>
      </w:r>
    </w:p>
    <w:p w:rsidR="009E2974" w:rsidRPr="001867EA" w:rsidRDefault="009E2974" w:rsidP="008A6542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تشكل الأجور المكون الأول لإجمالي الدخل المتاح للأسر بنسبة 47,4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متبوعة بالدخل المختلط (بما فيه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جمالي فائض خدمة السكن) بنسبة 42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.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كما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تساهم كل من دخول الملكية والمنافع الاجتماعية والتحويلات ال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أ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خرى بنسبة 26,2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 xml:space="preserve">.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فيما 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>تؤثر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الضرائب على الدخل والثروة والمساهمات الاجتماعية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سلبية بلغت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15,5 % 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>من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إجمالي الدخل المتاح للأسر.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وقد بلغ الدخل المتاح للأسر حسب الفرد 19285 درهما سنة 2015 مقابل 18721 درهما سنة 2014 مسجلا بذلك زيادة بنسبة 3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(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عوض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0,5 % سنة 2014)</w:t>
      </w:r>
      <w:r w:rsidR="00801659" w:rsidRPr="001867EA">
        <w:rPr>
          <w:rFonts w:ascii="Book Antiqua" w:hAnsi="Book Antiqua"/>
          <w:sz w:val="28"/>
          <w:szCs w:val="28"/>
          <w:rtl/>
          <w:lang w:bidi="ar-MA"/>
        </w:rPr>
        <w:t xml:space="preserve">،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كما ارتفعت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الأسعار عند الاستهلاك بنسبة 1,6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سنة 2015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. ونتيجة لذلك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ازدادت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القدرة الشرائية للأسر بنسبة 1,5% أي بزيادة 1,4 نقطة مقارنة مع سنة 2014.</w:t>
      </w:r>
    </w:p>
    <w:p w:rsidR="00E52CA4" w:rsidRPr="001867EA" w:rsidRDefault="002B176B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وقد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خصصت نسبة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86,1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من إجمالي الدخل المتاح للأسر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لاستهلاك النهائي ال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ذ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ي بلغ 567,5 مليار درهم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مسجلا زيادة ب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2,6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مقارنة مع 2014.</w:t>
      </w:r>
    </w:p>
    <w:p w:rsidR="00E52CA4" w:rsidRPr="001867EA" w:rsidRDefault="00E73C3B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وقد ساهم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تزايد دخل الأسر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مهمة بلغت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4,2%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ارتفاع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معدل ادخار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لأسر ب 1,5 نقطة مسجلا 14,4% مقابل 12,9% </w:t>
      </w:r>
      <w:r w:rsidR="002B176B" w:rsidRPr="001867EA">
        <w:rPr>
          <w:rFonts w:ascii="Book Antiqua" w:hAnsi="Book Antiqua"/>
          <w:sz w:val="28"/>
          <w:szCs w:val="28"/>
          <w:rtl/>
          <w:lang w:bidi="ar-MA"/>
        </w:rPr>
        <w:t>ال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سنة </w:t>
      </w:r>
      <w:r w:rsidR="002B176B" w:rsidRPr="001867EA">
        <w:rPr>
          <w:rFonts w:ascii="Book Antiqua" w:hAnsi="Book Antiqua"/>
          <w:sz w:val="28"/>
          <w:szCs w:val="28"/>
          <w:rtl/>
          <w:lang w:bidi="ar-MA"/>
        </w:rPr>
        <w:t>المنصرمة</w:t>
      </w:r>
      <w:r w:rsidR="003A24CA" w:rsidRPr="001867EA">
        <w:rPr>
          <w:rFonts w:ascii="Book Antiqua" w:hAnsi="Book Antiqua"/>
          <w:sz w:val="28"/>
          <w:szCs w:val="28"/>
          <w:rtl/>
          <w:lang w:bidi="ar-MA"/>
        </w:rPr>
        <w:t>.</w:t>
      </w:r>
    </w:p>
    <w:p w:rsidR="00E52CA4" w:rsidRDefault="00E52CA4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P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Pr="001867EA" w:rsidRDefault="00E52CA4" w:rsidP="008A6542">
      <w:pPr>
        <w:bidi/>
        <w:spacing w:line="400" w:lineRule="exact"/>
        <w:jc w:val="both"/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</w:pPr>
      <w:r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t>بنية إجمالي تكوين رأس المال الثابت ووسائل تمويله</w:t>
      </w:r>
    </w:p>
    <w:p w:rsidR="00E52CA4" w:rsidRPr="001867EA" w:rsidRDefault="00073000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سجل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إجمالي تكوين رأس المال الثابت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281,5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2015 بزيادة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 xml:space="preserve">2,7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مقارنة مع سنة 2014. ويظهر توزيعه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حسب القطاعات المؤسساتية أن مساهمة الشركات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المالية وغير المالية خلال هاتين السنتين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بقيت مستقرة في حدود 56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%، </w:t>
      </w:r>
      <w:r w:rsidR="003A24CA" w:rsidRPr="001867EA">
        <w:rPr>
          <w:rFonts w:ascii="Book Antiqua" w:hAnsi="Book Antiqua"/>
          <w:sz w:val="28"/>
          <w:szCs w:val="28"/>
          <w:rtl/>
          <w:lang w:bidi="ar-MA"/>
        </w:rPr>
        <w:t xml:space="preserve">في حين عرفت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مساهمة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الإدارات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العمومية تحسنا طفيفا ب 0,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5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نقطة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(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15,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5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عوض 15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) بينما سجلت مساهمة الأسر تراجعا ب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 xml:space="preserve">0,5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نقطة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(28,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4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2015 مقابل 28,9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2014) .</w:t>
      </w:r>
    </w:p>
    <w:p w:rsidR="00F45C18" w:rsidRPr="001867EA" w:rsidRDefault="00F45C18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وبلغ الادخار الوطني من جهته 278 مليار درهم سنة 2015 عوض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243,9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2014  مسجلا تحسنا ب 14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عوض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0,7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2014. ويظهر توزيعه حسب القطاعات المؤسساتية أن الشركات المالية وغير المالية تساهم بنسبة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51,2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%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متبوعة بالأسر بنسبة </w:t>
      </w:r>
      <w:r w:rsidRPr="001867EA">
        <w:rPr>
          <w:rFonts w:ascii="Book Antiqua" w:hAnsi="Book Antiqua"/>
          <w:sz w:val="28"/>
          <w:szCs w:val="28"/>
          <w:lang w:bidi="ar-MA"/>
        </w:rPr>
        <w:t>35,3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ثم الإدارات العمومية بنسبة </w:t>
      </w:r>
      <w:r w:rsidRPr="001867EA">
        <w:rPr>
          <w:rFonts w:ascii="Book Antiqua" w:hAnsi="Book Antiqua"/>
          <w:sz w:val="28"/>
          <w:szCs w:val="28"/>
          <w:lang w:bidi="ar-MA"/>
        </w:rPr>
        <w:t>13,5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.</w:t>
      </w:r>
    </w:p>
    <w:p w:rsidR="00E52CA4" w:rsidRPr="001867EA" w:rsidRDefault="00F45C18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إجمالا، فإن الحاجة إلى تمويل الاقتصاد الوطني، التي تمثل رصيد العمليات الاقتصادية مع الخارج، بلغت 18,9 مليار درهم سنة 2015  مقابل 53,3 مليار درهم سنة 2014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،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منخفضة بذلك بنسبة 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64,4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.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م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مث</w:t>
      </w:r>
      <w:r w:rsidR="003D504A" w:rsidRPr="001867EA">
        <w:rPr>
          <w:rFonts w:ascii="Book Antiqua" w:hAnsi="Book Antiqua"/>
          <w:sz w:val="28"/>
          <w:szCs w:val="28"/>
          <w:rtl/>
          <w:lang w:bidi="ar-MA"/>
        </w:rPr>
        <w:t>ــ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من الناتج الداخلي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عوض 6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من قبل.</w:t>
      </w:r>
    </w:p>
    <w:p w:rsidR="00E52CA4" w:rsidRPr="001867EA" w:rsidRDefault="003A24CA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يعزى انخفاض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الحاجة إلى تمويل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الاقتصاد الوطني أساسا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إلى تحسن القدرة التمويلية للأسر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 xml:space="preserve">والمؤسسات غير الهادفة للربح </w:t>
      </w:r>
      <w:r w:rsidR="003D504A" w:rsidRPr="001867EA">
        <w:rPr>
          <w:rFonts w:ascii="Book Antiqua" w:hAnsi="Book Antiqua"/>
          <w:sz w:val="28"/>
          <w:szCs w:val="28"/>
          <w:rtl/>
          <w:lang w:bidi="ar-MA"/>
        </w:rPr>
        <w:t>في خدمة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 xml:space="preserve"> الأسر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التي انتقلت من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2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,6 مليار درهم إلى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1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6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6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و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أيضا تلك الخاصة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للشركات المالية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التي انتقلت من 12 مليار درهم سنة 2014 إلى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>15,4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2015، وإلى انخفاض الحاجة إلى التمويل بالنسبة للشركات غير المالية من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 xml:space="preserve"> 64,8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مليار درهم سنة 2014 إلى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>40,1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مل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يار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درهم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سنة 2015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. وبالمقابل، تفاقمت الحاجة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إلى التمويل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بالنسبة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للإدارات العمومية ب 4,1 مليار درهم بين سنتي 2014 و2015.</w:t>
      </w:r>
    </w:p>
    <w:p w:rsidR="00102449" w:rsidRPr="001867EA" w:rsidRDefault="00102449" w:rsidP="008A6542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8D2C71" w:rsidRPr="001867EA" w:rsidRDefault="008D2C71" w:rsidP="008D2C71">
      <w:pPr>
        <w:bidi/>
        <w:spacing w:line="276" w:lineRule="auto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E52CA4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Default="00102449" w:rsidP="00102449">
      <w:pPr>
        <w:bidi/>
        <w:jc w:val="center"/>
        <w:rPr>
          <w:sz w:val="28"/>
          <w:szCs w:val="28"/>
          <w:rtl/>
          <w:lang w:bidi="ar-MA"/>
        </w:rPr>
      </w:pPr>
    </w:p>
    <w:p w:rsidR="00E52CA4" w:rsidRDefault="00E52CA4" w:rsidP="00102449">
      <w:pPr>
        <w:bidi/>
        <w:jc w:val="center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t xml:space="preserve">   </w:t>
      </w:r>
      <w:r>
        <w:rPr>
          <w:b/>
          <w:bCs/>
          <w:color w:val="002060"/>
          <w:sz w:val="28"/>
          <w:szCs w:val="28"/>
          <w:rtl/>
          <w:lang w:bidi="ar-MA"/>
        </w:rPr>
        <w:t>بعض عناصر جدول الحسابات الاقتصادية المتكاملة</w:t>
      </w:r>
    </w:p>
    <w:p w:rsidR="00E52CA4" w:rsidRDefault="00E52CA4" w:rsidP="00E52CA4">
      <w:pPr>
        <w:bidi/>
        <w:jc w:val="center"/>
        <w:rPr>
          <w:b/>
          <w:bCs/>
          <w:color w:val="002060"/>
          <w:sz w:val="28"/>
          <w:szCs w:val="28"/>
          <w:rtl/>
          <w:lang w:bidi="ar-MA"/>
        </w:rPr>
      </w:pPr>
    </w:p>
    <w:p w:rsidR="00E52CA4" w:rsidRDefault="00E52CA4" w:rsidP="00E52CA4">
      <w:pPr>
        <w:bidi/>
        <w:ind w:right="709"/>
        <w:jc w:val="right"/>
        <w:rPr>
          <w:b/>
          <w:bCs/>
          <w:i/>
          <w:iCs/>
          <w:sz w:val="22"/>
          <w:szCs w:val="22"/>
          <w:rtl/>
          <w:lang w:bidi="ar-MA"/>
        </w:rPr>
      </w:pPr>
      <w:r>
        <w:rPr>
          <w:b/>
          <w:bCs/>
          <w:i/>
          <w:iCs/>
          <w:sz w:val="20"/>
          <w:szCs w:val="20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Look w:val="04A0"/>
      </w:tblPr>
      <w:tblGrid>
        <w:gridCol w:w="4419"/>
        <w:gridCol w:w="1276"/>
        <w:gridCol w:w="1276"/>
        <w:gridCol w:w="1275"/>
      </w:tblGrid>
      <w:tr w:rsidR="00E52CA4" w:rsidRPr="009567C7" w:rsidTr="0028131C">
        <w:trPr>
          <w:jc w:val="center"/>
        </w:trPr>
        <w:tc>
          <w:tcPr>
            <w:tcW w:w="441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923 897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 xml:space="preserve">696 923 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223 982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413 818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028 829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178 868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صافي الضرائب على المنتجات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510 7</w:t>
            </w:r>
            <w:r w:rsidR="002C1472" w:rsidRPr="009567C7">
              <w:rPr>
                <w:rFonts w:hint="cs"/>
                <w:color w:val="000000"/>
                <w:sz w:val="18"/>
                <w:szCs w:val="18"/>
                <w:rtl/>
                <w:lang w:bidi="ar-MA"/>
              </w:rPr>
              <w:t>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668 94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045 114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532 341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352 353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284 370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989 42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003 44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571 43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233 149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183 154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177 156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659 284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490 277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146 298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عناصر توزيع القيمة المضافة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color w:val="FF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392 125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556 132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979 137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615 8</w:t>
            </w:r>
            <w:r w:rsidR="0028131C" w:rsidRPr="00102449">
              <w:rPr>
                <w:rFonts w:hint="cs"/>
                <w:color w:val="002060"/>
                <w:sz w:val="18"/>
                <w:szCs w:val="18"/>
                <w:rtl/>
                <w:lang w:bidi="ar-MA"/>
              </w:rPr>
              <w:t xml:space="preserve">   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661 11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130 10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525 207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135 209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175 222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الشركات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المالية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838 13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467 14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147 15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820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839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940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331 28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697 28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484 27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621 135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937 138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107 139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401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428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484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211 13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818 14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586 16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904 18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288 19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254 20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901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063 1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932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854 264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139 257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960 276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628 958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917 985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742 039 1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الوطني الإجمالي المتاح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455 109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386 103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 xml:space="preserve"> 180 120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127 19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690 19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152 25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829 200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849 221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285 226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217 629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992 640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125 668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الادخار الوطني الإجمالي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174 242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866 243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048 278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color w:val="00B05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الوطني الإجمالي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455 109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386 103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180 120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732 16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180 17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186 22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520 22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008 38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565 37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467 93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292 85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117 98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ind w:left="567"/>
              <w:rPr>
                <w:color w:val="00B05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496 276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 xml:space="preserve">028 274 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492 281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B05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 xml:space="preserve">223 156 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300 151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660 154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436 1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593 2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345 3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541 39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071 41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575 43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296 79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064 79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912 79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183 69-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331 53-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994 18-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589 71-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815 64-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277 40-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248 13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006 12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483 15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487 22-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770 6-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833 10-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645 11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248 6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633 16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</w:tr>
    </w:tbl>
    <w:p w:rsidR="00E52CA4" w:rsidRPr="00E52CA4" w:rsidRDefault="00E52CA4" w:rsidP="00E52CA4">
      <w:pPr>
        <w:bidi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E52CA4">
      <w:pPr>
        <w:bidi/>
        <w:jc w:val="center"/>
        <w:rPr>
          <w:b/>
          <w:bCs/>
          <w:rtl/>
          <w:lang w:bidi="ar-MA"/>
        </w:rPr>
      </w:pPr>
    </w:p>
    <w:p w:rsidR="00102449" w:rsidRDefault="00102449" w:rsidP="00102449">
      <w:pPr>
        <w:bidi/>
        <w:jc w:val="center"/>
        <w:rPr>
          <w:b/>
          <w:bCs/>
          <w:rtl/>
          <w:lang w:bidi="ar-MA"/>
        </w:rPr>
      </w:pPr>
    </w:p>
    <w:p w:rsidR="00102449" w:rsidRDefault="00102449" w:rsidP="00102449">
      <w:pPr>
        <w:bidi/>
        <w:jc w:val="center"/>
        <w:rPr>
          <w:b/>
          <w:bCs/>
          <w:lang w:bidi="ar-MA"/>
        </w:rPr>
      </w:pPr>
    </w:p>
    <w:p w:rsidR="00E52CA4" w:rsidRDefault="00E52CA4" w:rsidP="00E52CA4">
      <w:pPr>
        <w:bidi/>
        <w:jc w:val="center"/>
        <w:rPr>
          <w:b/>
          <w:bCs/>
          <w:lang w:bidi="ar-MA"/>
        </w:rPr>
      </w:pPr>
      <w:r>
        <w:rPr>
          <w:b/>
          <w:bCs/>
          <w:rtl/>
          <w:lang w:bidi="ar-MA"/>
        </w:rPr>
        <w:t>بعض عناصر حساب الأسر</w:t>
      </w:r>
    </w:p>
    <w:p w:rsidR="00E52CA4" w:rsidRDefault="00E52CA4" w:rsidP="00E52CA4">
      <w:pPr>
        <w:bidi/>
        <w:jc w:val="center"/>
        <w:rPr>
          <w:b/>
          <w:bCs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4678"/>
        <w:gridCol w:w="1276"/>
        <w:gridCol w:w="1276"/>
        <w:gridCol w:w="1275"/>
      </w:tblGrid>
      <w:tr w:rsidR="00E52CA4" w:rsidRPr="009567C7" w:rsidTr="009567C7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2015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843 621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389 632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297 659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903 533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287 553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535 567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الإجمالي (بمليون 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335 90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612 81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728 94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معدل الادخار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14.5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12.9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14.4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حسب الفرد (بالدرهم)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630 18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720 18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285 19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الدخل الإجمالي المتاح حسب الفرد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0.5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الرقم الاستدلالي للأسعار عند الاستهلاك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 xml:space="preserve">1.9 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1.6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القدرة الشرائية للأسر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3.2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1.5</w:t>
            </w:r>
          </w:p>
        </w:tc>
      </w:tr>
    </w:tbl>
    <w:p w:rsidR="00E52CA4" w:rsidRPr="00E52CA4" w:rsidRDefault="00E52CA4" w:rsidP="00E52CA4">
      <w:pPr>
        <w:bidi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jc w:val="center"/>
        <w:rPr>
          <w:rtl/>
          <w:lang w:bidi="ar-MA"/>
        </w:rPr>
      </w:pPr>
    </w:p>
    <w:p w:rsidR="00E52CA4" w:rsidRDefault="00E52CA4" w:rsidP="00E52CA4">
      <w:pPr>
        <w:bidi/>
        <w:rPr>
          <w:sz w:val="32"/>
          <w:szCs w:val="32"/>
          <w:rtl/>
          <w:lang w:bidi="ar-MA"/>
        </w:rPr>
      </w:pPr>
    </w:p>
    <w:p w:rsidR="00957E66" w:rsidRDefault="00957E66" w:rsidP="00BD0B07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6A2B3F">
      <w:footerReference w:type="default" r:id="rId9"/>
      <w:pgSz w:w="11900" w:h="16840"/>
      <w:pgMar w:top="624" w:right="1191" w:bottom="1247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68" w:rsidRDefault="00E10468" w:rsidP="00611FF6">
      <w:r>
        <w:separator/>
      </w:r>
    </w:p>
  </w:endnote>
  <w:endnote w:type="continuationSeparator" w:id="0">
    <w:p w:rsidR="00E10468" w:rsidRDefault="00E10468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1D181C">
    <w:pPr>
      <w:pStyle w:val="Pieddepage"/>
      <w:jc w:val="center"/>
    </w:pPr>
    <w:fldSimple w:instr=" PAGE   \* MERGEFORMAT ">
      <w:r w:rsidR="00E10468">
        <w:rPr>
          <w:noProof/>
        </w:rPr>
        <w:t>1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68" w:rsidRDefault="00E10468" w:rsidP="00611FF6">
      <w:r>
        <w:separator/>
      </w:r>
    </w:p>
  </w:footnote>
  <w:footnote w:type="continuationSeparator" w:id="0">
    <w:p w:rsidR="00E10468" w:rsidRDefault="00E10468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EC8"/>
    <w:rsid w:val="00007F6C"/>
    <w:rsid w:val="0001513B"/>
    <w:rsid w:val="0003047A"/>
    <w:rsid w:val="00033A60"/>
    <w:rsid w:val="00044FC6"/>
    <w:rsid w:val="000532E5"/>
    <w:rsid w:val="000535AB"/>
    <w:rsid w:val="0005395B"/>
    <w:rsid w:val="00053BAE"/>
    <w:rsid w:val="00053CCE"/>
    <w:rsid w:val="000604C4"/>
    <w:rsid w:val="0006664F"/>
    <w:rsid w:val="00070FA9"/>
    <w:rsid w:val="0007102C"/>
    <w:rsid w:val="00073000"/>
    <w:rsid w:val="0007573E"/>
    <w:rsid w:val="000764F4"/>
    <w:rsid w:val="00085217"/>
    <w:rsid w:val="0008668A"/>
    <w:rsid w:val="000911F6"/>
    <w:rsid w:val="00091B25"/>
    <w:rsid w:val="0009383B"/>
    <w:rsid w:val="000A5F43"/>
    <w:rsid w:val="000B0B65"/>
    <w:rsid w:val="000B30F3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CEC"/>
    <w:rsid w:val="0014749E"/>
    <w:rsid w:val="00153501"/>
    <w:rsid w:val="00153F1B"/>
    <w:rsid w:val="0015763C"/>
    <w:rsid w:val="001610B6"/>
    <w:rsid w:val="00163195"/>
    <w:rsid w:val="001652A3"/>
    <w:rsid w:val="001704A9"/>
    <w:rsid w:val="00172297"/>
    <w:rsid w:val="001727AC"/>
    <w:rsid w:val="0017399D"/>
    <w:rsid w:val="001776B8"/>
    <w:rsid w:val="0018215F"/>
    <w:rsid w:val="001867EA"/>
    <w:rsid w:val="001940E6"/>
    <w:rsid w:val="001978BE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D181C"/>
    <w:rsid w:val="001D36CE"/>
    <w:rsid w:val="001D57E3"/>
    <w:rsid w:val="001E14D4"/>
    <w:rsid w:val="001E282C"/>
    <w:rsid w:val="001F1BDB"/>
    <w:rsid w:val="00204F31"/>
    <w:rsid w:val="002105CD"/>
    <w:rsid w:val="002138C2"/>
    <w:rsid w:val="00214114"/>
    <w:rsid w:val="00214222"/>
    <w:rsid w:val="0021605E"/>
    <w:rsid w:val="00220060"/>
    <w:rsid w:val="002325A2"/>
    <w:rsid w:val="002333D9"/>
    <w:rsid w:val="00235022"/>
    <w:rsid w:val="00242919"/>
    <w:rsid w:val="002434D0"/>
    <w:rsid w:val="002460AB"/>
    <w:rsid w:val="00252408"/>
    <w:rsid w:val="00261BD6"/>
    <w:rsid w:val="00264581"/>
    <w:rsid w:val="002649A4"/>
    <w:rsid w:val="002679E2"/>
    <w:rsid w:val="002706D3"/>
    <w:rsid w:val="0028131C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E0857"/>
    <w:rsid w:val="002E1150"/>
    <w:rsid w:val="002E140C"/>
    <w:rsid w:val="002E32E7"/>
    <w:rsid w:val="002E5B65"/>
    <w:rsid w:val="002E7900"/>
    <w:rsid w:val="002F06D0"/>
    <w:rsid w:val="002F2F51"/>
    <w:rsid w:val="002F3F44"/>
    <w:rsid w:val="00304E3D"/>
    <w:rsid w:val="00310172"/>
    <w:rsid w:val="0031028E"/>
    <w:rsid w:val="00310AC3"/>
    <w:rsid w:val="00315D02"/>
    <w:rsid w:val="003175C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7E82"/>
    <w:rsid w:val="003811C4"/>
    <w:rsid w:val="00381C63"/>
    <w:rsid w:val="003844C1"/>
    <w:rsid w:val="00385F5C"/>
    <w:rsid w:val="0038626B"/>
    <w:rsid w:val="00387214"/>
    <w:rsid w:val="00391333"/>
    <w:rsid w:val="00391674"/>
    <w:rsid w:val="0039250E"/>
    <w:rsid w:val="003A24CA"/>
    <w:rsid w:val="003A298E"/>
    <w:rsid w:val="003A72BC"/>
    <w:rsid w:val="003B1D13"/>
    <w:rsid w:val="003B489D"/>
    <w:rsid w:val="003B70DB"/>
    <w:rsid w:val="003C0365"/>
    <w:rsid w:val="003C1E9B"/>
    <w:rsid w:val="003D144A"/>
    <w:rsid w:val="003D504A"/>
    <w:rsid w:val="003D78B4"/>
    <w:rsid w:val="003E1434"/>
    <w:rsid w:val="003E5B3C"/>
    <w:rsid w:val="003F0099"/>
    <w:rsid w:val="003F481F"/>
    <w:rsid w:val="003F520A"/>
    <w:rsid w:val="003F6E61"/>
    <w:rsid w:val="003F73D5"/>
    <w:rsid w:val="00406475"/>
    <w:rsid w:val="00411FF2"/>
    <w:rsid w:val="004125AD"/>
    <w:rsid w:val="00414945"/>
    <w:rsid w:val="00414ADC"/>
    <w:rsid w:val="004358B1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83696"/>
    <w:rsid w:val="00483CA2"/>
    <w:rsid w:val="0049194E"/>
    <w:rsid w:val="00493A27"/>
    <w:rsid w:val="004B234D"/>
    <w:rsid w:val="004B3B96"/>
    <w:rsid w:val="004C6512"/>
    <w:rsid w:val="004D3AA8"/>
    <w:rsid w:val="004D509B"/>
    <w:rsid w:val="004E07C6"/>
    <w:rsid w:val="004E2BA5"/>
    <w:rsid w:val="004F5216"/>
    <w:rsid w:val="00500683"/>
    <w:rsid w:val="00501518"/>
    <w:rsid w:val="00502659"/>
    <w:rsid w:val="005171DC"/>
    <w:rsid w:val="00517558"/>
    <w:rsid w:val="005232D1"/>
    <w:rsid w:val="0052535A"/>
    <w:rsid w:val="00527898"/>
    <w:rsid w:val="0053489A"/>
    <w:rsid w:val="005361CB"/>
    <w:rsid w:val="00544E8F"/>
    <w:rsid w:val="005453AA"/>
    <w:rsid w:val="005460FF"/>
    <w:rsid w:val="005506AA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309"/>
    <w:rsid w:val="005D4183"/>
    <w:rsid w:val="005D43C3"/>
    <w:rsid w:val="005D47CE"/>
    <w:rsid w:val="005D7DE5"/>
    <w:rsid w:val="005E3DDE"/>
    <w:rsid w:val="005E53C6"/>
    <w:rsid w:val="005E5F5A"/>
    <w:rsid w:val="005F3D36"/>
    <w:rsid w:val="005F4449"/>
    <w:rsid w:val="00601E93"/>
    <w:rsid w:val="00611FF6"/>
    <w:rsid w:val="00612AEC"/>
    <w:rsid w:val="00617CED"/>
    <w:rsid w:val="00624CC3"/>
    <w:rsid w:val="00627A37"/>
    <w:rsid w:val="00627F7F"/>
    <w:rsid w:val="00630ACF"/>
    <w:rsid w:val="00630E5D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709D1"/>
    <w:rsid w:val="00670F45"/>
    <w:rsid w:val="00677067"/>
    <w:rsid w:val="00684363"/>
    <w:rsid w:val="0068542A"/>
    <w:rsid w:val="00686ACA"/>
    <w:rsid w:val="00690DEE"/>
    <w:rsid w:val="0069351C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A4C"/>
    <w:rsid w:val="006C4535"/>
    <w:rsid w:val="006C4FF6"/>
    <w:rsid w:val="006C5CE1"/>
    <w:rsid w:val="006D1BD0"/>
    <w:rsid w:val="006D2CA1"/>
    <w:rsid w:val="006E31A1"/>
    <w:rsid w:val="006F5946"/>
    <w:rsid w:val="006F7E04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509B"/>
    <w:rsid w:val="00737AE9"/>
    <w:rsid w:val="00754ED7"/>
    <w:rsid w:val="00761185"/>
    <w:rsid w:val="00766767"/>
    <w:rsid w:val="007676F1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D105C"/>
    <w:rsid w:val="007D5451"/>
    <w:rsid w:val="007D7B3D"/>
    <w:rsid w:val="007E6293"/>
    <w:rsid w:val="007E7367"/>
    <w:rsid w:val="007F023E"/>
    <w:rsid w:val="00801659"/>
    <w:rsid w:val="00804FBF"/>
    <w:rsid w:val="00807C7B"/>
    <w:rsid w:val="00810202"/>
    <w:rsid w:val="008131FD"/>
    <w:rsid w:val="008160A2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52FA"/>
    <w:rsid w:val="00855C2B"/>
    <w:rsid w:val="00856A05"/>
    <w:rsid w:val="00856F76"/>
    <w:rsid w:val="00860B1F"/>
    <w:rsid w:val="0086299B"/>
    <w:rsid w:val="0086308A"/>
    <w:rsid w:val="00870C10"/>
    <w:rsid w:val="00873EF8"/>
    <w:rsid w:val="00882655"/>
    <w:rsid w:val="00884C62"/>
    <w:rsid w:val="00892303"/>
    <w:rsid w:val="00892C76"/>
    <w:rsid w:val="00897784"/>
    <w:rsid w:val="008A0B6A"/>
    <w:rsid w:val="008A1CEF"/>
    <w:rsid w:val="008A6542"/>
    <w:rsid w:val="008B0D42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5A71"/>
    <w:rsid w:val="009160F6"/>
    <w:rsid w:val="0091789F"/>
    <w:rsid w:val="00917EA6"/>
    <w:rsid w:val="00922153"/>
    <w:rsid w:val="009304F3"/>
    <w:rsid w:val="00931202"/>
    <w:rsid w:val="00933CA5"/>
    <w:rsid w:val="00936D5A"/>
    <w:rsid w:val="00943A2F"/>
    <w:rsid w:val="00944ADD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33A9"/>
    <w:rsid w:val="009744F8"/>
    <w:rsid w:val="00976663"/>
    <w:rsid w:val="00976C97"/>
    <w:rsid w:val="00981C01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B5B8E"/>
    <w:rsid w:val="009C670F"/>
    <w:rsid w:val="009D02F6"/>
    <w:rsid w:val="009D2879"/>
    <w:rsid w:val="009D3DC5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369B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A51E8"/>
    <w:rsid w:val="00AA537F"/>
    <w:rsid w:val="00AB0640"/>
    <w:rsid w:val="00AB47DD"/>
    <w:rsid w:val="00AB47E1"/>
    <w:rsid w:val="00AB4BE9"/>
    <w:rsid w:val="00AC0648"/>
    <w:rsid w:val="00AC50E1"/>
    <w:rsid w:val="00AC528C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12374"/>
    <w:rsid w:val="00B1446A"/>
    <w:rsid w:val="00B15B9E"/>
    <w:rsid w:val="00B16B86"/>
    <w:rsid w:val="00B179A0"/>
    <w:rsid w:val="00B3013A"/>
    <w:rsid w:val="00B3138A"/>
    <w:rsid w:val="00B32235"/>
    <w:rsid w:val="00B33493"/>
    <w:rsid w:val="00B37D18"/>
    <w:rsid w:val="00B43A33"/>
    <w:rsid w:val="00B45BE1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85FFD"/>
    <w:rsid w:val="00B8745B"/>
    <w:rsid w:val="00B87AE4"/>
    <w:rsid w:val="00B92222"/>
    <w:rsid w:val="00B9256A"/>
    <w:rsid w:val="00BA70D1"/>
    <w:rsid w:val="00BB2508"/>
    <w:rsid w:val="00BB3DB1"/>
    <w:rsid w:val="00BC20D1"/>
    <w:rsid w:val="00BC40FE"/>
    <w:rsid w:val="00BC4918"/>
    <w:rsid w:val="00BC5DBE"/>
    <w:rsid w:val="00BD034B"/>
    <w:rsid w:val="00BD0B07"/>
    <w:rsid w:val="00BD52F6"/>
    <w:rsid w:val="00BD69E5"/>
    <w:rsid w:val="00BE35F1"/>
    <w:rsid w:val="00BE3EE9"/>
    <w:rsid w:val="00BE45AF"/>
    <w:rsid w:val="00BE4C61"/>
    <w:rsid w:val="00BF04E0"/>
    <w:rsid w:val="00BF32FD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50FE"/>
    <w:rsid w:val="00C3716C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7BE"/>
    <w:rsid w:val="00C959DB"/>
    <w:rsid w:val="00C95F2B"/>
    <w:rsid w:val="00CA3FF4"/>
    <w:rsid w:val="00CA6DC0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2139"/>
    <w:rsid w:val="00CE4A9C"/>
    <w:rsid w:val="00CE7BED"/>
    <w:rsid w:val="00CF3FFC"/>
    <w:rsid w:val="00CF730F"/>
    <w:rsid w:val="00CF7DF7"/>
    <w:rsid w:val="00D03540"/>
    <w:rsid w:val="00D05E13"/>
    <w:rsid w:val="00D13135"/>
    <w:rsid w:val="00D2128F"/>
    <w:rsid w:val="00D24703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825FB"/>
    <w:rsid w:val="00D8622E"/>
    <w:rsid w:val="00D8789E"/>
    <w:rsid w:val="00D91246"/>
    <w:rsid w:val="00D97ACE"/>
    <w:rsid w:val="00DA0838"/>
    <w:rsid w:val="00DA2BB2"/>
    <w:rsid w:val="00DB164A"/>
    <w:rsid w:val="00DB1C94"/>
    <w:rsid w:val="00DB30DC"/>
    <w:rsid w:val="00DC5729"/>
    <w:rsid w:val="00DC5F53"/>
    <w:rsid w:val="00DD2554"/>
    <w:rsid w:val="00DD2F2B"/>
    <w:rsid w:val="00DE0BEB"/>
    <w:rsid w:val="00DE2212"/>
    <w:rsid w:val="00DE49FE"/>
    <w:rsid w:val="00DF08A0"/>
    <w:rsid w:val="00DF677F"/>
    <w:rsid w:val="00E00499"/>
    <w:rsid w:val="00E027DA"/>
    <w:rsid w:val="00E02EC7"/>
    <w:rsid w:val="00E04D01"/>
    <w:rsid w:val="00E10468"/>
    <w:rsid w:val="00E169B7"/>
    <w:rsid w:val="00E252DA"/>
    <w:rsid w:val="00E30AE6"/>
    <w:rsid w:val="00E318F1"/>
    <w:rsid w:val="00E37DB3"/>
    <w:rsid w:val="00E45B73"/>
    <w:rsid w:val="00E51788"/>
    <w:rsid w:val="00E52CA4"/>
    <w:rsid w:val="00E53C9E"/>
    <w:rsid w:val="00E545EF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D0F87"/>
    <w:rsid w:val="00ED3A44"/>
    <w:rsid w:val="00EE4D05"/>
    <w:rsid w:val="00EF33AD"/>
    <w:rsid w:val="00EF5D2A"/>
    <w:rsid w:val="00F00F4A"/>
    <w:rsid w:val="00F01170"/>
    <w:rsid w:val="00F061FC"/>
    <w:rsid w:val="00F07865"/>
    <w:rsid w:val="00F07FEB"/>
    <w:rsid w:val="00F12A8D"/>
    <w:rsid w:val="00F144B4"/>
    <w:rsid w:val="00F15AC5"/>
    <w:rsid w:val="00F26BD9"/>
    <w:rsid w:val="00F32A78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71B74"/>
    <w:rsid w:val="00F76C50"/>
    <w:rsid w:val="00F81841"/>
    <w:rsid w:val="00F91365"/>
    <w:rsid w:val="00F915B6"/>
    <w:rsid w:val="00F94379"/>
    <w:rsid w:val="00FA311B"/>
    <w:rsid w:val="00FA4232"/>
    <w:rsid w:val="00FB1934"/>
    <w:rsid w:val="00FB48C6"/>
    <w:rsid w:val="00FC4650"/>
    <w:rsid w:val="00FC489D"/>
    <w:rsid w:val="00FC4D28"/>
    <w:rsid w:val="00FC5D50"/>
    <w:rsid w:val="00FD2161"/>
    <w:rsid w:val="00FD7335"/>
    <w:rsid w:val="00FD7EC1"/>
    <w:rsid w:val="00FE39ED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2017-02-17T16:21:00Z</cp:lastPrinted>
  <dcterms:created xsi:type="dcterms:W3CDTF">2017-02-18T22:16:00Z</dcterms:created>
  <dcterms:modified xsi:type="dcterms:W3CDTF">2017-02-18T22:16:00Z</dcterms:modified>
</cp:coreProperties>
</file>