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B6703E" w:rsidP="00CD040C">
      <w:pPr>
        <w:ind w:left="-142" w:right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left:0;text-align:left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52C80" w:rsidRDefault="00352C80"/>
              </w:txbxContent>
            </v:textbox>
          </v:shape>
        </w:pict>
      </w:r>
      <w:r w:rsidRPr="00B6703E">
        <w:rPr>
          <w:rFonts w:eastAsia="Arial Unicode MS"/>
          <w:noProof/>
        </w:rPr>
        <w:pict>
          <v:shape id="_x0000_s1133" type="#_x0000_t75" style="position:absolute;left:0;text-align:left;margin-left:386.8pt;margin-top:-49.9pt;width:118pt;height:59.3pt;z-index:251651072" wrapcoords="-106 0 -106 21308 21600 21308 21600 0 -106 0">
            <v:imagedata r:id="rId7" o:title=""/>
            <w10:wrap type="tight"/>
          </v:shape>
          <o:OLEObject Type="Embed" ProgID="PBrush" ShapeID="_x0000_s1133" DrawAspect="Content" ObjectID="_1535894650" r:id="rId8"/>
        </w:pict>
      </w:r>
      <w:r>
        <w:rPr>
          <w:noProof/>
        </w:rPr>
        <w:pict>
          <v:group id="Group 5" o:spid="_x0000_s1140" style="position:absolute;left:0;text-align:left;margin-left:-146.55pt;margin-top:-51.45pt;width:910.15pt;height:205.35pt;z-index:251649024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9" type="#_x0000_t202" style="position:absolute;left:0;text-align:left;margin-left:-197.2pt;margin-top:-63.05pt;width:59.8pt;height:4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52C80" w:rsidRDefault="00352C80"/>
              </w:txbxContent>
            </v:textbox>
          </v:shape>
        </w:pict>
      </w:r>
    </w:p>
    <w:p w:rsidR="008B7C79" w:rsidRPr="003A2CE4" w:rsidRDefault="00B6703E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19.2pt;margin-top:8.1pt;width:331.65pt;height:89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" filled="f" stroked="f" strokecolor="#e36c0a [2409]" strokeweight="1.5pt">
            <v:textbox>
              <w:txbxContent>
                <w:p w:rsidR="00352C80" w:rsidRDefault="00352C80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 trimestrielle</w:t>
                  </w:r>
                  <w:r w:rsidR="00AA23D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AA23D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Conjoncture </w:t>
                  </w:r>
                </w:p>
                <w:p w:rsidR="003F1673" w:rsidRPr="003F1673" w:rsidRDefault="003F1673" w:rsidP="003F1673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10"/>
                      <w:szCs w:val="10"/>
                    </w:rPr>
                  </w:pPr>
                </w:p>
                <w:p w:rsidR="00352C80" w:rsidRPr="000B1D9D" w:rsidRDefault="003F1673" w:rsidP="003F1673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3F1673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Deuxième partie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 : secteurs des </w:t>
                  </w:r>
                  <w:r w:rsidR="00352C80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Services marchands non financiers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et du </w:t>
                  </w:r>
                  <w:r w:rsidR="00352C80"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Commerce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B6703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B6703E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 style="mso-next-textbox:#Text Box 108">
              <w:txbxContent>
                <w:p w:rsidR="00352C80" w:rsidRPr="00305B12" w:rsidRDefault="00352C80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2713F1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</w:t>
      </w:r>
    </w:p>
    <w:p w:rsidR="00302E80" w:rsidRDefault="00B6703E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B6703E">
        <w:rPr>
          <w:rFonts w:ascii="Trebuchet MS" w:eastAsia="Arial Unicode MS" w:hAnsi="Trebuchet MS"/>
          <w:b/>
          <w:bCs/>
          <w:noProof/>
          <w:color w:val="660033"/>
          <w:sz w:val="28"/>
          <w:szCs w:val="28"/>
        </w:rPr>
        <w:pict>
          <v:shape id="Text Box 142" o:spid="_x0000_s1136" type="#_x0000_t202" style="position:absolute;left:0;text-align:left;margin-left:13.05pt;margin-top:24.05pt;width:462.15pt;height:73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" fillcolor="#fbd4b4">
            <v:textbox style="mso-next-textbox:#Text Box 142">
              <w:txbxContent>
                <w:p w:rsidR="00352C80" w:rsidRDefault="00352C80" w:rsidP="003F1673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081377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des chefs d’entreprises, tel</w:t>
                  </w:r>
                  <w:r w:rsidR="003F1673"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3F1673"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3F1673"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3ème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6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du commerce de gros et des services marchands non financiers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bookmarkStart w:id="1" w:name="_GoBack"/>
                  <w:bookmarkEnd w:id="1"/>
                  <w:r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trimestre</w:t>
                  </w:r>
                  <w:r w:rsidR="003F167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2016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pronostics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426569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6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B670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13.05pt;margin-top:15.35pt;width:497.75pt;height:0;z-index:2516561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7F6E9E" w:rsidRPr="00EA7601" w:rsidRDefault="007F6E9E" w:rsidP="007D6BC5">
      <w:pPr>
        <w:pStyle w:val="Paragraphedeliste"/>
        <w:numPr>
          <w:ilvl w:val="0"/>
          <w:numId w:val="20"/>
        </w:numPr>
        <w:spacing w:after="240"/>
        <w:ind w:left="284" w:right="-168" w:hanging="284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Appréciations des chefs d’entreprises pour le </w:t>
      </w:r>
      <w:r w:rsidR="00EA7601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deuxième</w:t>
      </w:r>
      <w:r w:rsidR="00352C80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2016</w:t>
      </w:r>
    </w:p>
    <w:p w:rsidR="00711A4F" w:rsidRPr="007F6E9E" w:rsidRDefault="00B6703E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B6703E">
        <w:rPr>
          <w:noProof/>
          <w:sz w:val="6"/>
          <w:szCs w:val="6"/>
        </w:rPr>
        <w:pict>
          <v:shape id="_x0000_s1134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52C80" w:rsidRDefault="00352C80"/>
              </w:txbxContent>
            </v:textbox>
          </v:shape>
        </w:pict>
      </w:r>
    </w:p>
    <w:p w:rsidR="00711A4F" w:rsidRPr="00EA7601" w:rsidRDefault="00753C04" w:rsidP="00CD5DC6">
      <w:pPr>
        <w:pStyle w:val="Paragraphedeliste"/>
        <w:numPr>
          <w:ilvl w:val="1"/>
          <w:numId w:val="23"/>
        </w:numPr>
        <w:spacing w:after="120"/>
        <w:ind w:left="567" w:right="-1134" w:hanging="567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3119755</wp:posOffset>
            </wp:positionH>
            <wp:positionV relativeFrom="margin">
              <wp:posOffset>4497070</wp:posOffset>
            </wp:positionV>
            <wp:extent cx="3238500" cy="3152775"/>
            <wp:effectExtent l="0" t="0" r="0" b="0"/>
            <wp:wrapSquare wrapText="bothSides"/>
            <wp:docPr id="11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11A4F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CD5DC6">
          <w:footerReference w:type="default" r:id="rId10"/>
          <w:footerReference w:type="first" r:id="rId11"/>
          <w:type w:val="continuous"/>
          <w:pgSz w:w="11906" w:h="16838"/>
          <w:pgMar w:top="1259" w:right="244" w:bottom="907" w:left="1134" w:header="709" w:footer="272" w:gutter="0"/>
          <w:pgNumType w:start="1"/>
          <w:cols w:space="708"/>
          <w:titlePg/>
          <w:docGrid w:linePitch="360"/>
        </w:sectPr>
      </w:pPr>
    </w:p>
    <w:p w:rsidR="00081377" w:rsidRPr="000B1D9D" w:rsidRDefault="00DB3ACF" w:rsidP="0033088F">
      <w:pPr>
        <w:spacing w:line="276" w:lineRule="auto"/>
        <w:jc w:val="both"/>
      </w:pPr>
      <w:r>
        <w:lastRenderedPageBreak/>
        <w:t>Les résultats de l’enquête de conjoncture</w:t>
      </w:r>
      <w:r w:rsidR="00352C80">
        <w:t xml:space="preserve"> révèlent que le </w:t>
      </w:r>
      <w:r w:rsidR="00081377" w:rsidRPr="000B1D9D">
        <w:t xml:space="preserve">secteur des </w:t>
      </w:r>
      <w:r w:rsidR="00081377" w:rsidRPr="000B1D9D">
        <w:rPr>
          <w:b/>
          <w:bCs/>
        </w:rPr>
        <w:t>services marchands non financiers</w:t>
      </w:r>
      <w:r w:rsidR="00352C80">
        <w:rPr>
          <w:b/>
          <w:bCs/>
        </w:rPr>
        <w:t xml:space="preserve"> </w:t>
      </w:r>
      <w:r w:rsidR="00352C80" w:rsidRPr="003F1673">
        <w:t>a</w:t>
      </w:r>
      <w:r w:rsidR="000A6D5C">
        <w:t>urait</w:t>
      </w:r>
      <w:r w:rsidR="0033088F" w:rsidRPr="003F1673">
        <w:t xml:space="preserve">, </w:t>
      </w:r>
      <w:r w:rsidR="00352C80" w:rsidRPr="003F1673">
        <w:t xml:space="preserve"> </w:t>
      </w:r>
      <w:r w:rsidR="0033088F" w:rsidRPr="003F1673">
        <w:t>s</w:t>
      </w:r>
      <w:r w:rsidR="0033088F" w:rsidRPr="000B1D9D">
        <w:t>elon plus de la moitié des patrons</w:t>
      </w:r>
      <w:r w:rsidR="0033088F">
        <w:t xml:space="preserve">, </w:t>
      </w:r>
      <w:r w:rsidR="00352C80" w:rsidRPr="003F1673">
        <w:t>enregistré</w:t>
      </w:r>
      <w:r w:rsidR="0033088F" w:rsidRPr="003F1673">
        <w:t xml:space="preserve"> </w:t>
      </w:r>
      <w:r w:rsidR="00352C80" w:rsidRPr="003F1673">
        <w:t>une hausse</w:t>
      </w:r>
      <w:r w:rsidR="00352C80">
        <w:rPr>
          <w:b/>
          <w:bCs/>
        </w:rPr>
        <w:t xml:space="preserve"> </w:t>
      </w:r>
      <w:r w:rsidR="00081377">
        <w:t xml:space="preserve">et, </w:t>
      </w:r>
      <w:r w:rsidR="00352C80" w:rsidRPr="000B1D9D">
        <w:t>selon 1</w:t>
      </w:r>
      <w:r w:rsidR="00352C80">
        <w:t>6</w:t>
      </w:r>
      <w:r w:rsidR="00352C80" w:rsidRPr="000B1D9D">
        <w:t>%</w:t>
      </w:r>
      <w:r w:rsidR="00352C80">
        <w:t xml:space="preserve">, </w:t>
      </w:r>
      <w:r w:rsidR="00352C80">
        <w:rPr>
          <w:rFonts w:eastAsia="Arial Unicode MS"/>
          <w:sz w:val="22"/>
          <w:szCs w:val="22"/>
        </w:rPr>
        <w:t>plutôt</w:t>
      </w:r>
      <w:r w:rsidR="0033088F">
        <w:rPr>
          <w:rFonts w:eastAsia="Arial Unicode MS"/>
          <w:sz w:val="22"/>
          <w:szCs w:val="22"/>
        </w:rPr>
        <w:t xml:space="preserve">, </w:t>
      </w:r>
      <w:r w:rsidR="00081377" w:rsidRPr="00FF24EF">
        <w:rPr>
          <w:rFonts w:eastAsia="Arial Unicode MS"/>
          <w:sz w:val="22"/>
          <w:szCs w:val="22"/>
        </w:rPr>
        <w:t>une baisse</w:t>
      </w:r>
      <w:r w:rsidR="00081377" w:rsidRPr="000B1D9D">
        <w:t xml:space="preserve">. </w:t>
      </w:r>
    </w:p>
    <w:p w:rsidR="00081377" w:rsidRPr="00081377" w:rsidRDefault="00081377" w:rsidP="00081377">
      <w:pPr>
        <w:spacing w:line="276" w:lineRule="auto"/>
        <w:jc w:val="both"/>
        <w:rPr>
          <w:sz w:val="10"/>
          <w:szCs w:val="10"/>
        </w:rPr>
      </w:pPr>
    </w:p>
    <w:p w:rsidR="00081377" w:rsidRPr="000B1D9D" w:rsidRDefault="000A737F" w:rsidP="000A6D5C">
      <w:pPr>
        <w:spacing w:line="276" w:lineRule="auto"/>
        <w:jc w:val="both"/>
      </w:pPr>
      <w:r>
        <w:t>L’</w:t>
      </w:r>
      <w:r w:rsidR="00081377" w:rsidRPr="000B1D9D">
        <w:t xml:space="preserve">amélioration aurait résulté de la hausse </w:t>
      </w:r>
      <w:r w:rsidR="00081377">
        <w:t xml:space="preserve">d'activité </w:t>
      </w:r>
      <w:r w:rsidR="00207D87">
        <w:t xml:space="preserve">affichée </w:t>
      </w:r>
      <w:r w:rsidR="00081377" w:rsidRPr="000B1D9D">
        <w:t>au niveau des branches de « Télécommunications »</w:t>
      </w:r>
      <w:r w:rsidR="000A6D5C">
        <w:t xml:space="preserve">, </w:t>
      </w:r>
      <w:r w:rsidR="008C033D">
        <w:t>de l’« </w:t>
      </w:r>
      <w:r w:rsidR="008C033D" w:rsidRPr="008C033D">
        <w:t>Entreposage et services auxiliaires des transports</w:t>
      </w:r>
      <w:r w:rsidR="008C033D">
        <w:t xml:space="preserve"> » et </w:t>
      </w:r>
      <w:r w:rsidR="00081377" w:rsidRPr="00081377">
        <w:t>des</w:t>
      </w:r>
      <w:r w:rsidR="00081377" w:rsidRPr="000B1D9D">
        <w:t xml:space="preserve"> « Transports aériens »</w:t>
      </w:r>
      <w:r w:rsidR="00081377">
        <w:t xml:space="preserve">, </w:t>
      </w:r>
      <w:r w:rsidR="00081377" w:rsidRPr="000B1D9D">
        <w:t xml:space="preserve">alors que la baisse </w:t>
      </w:r>
      <w:r w:rsidR="00081377" w:rsidRPr="00081377">
        <w:t>aurait été principalement enregistrée au niveau</w:t>
      </w:r>
      <w:r w:rsidR="00352C80">
        <w:t xml:space="preserve"> </w:t>
      </w:r>
      <w:r w:rsidR="00081377">
        <w:t>de l'</w:t>
      </w:r>
      <w:r w:rsidR="00081377" w:rsidRPr="000B1D9D">
        <w:t>« Hébergement »</w:t>
      </w:r>
      <w:r w:rsidR="008C033D">
        <w:t xml:space="preserve"> et d</w:t>
      </w:r>
      <w:r w:rsidR="00352C80">
        <w:t xml:space="preserve">e la </w:t>
      </w:r>
      <w:r w:rsidR="008C033D">
        <w:t>« Restauration »</w:t>
      </w:r>
      <w:r w:rsidR="00081377" w:rsidRPr="000B1D9D">
        <w:t xml:space="preserve">.  </w:t>
      </w:r>
    </w:p>
    <w:p w:rsidR="00356D34" w:rsidRPr="007F6E9E" w:rsidRDefault="00356D34" w:rsidP="00081377">
      <w:pPr>
        <w:spacing w:line="276" w:lineRule="auto"/>
        <w:jc w:val="both"/>
        <w:rPr>
          <w:sz w:val="10"/>
          <w:szCs w:val="10"/>
        </w:rPr>
      </w:pPr>
    </w:p>
    <w:p w:rsidR="00356D34" w:rsidRPr="007F6E9E" w:rsidRDefault="00356D34" w:rsidP="007E5AD3">
      <w:pPr>
        <w:spacing w:line="276" w:lineRule="auto"/>
        <w:jc w:val="both"/>
        <w:rPr>
          <w:sz w:val="8"/>
          <w:szCs w:val="8"/>
        </w:rPr>
      </w:pPr>
    </w:p>
    <w:p w:rsidR="007E5AD3" w:rsidRDefault="007E5AD3" w:rsidP="003F1673">
      <w:pPr>
        <w:spacing w:line="276" w:lineRule="auto"/>
        <w:jc w:val="both"/>
      </w:pPr>
      <w:r w:rsidRPr="000B1D9D">
        <w:t>Les carnets de commande</w:t>
      </w:r>
      <w:r w:rsidR="00622C81">
        <w:t>s</w:t>
      </w:r>
      <w:r w:rsidRPr="000B1D9D">
        <w:t xml:space="preserve"> du secteur ont été</w:t>
      </w:r>
      <w:r w:rsidR="003F1673">
        <w:t xml:space="preserve"> jugés</w:t>
      </w:r>
      <w:r w:rsidRPr="000B1D9D">
        <w:t xml:space="preserve">, </w:t>
      </w:r>
      <w:r w:rsidR="003F1673">
        <w:t>selon 71</w:t>
      </w:r>
      <w:r w:rsidR="003F1673" w:rsidRPr="000B1D9D">
        <w:t>% des patrons</w:t>
      </w:r>
      <w:r w:rsidR="003F1673">
        <w:t xml:space="preserve">, </w:t>
      </w:r>
      <w:r w:rsidRPr="000B1D9D">
        <w:t xml:space="preserve">d’un niveau normal et </w:t>
      </w:r>
      <w:r w:rsidR="003F1673">
        <w:t xml:space="preserve">selon 13% </w:t>
      </w:r>
      <w:r w:rsidRPr="000B1D9D">
        <w:t>inféri</w:t>
      </w:r>
      <w:r w:rsidR="003F1673">
        <w:t>eur à la normale</w:t>
      </w:r>
      <w:r w:rsidRPr="000B1D9D">
        <w:t xml:space="preserve">. </w:t>
      </w:r>
      <w:r w:rsidR="0033088F">
        <w:t>En matière d’</w:t>
      </w:r>
      <w:r w:rsidRPr="000B1D9D">
        <w:t xml:space="preserve">emploi, la majorité des chefs d’entreprises </w:t>
      </w:r>
      <w:r w:rsidR="0033088F">
        <w:t xml:space="preserve">ont </w:t>
      </w:r>
      <w:r w:rsidRPr="000B1D9D">
        <w:t xml:space="preserve">déclaré une stagnation des effectifs.  Dans ces conditions, le taux d’utilisation de la capacité des prestations (TUC) </w:t>
      </w:r>
      <w:r w:rsidR="00EA7601">
        <w:t xml:space="preserve">se serait établi à 84% contre 81% le trimestre </w:t>
      </w:r>
      <w:r w:rsidR="00D33BDB">
        <w:t>précédent</w:t>
      </w:r>
      <w:r w:rsidR="00EA7601">
        <w:t>.</w:t>
      </w:r>
    </w:p>
    <w:p w:rsidR="0033088F" w:rsidRDefault="0033088F" w:rsidP="0033088F">
      <w:pPr>
        <w:spacing w:line="276" w:lineRule="auto"/>
        <w:jc w:val="both"/>
      </w:pPr>
    </w:p>
    <w:p w:rsidR="00CF7036" w:rsidRDefault="00CF7036" w:rsidP="007E5AD3">
      <w:pPr>
        <w:spacing w:line="276" w:lineRule="auto"/>
        <w:jc w:val="both"/>
        <w:rPr>
          <w:sz w:val="20"/>
          <w:szCs w:val="20"/>
        </w:rPr>
      </w:pPr>
    </w:p>
    <w:p w:rsidR="003F1673" w:rsidRDefault="003F1673" w:rsidP="007E5AD3">
      <w:pPr>
        <w:spacing w:line="276" w:lineRule="auto"/>
        <w:jc w:val="both"/>
        <w:rPr>
          <w:sz w:val="20"/>
          <w:szCs w:val="20"/>
        </w:rPr>
      </w:pPr>
    </w:p>
    <w:p w:rsidR="003F1673" w:rsidRDefault="003F1673" w:rsidP="007E5AD3">
      <w:pPr>
        <w:spacing w:line="276" w:lineRule="auto"/>
        <w:jc w:val="both"/>
        <w:rPr>
          <w:sz w:val="20"/>
          <w:szCs w:val="20"/>
        </w:rPr>
      </w:pPr>
    </w:p>
    <w:p w:rsidR="003F1673" w:rsidRDefault="003F1673" w:rsidP="007E5AD3">
      <w:pPr>
        <w:spacing w:line="276" w:lineRule="auto"/>
        <w:jc w:val="both"/>
        <w:rPr>
          <w:sz w:val="20"/>
          <w:szCs w:val="20"/>
        </w:rPr>
      </w:pPr>
    </w:p>
    <w:p w:rsidR="00711A4F" w:rsidRPr="00A05D54" w:rsidRDefault="00711A4F" w:rsidP="00CD5DC6">
      <w:pPr>
        <w:pStyle w:val="Paragraphedeliste"/>
        <w:numPr>
          <w:ilvl w:val="1"/>
          <w:numId w:val="23"/>
        </w:numPr>
        <w:spacing w:after="120"/>
        <w:ind w:left="567" w:hanging="567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231546" w:rsidRPr="008661AF" w:rsidRDefault="000A737F" w:rsidP="00A82E65">
      <w:pPr>
        <w:spacing w:after="120"/>
        <w:jc w:val="both"/>
        <w:rPr>
          <w:rFonts w:eastAsia="Arial Unicode MS"/>
        </w:rPr>
      </w:pPr>
      <w:r>
        <w:rPr>
          <w:rFonts w:eastAsia="Arial Unicode MS"/>
          <w:b/>
          <w:bCs/>
          <w:noProof/>
          <w:color w:val="660033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2833370</wp:posOffset>
            </wp:positionH>
            <wp:positionV relativeFrom="margin">
              <wp:posOffset>619760</wp:posOffset>
            </wp:positionV>
            <wp:extent cx="3457575" cy="2286000"/>
            <wp:effectExtent l="0" t="0" r="0" b="0"/>
            <wp:wrapSquare wrapText="bothSides"/>
            <wp:docPr id="3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3088F">
        <w:rPr>
          <w:rFonts w:eastAsia="Arial Unicode MS"/>
          <w:b/>
          <w:bCs/>
          <w:color w:val="660033"/>
        </w:rPr>
        <w:t>D</w:t>
      </w:r>
      <w:r w:rsidR="0033088F" w:rsidRPr="008661AF">
        <w:rPr>
          <w:rFonts w:eastAsia="Arial Unicode MS"/>
          <w:b/>
          <w:bCs/>
          <w:color w:val="660033"/>
        </w:rPr>
        <w:t>ans le secteur du Commerce de gros</w:t>
      </w:r>
      <w:r w:rsidR="0033088F">
        <w:rPr>
          <w:rFonts w:eastAsia="Arial Unicode MS"/>
          <w:b/>
          <w:bCs/>
          <w:color w:val="660033"/>
        </w:rPr>
        <w:t xml:space="preserve">, </w:t>
      </w:r>
      <w:r w:rsidR="002612E0" w:rsidRPr="008661AF">
        <w:rPr>
          <w:rFonts w:eastAsia="Arial Unicode MS"/>
        </w:rPr>
        <w:t>l</w:t>
      </w:r>
      <w:r w:rsidR="0001021C" w:rsidRPr="008661AF">
        <w:rPr>
          <w:rFonts w:eastAsia="Arial Unicode MS"/>
        </w:rPr>
        <w:t>es ventes</w:t>
      </w:r>
      <w:r w:rsidR="00352C80"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>sur le marché local</w:t>
      </w:r>
      <w:r w:rsidR="0001021C" w:rsidRPr="008661AF">
        <w:rPr>
          <w:rFonts w:eastAsia="Arial Unicode MS"/>
          <w:b/>
          <w:bCs/>
          <w:color w:val="660033"/>
        </w:rPr>
        <w:t xml:space="preserve">, </w:t>
      </w:r>
      <w:r w:rsidR="0001021C" w:rsidRPr="008661AF">
        <w:rPr>
          <w:rFonts w:eastAsia="Arial Unicode MS"/>
        </w:rPr>
        <w:t>auraient</w:t>
      </w:r>
      <w:r w:rsidR="0033088F">
        <w:rPr>
          <w:rFonts w:eastAsia="Arial Unicode MS"/>
        </w:rPr>
        <w:t xml:space="preserve">, </w:t>
      </w:r>
      <w:r>
        <w:rPr>
          <w:rFonts w:eastAsia="Arial Unicode MS"/>
        </w:rPr>
        <w:t>selon 14</w:t>
      </w:r>
      <w:r w:rsidR="0033088F" w:rsidRPr="008661AF">
        <w:rPr>
          <w:rFonts w:eastAsia="Arial Unicode MS"/>
        </w:rPr>
        <w:t>% des patrons</w:t>
      </w:r>
      <w:r w:rsidR="0033088F">
        <w:rPr>
          <w:rFonts w:eastAsia="Arial Unicode MS"/>
        </w:rPr>
        <w:t xml:space="preserve">, </w:t>
      </w:r>
      <w:r>
        <w:rPr>
          <w:rFonts w:eastAsia="Arial Unicode MS"/>
        </w:rPr>
        <w:t xml:space="preserve">connu une hausse et, selon 56%, </w:t>
      </w:r>
      <w:r w:rsidR="0033088F" w:rsidRPr="008661AF">
        <w:rPr>
          <w:rFonts w:eastAsia="Arial Unicode MS"/>
        </w:rPr>
        <w:t xml:space="preserve"> </w:t>
      </w:r>
      <w:r w:rsidR="00F836F1" w:rsidRPr="008661AF">
        <w:rPr>
          <w:rFonts w:eastAsia="Arial Unicode MS"/>
        </w:rPr>
        <w:t>subi</w:t>
      </w:r>
      <w:r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>une baisse</w:t>
      </w:r>
      <w:r w:rsidR="00A82E65">
        <w:rPr>
          <w:rFonts w:eastAsia="Arial Unicode MS"/>
        </w:rPr>
        <w:t xml:space="preserve">. La réduction d’activité </w:t>
      </w:r>
      <w:r>
        <w:rPr>
          <w:rFonts w:eastAsia="Arial Unicode MS"/>
        </w:rPr>
        <w:t xml:space="preserve">serait </w:t>
      </w:r>
      <w:r w:rsidR="00081377" w:rsidRPr="008661AF">
        <w:rPr>
          <w:rFonts w:eastAsia="Arial Unicode MS"/>
        </w:rPr>
        <w:t xml:space="preserve">principalement </w:t>
      </w:r>
      <w:r w:rsidR="0001021C" w:rsidRPr="008661AF">
        <w:rPr>
          <w:rFonts w:eastAsia="Arial Unicode MS"/>
        </w:rPr>
        <w:t xml:space="preserve">attribuable à un </w:t>
      </w:r>
      <w:r w:rsidR="00F836F1" w:rsidRPr="008661AF">
        <w:rPr>
          <w:rFonts w:eastAsia="Arial Unicode MS"/>
        </w:rPr>
        <w:t xml:space="preserve">ralentissement </w:t>
      </w:r>
      <w:r w:rsidR="00231546">
        <w:rPr>
          <w:rFonts w:eastAsia="Arial Unicode MS"/>
        </w:rPr>
        <w:t>des ventes dans les</w:t>
      </w:r>
      <w:r w:rsidR="00231546" w:rsidRPr="008661AF">
        <w:rPr>
          <w:rFonts w:eastAsia="Arial Unicode MS"/>
        </w:rPr>
        <w:t xml:space="preserve"> «Autres commerce</w:t>
      </w:r>
      <w:r w:rsidR="00A82E65">
        <w:rPr>
          <w:rFonts w:eastAsia="Arial Unicode MS"/>
        </w:rPr>
        <w:t>s</w:t>
      </w:r>
      <w:r w:rsidR="00231546" w:rsidRPr="008661AF">
        <w:rPr>
          <w:rFonts w:eastAsia="Arial Unicode MS"/>
        </w:rPr>
        <w:t xml:space="preserve"> de gros spécialisés» et dans le</w:t>
      </w:r>
      <w:r w:rsidR="00352C80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>«</w:t>
      </w:r>
      <w:r w:rsidR="00231546" w:rsidRPr="00B06EA9">
        <w:rPr>
          <w:rFonts w:eastAsia="Arial Unicode MS"/>
        </w:rPr>
        <w:t>Commerce de gros d'autres équipements industriels</w:t>
      </w:r>
      <w:r w:rsidR="00231546" w:rsidRPr="008661AF">
        <w:rPr>
          <w:rFonts w:eastAsia="Arial Unicode MS"/>
        </w:rPr>
        <w:t xml:space="preserve">» </w:t>
      </w:r>
    </w:p>
    <w:p w:rsidR="00231546" w:rsidRPr="008661AF" w:rsidRDefault="0042489D" w:rsidP="00A82E65">
      <w:pPr>
        <w:spacing w:after="240" w:line="32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23154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>aurait</w:t>
      </w:r>
      <w:r>
        <w:rPr>
          <w:rFonts w:eastAsia="Arial Unicode MS"/>
        </w:rPr>
        <w:t xml:space="preserve">, </w:t>
      </w:r>
      <w:r w:rsidRPr="008661AF">
        <w:rPr>
          <w:rFonts w:eastAsia="Arial Unicode MS"/>
        </w:rPr>
        <w:t xml:space="preserve">selon </w:t>
      </w:r>
      <w:r>
        <w:rPr>
          <w:rFonts w:eastAsia="Arial Unicode MS"/>
        </w:rPr>
        <w:t>76</w:t>
      </w:r>
      <w:r w:rsidRPr="008661AF">
        <w:rPr>
          <w:rFonts w:eastAsia="Arial Unicode MS"/>
        </w:rPr>
        <w:t xml:space="preserve">% des </w:t>
      </w:r>
      <w:r w:rsidR="000A737F">
        <w:rPr>
          <w:rFonts w:eastAsia="Arial Unicode MS"/>
        </w:rPr>
        <w:t>grossistes</w:t>
      </w:r>
      <w:r w:rsidR="005C4548">
        <w:rPr>
          <w:rFonts w:eastAsia="Arial Unicode MS"/>
        </w:rPr>
        <w:t>,</w:t>
      </w:r>
      <w:r w:rsidR="000A737F">
        <w:rPr>
          <w:rFonts w:eastAsia="Arial Unicode MS"/>
        </w:rPr>
        <w:t xml:space="preserve"> </w:t>
      </w:r>
      <w:r>
        <w:rPr>
          <w:rFonts w:eastAsia="Arial Unicode MS"/>
        </w:rPr>
        <w:t xml:space="preserve"> </w:t>
      </w:r>
      <w:r w:rsidR="00A82E65">
        <w:rPr>
          <w:rFonts w:eastAsia="Arial Unicode MS"/>
        </w:rPr>
        <w:t xml:space="preserve">subi </w:t>
      </w:r>
      <w:r w:rsidR="00231546" w:rsidRPr="008661AF">
        <w:rPr>
          <w:rFonts w:eastAsia="Arial Unicode MS"/>
        </w:rPr>
        <w:t>une sta</w:t>
      </w:r>
      <w:r w:rsidR="00A82E65">
        <w:rPr>
          <w:rFonts w:eastAsia="Arial Unicode MS"/>
        </w:rPr>
        <w:t xml:space="preserve">gnation </w:t>
      </w:r>
      <w:r w:rsidR="00231546" w:rsidRPr="008661AF">
        <w:rPr>
          <w:rFonts w:eastAsia="Arial Unicode MS"/>
        </w:rPr>
        <w:t>et</w:t>
      </w:r>
      <w:r w:rsidR="005C4548">
        <w:rPr>
          <w:rFonts w:eastAsia="Arial Unicode MS"/>
        </w:rPr>
        <w:t xml:space="preserve">, </w:t>
      </w:r>
      <w:r w:rsidR="00231546" w:rsidRPr="008661AF">
        <w:rPr>
          <w:rFonts w:eastAsia="Arial Unicode MS"/>
        </w:rPr>
        <w:t xml:space="preserve">selon </w:t>
      </w:r>
      <w:r w:rsidR="00231546">
        <w:rPr>
          <w:rFonts w:eastAsia="Arial Unicode MS"/>
        </w:rPr>
        <w:t>1</w:t>
      </w:r>
      <w:r>
        <w:rPr>
          <w:rFonts w:eastAsia="Arial Unicode MS"/>
        </w:rPr>
        <w:t>9%,</w:t>
      </w:r>
      <w:r w:rsidR="00231546" w:rsidRPr="008661AF">
        <w:rPr>
          <w:rFonts w:eastAsia="Arial Unicode MS"/>
        </w:rPr>
        <w:t xml:space="preserve"> un </w:t>
      </w:r>
      <w:r w:rsidR="00A82E65" w:rsidRPr="008661AF">
        <w:rPr>
          <w:rFonts w:eastAsia="Arial Unicode MS"/>
        </w:rPr>
        <w:t>accroissement</w:t>
      </w:r>
      <w:r w:rsidR="00231546" w:rsidRPr="008661AF">
        <w:rPr>
          <w:rFonts w:eastAsia="Arial Unicode MS"/>
        </w:rPr>
        <w:t xml:space="preserve">. </w:t>
      </w:r>
    </w:p>
    <w:p w:rsidR="00231546" w:rsidRPr="008661AF" w:rsidRDefault="0042489D" w:rsidP="000A6D5C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0A6D5C">
        <w:rPr>
          <w:rFonts w:eastAsia="Arial Unicode MS"/>
        </w:rPr>
        <w:t xml:space="preserve">es stocks se seraient, </w:t>
      </w:r>
      <w:r w:rsidR="000A6D5C" w:rsidRPr="008661AF">
        <w:rPr>
          <w:rFonts w:eastAsia="Arial Unicode MS"/>
        </w:rPr>
        <w:t>selon 6</w:t>
      </w:r>
      <w:r w:rsidR="000A6D5C">
        <w:rPr>
          <w:rFonts w:eastAsia="Arial Unicode MS"/>
        </w:rPr>
        <w:t>1</w:t>
      </w:r>
      <w:r w:rsidR="000A6D5C" w:rsidRPr="008661AF">
        <w:rPr>
          <w:rFonts w:eastAsia="Arial Unicode MS"/>
        </w:rPr>
        <w:t>% d</w:t>
      </w:r>
      <w:r w:rsidR="000A6D5C">
        <w:rPr>
          <w:rFonts w:eastAsia="Arial Unicode MS"/>
        </w:rPr>
        <w:t xml:space="preserve">es grossistes, </w:t>
      </w:r>
      <w:r w:rsidR="00231546" w:rsidRPr="008661AF">
        <w:rPr>
          <w:rFonts w:eastAsia="Arial Unicode MS"/>
        </w:rPr>
        <w:t xml:space="preserve">situés à un niveau normal </w:t>
      </w:r>
      <w:r>
        <w:rPr>
          <w:rFonts w:eastAsia="Arial Unicode MS"/>
        </w:rPr>
        <w:t xml:space="preserve">et </w:t>
      </w:r>
      <w:r w:rsidR="000A6D5C">
        <w:rPr>
          <w:rFonts w:eastAsia="Arial Unicode MS"/>
        </w:rPr>
        <w:t>selon 8</w:t>
      </w:r>
      <w:r w:rsidR="000A6D5C" w:rsidRPr="008661AF">
        <w:rPr>
          <w:rFonts w:eastAsia="Arial Unicode MS"/>
        </w:rPr>
        <w:t xml:space="preserve">% seulement </w:t>
      </w:r>
      <w:r w:rsidR="000A6D5C">
        <w:rPr>
          <w:rFonts w:eastAsia="Arial Unicode MS"/>
        </w:rPr>
        <w:t xml:space="preserve">d’entre eux, </w:t>
      </w:r>
      <w:r>
        <w:rPr>
          <w:rFonts w:eastAsia="Arial Unicode MS"/>
        </w:rPr>
        <w:t>supérieur</w:t>
      </w:r>
      <w:r w:rsidR="00E11C03">
        <w:rPr>
          <w:rFonts w:eastAsia="Arial Unicode MS"/>
        </w:rPr>
        <w:t>s</w:t>
      </w:r>
      <w:r>
        <w:rPr>
          <w:rFonts w:eastAsia="Arial Unicode MS"/>
        </w:rPr>
        <w:t xml:space="preserve"> à la normale</w:t>
      </w:r>
      <w:r w:rsidR="00231546" w:rsidRPr="008661AF">
        <w:rPr>
          <w:rFonts w:eastAsia="Arial Unicode MS"/>
        </w:rPr>
        <w:t xml:space="preserve">. </w:t>
      </w:r>
    </w:p>
    <w:p w:rsidR="0001021C" w:rsidRPr="008661AF" w:rsidRDefault="0001021C" w:rsidP="0001021C">
      <w:pPr>
        <w:spacing w:line="276" w:lineRule="auto"/>
        <w:ind w:right="170"/>
        <w:jc w:val="both"/>
        <w:rPr>
          <w:rFonts w:eastAsia="Arial Unicode MS"/>
          <w:sz w:val="8"/>
          <w:szCs w:val="8"/>
        </w:rPr>
      </w:pPr>
    </w:p>
    <w:p w:rsidR="00753C04" w:rsidRDefault="00753C04" w:rsidP="00231546">
      <w:pPr>
        <w:spacing w:line="276" w:lineRule="auto"/>
        <w:ind w:right="170"/>
        <w:jc w:val="both"/>
        <w:rPr>
          <w:rFonts w:eastAsia="Arial Unicode MS"/>
        </w:rPr>
      </w:pPr>
    </w:p>
    <w:p w:rsidR="00231546" w:rsidRDefault="00231546" w:rsidP="000A6D5C">
      <w:pPr>
        <w:spacing w:line="276" w:lineRule="auto"/>
        <w:ind w:right="170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La tendance observée des prix de vente dans le secteur </w:t>
      </w:r>
      <w:r w:rsidR="0042489D">
        <w:rPr>
          <w:rFonts w:eastAsia="Arial Unicode MS"/>
        </w:rPr>
        <w:t>aurait</w:t>
      </w:r>
      <w:r w:rsidRPr="008661AF">
        <w:rPr>
          <w:rFonts w:eastAsia="Arial Unicode MS"/>
        </w:rPr>
        <w:t xml:space="preserve">, selon </w:t>
      </w:r>
      <w:r>
        <w:rPr>
          <w:rFonts w:eastAsia="Arial Unicode MS"/>
        </w:rPr>
        <w:t>75</w:t>
      </w:r>
      <w:r w:rsidRPr="008661AF">
        <w:rPr>
          <w:rFonts w:eastAsia="Arial Unicode MS"/>
        </w:rPr>
        <w:t xml:space="preserve">% des chefs d’entreprises, </w:t>
      </w:r>
      <w:r w:rsidR="0042489D">
        <w:rPr>
          <w:rFonts w:eastAsia="Arial Unicode MS"/>
        </w:rPr>
        <w:t xml:space="preserve">enregistré une stabilité affichée </w:t>
      </w:r>
      <w:r w:rsidRPr="008661AF">
        <w:rPr>
          <w:rFonts w:eastAsia="Arial Unicode MS"/>
        </w:rPr>
        <w:t>au niveau du « </w:t>
      </w:r>
      <w:r w:rsidRPr="00B06EA9">
        <w:rPr>
          <w:rFonts w:eastAsia="Arial Unicode MS"/>
        </w:rPr>
        <w:t>Commerce de gros d'autres équipements industriels</w:t>
      </w:r>
      <w:r w:rsidRPr="008661AF">
        <w:rPr>
          <w:rFonts w:eastAsia="Arial Unicode MS"/>
        </w:rPr>
        <w:t>»</w:t>
      </w:r>
      <w:r>
        <w:rPr>
          <w:rFonts w:eastAsia="Arial Unicode MS"/>
        </w:rPr>
        <w:t xml:space="preserve">, du </w:t>
      </w:r>
      <w:r w:rsidRPr="008661AF">
        <w:rPr>
          <w:rFonts w:eastAsia="Arial Unicode MS"/>
        </w:rPr>
        <w:t>«Commerce de gros de produits agricoles bruts et d'animaux vivants»</w:t>
      </w:r>
      <w:r w:rsidR="00352C80">
        <w:rPr>
          <w:rFonts w:eastAsia="Arial Unicode MS"/>
        </w:rPr>
        <w:t xml:space="preserve"> </w:t>
      </w:r>
      <w:r w:rsidRPr="008661AF">
        <w:rPr>
          <w:rFonts w:eastAsia="Arial Unicode MS"/>
        </w:rPr>
        <w:t>et du « </w:t>
      </w:r>
      <w:r w:rsidRPr="00312E28">
        <w:rPr>
          <w:rFonts w:eastAsia="Arial Unicode MS"/>
        </w:rPr>
        <w:t>Commerce de gros non spécialisé</w:t>
      </w:r>
      <w:r w:rsidRPr="008661AF">
        <w:rPr>
          <w:rFonts w:eastAsia="Arial Unicode MS"/>
        </w:rPr>
        <w:t>»</w:t>
      </w:r>
      <w:r>
        <w:rPr>
          <w:rFonts w:eastAsia="Arial Unicode MS"/>
        </w:rPr>
        <w:t xml:space="preserve">. </w:t>
      </w:r>
    </w:p>
    <w:p w:rsidR="00352C80" w:rsidRPr="008661AF" w:rsidRDefault="00352C80" w:rsidP="00231546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A05D54" w:rsidRDefault="00A05D54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42489D" w:rsidRDefault="0042489D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42489D" w:rsidRDefault="0042489D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42489D" w:rsidRDefault="0042489D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42489D" w:rsidRPr="008661AF" w:rsidRDefault="0042489D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7E5AD3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A05D54" w:rsidRDefault="002E1737" w:rsidP="00CD5DC6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EA760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troisième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CE3CE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CD5DC6">
      <w:pPr>
        <w:pStyle w:val="Paragraphedeliste"/>
        <w:numPr>
          <w:ilvl w:val="1"/>
          <w:numId w:val="24"/>
        </w:numPr>
        <w:spacing w:after="120"/>
        <w:ind w:left="567" w:hanging="567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081377" w:rsidRPr="008661AF" w:rsidRDefault="00523BC9" w:rsidP="00A82E65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3119120</wp:posOffset>
            </wp:positionH>
            <wp:positionV relativeFrom="margin">
              <wp:posOffset>5982335</wp:posOffset>
            </wp:positionV>
            <wp:extent cx="3057525" cy="3038475"/>
            <wp:effectExtent l="0" t="0" r="0" b="0"/>
            <wp:wrapSquare wrapText="bothSides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2489D">
        <w:rPr>
          <w:rFonts w:eastAsia="Arial Unicode MS"/>
        </w:rPr>
        <w:t xml:space="preserve">Pour le troisième trimestre 2016, </w:t>
      </w:r>
      <w:r w:rsidR="00A62084">
        <w:rPr>
          <w:rFonts w:eastAsia="Arial Unicode MS"/>
        </w:rPr>
        <w:t xml:space="preserve">les </w:t>
      </w:r>
      <w:r w:rsidR="00081377" w:rsidRPr="008661AF">
        <w:rPr>
          <w:rFonts w:eastAsia="Arial Unicode MS"/>
        </w:rPr>
        <w:t xml:space="preserve">chefs d'entreprises opérant dans le secteur des services marchands non financiers </w:t>
      </w:r>
      <w:r w:rsidR="0042489D">
        <w:rPr>
          <w:rFonts w:eastAsia="Arial Unicode MS"/>
        </w:rPr>
        <w:t xml:space="preserve">anticipent, selon 41% d’entre eux, </w:t>
      </w:r>
      <w:r w:rsidR="00081377" w:rsidRPr="008661AF">
        <w:rPr>
          <w:rFonts w:eastAsia="Arial Unicode MS"/>
        </w:rPr>
        <w:t xml:space="preserve">une </w:t>
      </w:r>
      <w:r w:rsidR="00661B58">
        <w:rPr>
          <w:rFonts w:eastAsia="Arial Unicode MS"/>
        </w:rPr>
        <w:t xml:space="preserve">hausse </w:t>
      </w:r>
      <w:r w:rsidR="00352C80" w:rsidRPr="008661AF">
        <w:rPr>
          <w:rFonts w:eastAsia="Arial Unicode MS"/>
        </w:rPr>
        <w:t xml:space="preserve">globale </w:t>
      </w:r>
      <w:r w:rsidR="00081377" w:rsidRPr="008661AF">
        <w:rPr>
          <w:rFonts w:eastAsia="Arial Unicode MS"/>
        </w:rPr>
        <w:t>d’activité</w:t>
      </w:r>
      <w:r w:rsidR="0042489D">
        <w:rPr>
          <w:rFonts w:eastAsia="Arial Unicode MS"/>
        </w:rPr>
        <w:t xml:space="preserve"> </w:t>
      </w:r>
      <w:r w:rsidR="00DD7AF6">
        <w:rPr>
          <w:rFonts w:eastAsia="Arial Unicode MS"/>
        </w:rPr>
        <w:t>et</w:t>
      </w:r>
      <w:r w:rsidR="00352C80">
        <w:rPr>
          <w:rFonts w:eastAsia="Arial Unicode MS"/>
        </w:rPr>
        <w:t xml:space="preserve">, </w:t>
      </w:r>
      <w:r w:rsidR="0042489D">
        <w:rPr>
          <w:rFonts w:eastAsia="Arial Unicode MS"/>
        </w:rPr>
        <w:t xml:space="preserve">selon 10%, </w:t>
      </w:r>
      <w:r w:rsidR="00A82E65">
        <w:rPr>
          <w:rFonts w:eastAsia="Arial Unicode MS"/>
        </w:rPr>
        <w:t xml:space="preserve">plutôt, </w:t>
      </w:r>
      <w:r w:rsidR="00DD7AF6">
        <w:rPr>
          <w:rFonts w:eastAsia="Arial Unicode MS"/>
        </w:rPr>
        <w:t>une baisse</w:t>
      </w:r>
      <w:r w:rsidR="00352C80">
        <w:rPr>
          <w:rFonts w:eastAsia="Arial Unicode MS"/>
        </w:rPr>
        <w:t>.</w:t>
      </w:r>
      <w:r w:rsidR="00A82E65">
        <w:rPr>
          <w:rFonts w:eastAsia="Arial Unicode MS"/>
        </w:rPr>
        <w:t xml:space="preserve"> Cette hausse serait</w:t>
      </w:r>
      <w:r w:rsidR="00A82E65" w:rsidRPr="008661AF">
        <w:rPr>
          <w:rFonts w:eastAsia="Arial Unicode MS"/>
        </w:rPr>
        <w:t xml:space="preserve"> expliquée, principalement, par </w:t>
      </w:r>
      <w:r w:rsidR="00A82E65">
        <w:rPr>
          <w:rFonts w:eastAsia="Arial Unicode MS"/>
        </w:rPr>
        <w:t xml:space="preserve">l’amélioration d’activité </w:t>
      </w:r>
      <w:r w:rsidR="00A82E65" w:rsidRPr="008661AF">
        <w:rPr>
          <w:rFonts w:eastAsia="Arial Unicode MS"/>
        </w:rPr>
        <w:t>que connaitrai</w:t>
      </w:r>
      <w:r w:rsidR="00A82E65">
        <w:rPr>
          <w:rFonts w:eastAsia="Arial Unicode MS"/>
        </w:rPr>
        <w:t xml:space="preserve">ent </w:t>
      </w:r>
      <w:r w:rsidR="00A82E65" w:rsidRPr="008661AF">
        <w:rPr>
          <w:rFonts w:eastAsia="Arial Unicode MS"/>
        </w:rPr>
        <w:t xml:space="preserve">les branches de </w:t>
      </w:r>
      <w:r w:rsidR="00A82E65">
        <w:rPr>
          <w:rFonts w:eastAsia="Arial Unicode MS"/>
        </w:rPr>
        <w:t>l’</w:t>
      </w:r>
      <w:r w:rsidR="00A82E65">
        <w:t>«</w:t>
      </w:r>
      <w:r w:rsidR="00A82E65" w:rsidRPr="008C033D">
        <w:t>Entreposage et services auxiliaires des transports</w:t>
      </w:r>
      <w:r w:rsidR="00A82E65">
        <w:t xml:space="preserve">» et </w:t>
      </w:r>
      <w:r w:rsidR="00A82E65" w:rsidRPr="008661AF">
        <w:rPr>
          <w:rFonts w:eastAsia="Arial Unicode MS"/>
        </w:rPr>
        <w:t>de « Transports aériens ».</w:t>
      </w:r>
      <w:r w:rsidR="00A82E65">
        <w:rPr>
          <w:rFonts w:eastAsia="Arial Unicode MS"/>
        </w:rPr>
        <w:t xml:space="preserve"> </w:t>
      </w:r>
    </w:p>
    <w:p w:rsidR="00352C80" w:rsidRDefault="00352C80" w:rsidP="008F3AE0">
      <w:pPr>
        <w:spacing w:line="276" w:lineRule="auto"/>
        <w:ind w:right="170"/>
        <w:jc w:val="both"/>
        <w:rPr>
          <w:rFonts w:eastAsia="Arial Unicode MS"/>
        </w:rPr>
      </w:pPr>
    </w:p>
    <w:p w:rsidR="00D33BDB" w:rsidRDefault="00A82E65" w:rsidP="000A6D5C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P</w:t>
      </w:r>
      <w:r w:rsidR="00523BC9" w:rsidRPr="008661AF">
        <w:rPr>
          <w:rFonts w:eastAsia="Arial Unicode MS"/>
        </w:rPr>
        <w:t>lus</w:t>
      </w:r>
      <w:r w:rsidR="00523BC9">
        <w:rPr>
          <w:rFonts w:eastAsia="Arial Unicode MS"/>
        </w:rPr>
        <w:t xml:space="preserve"> des</w:t>
      </w:r>
      <w:r w:rsidR="00523BC9" w:rsidRPr="008661AF">
        <w:rPr>
          <w:rFonts w:eastAsia="Arial Unicode MS"/>
        </w:rPr>
        <w:t xml:space="preserve"> deux tiers des patrons anticipent une </w:t>
      </w:r>
      <w:r w:rsidR="00523BC9">
        <w:rPr>
          <w:rFonts w:eastAsia="Arial Unicode MS"/>
        </w:rPr>
        <w:t>augmentation</w:t>
      </w:r>
      <w:r w:rsidR="00523BC9" w:rsidRPr="008661AF">
        <w:rPr>
          <w:rFonts w:eastAsia="Arial Unicode MS"/>
        </w:rPr>
        <w:t xml:space="preserve"> </w:t>
      </w:r>
      <w:r w:rsidR="00523BC9">
        <w:rPr>
          <w:rFonts w:eastAsia="Arial Unicode MS"/>
        </w:rPr>
        <w:t xml:space="preserve">de </w:t>
      </w:r>
      <w:r w:rsidR="006E2822" w:rsidRPr="008661AF">
        <w:rPr>
          <w:rFonts w:eastAsia="Arial Unicode MS"/>
        </w:rPr>
        <w:t xml:space="preserve">la demande </w:t>
      </w:r>
      <w:r w:rsidR="00523BC9">
        <w:rPr>
          <w:rFonts w:eastAsia="Arial Unicode MS"/>
        </w:rPr>
        <w:t>p</w:t>
      </w:r>
      <w:r w:rsidR="006E2822" w:rsidRPr="008661AF">
        <w:rPr>
          <w:rFonts w:eastAsia="Arial Unicode MS"/>
        </w:rPr>
        <w:t xml:space="preserve">our </w:t>
      </w:r>
      <w:r w:rsidR="00081377" w:rsidRPr="008661AF">
        <w:rPr>
          <w:rFonts w:eastAsia="Arial Unicode MS"/>
        </w:rPr>
        <w:t xml:space="preserve">le </w:t>
      </w:r>
      <w:r w:rsidR="00661B58">
        <w:rPr>
          <w:rFonts w:eastAsia="Arial Unicode MS"/>
        </w:rPr>
        <w:t>troisième</w:t>
      </w:r>
      <w:r w:rsidR="00352C80">
        <w:rPr>
          <w:rFonts w:eastAsia="Arial Unicode MS"/>
        </w:rPr>
        <w:t xml:space="preserve"> </w:t>
      </w:r>
      <w:r w:rsidR="006E2822" w:rsidRPr="008661AF">
        <w:rPr>
          <w:rFonts w:eastAsia="Arial Unicode MS"/>
        </w:rPr>
        <w:t>trimestre 2016</w:t>
      </w:r>
      <w:r w:rsidR="00523BC9">
        <w:rPr>
          <w:rFonts w:eastAsia="Arial Unicode MS"/>
        </w:rPr>
        <w:t xml:space="preserve"> et presque </w:t>
      </w:r>
      <w:r w:rsidR="006E2822" w:rsidRPr="008661AF">
        <w:rPr>
          <w:rFonts w:eastAsia="Arial Unicode MS"/>
        </w:rPr>
        <w:t>la majorité des chefs d’entreprises prévoient</w:t>
      </w:r>
      <w:r w:rsidR="008F3AE0">
        <w:rPr>
          <w:rFonts w:eastAsia="Arial Unicode MS"/>
        </w:rPr>
        <w:t>, pour le 3</w:t>
      </w:r>
      <w:r w:rsidR="008F3AE0" w:rsidRPr="008F3AE0">
        <w:rPr>
          <w:rFonts w:eastAsia="Arial Unicode MS"/>
          <w:vertAlign w:val="superscript"/>
        </w:rPr>
        <w:t>ème</w:t>
      </w:r>
      <w:r w:rsidR="008F3AE0">
        <w:rPr>
          <w:rFonts w:eastAsia="Arial Unicode MS"/>
        </w:rPr>
        <w:t xml:space="preserve"> trimestre 2016</w:t>
      </w:r>
      <w:r w:rsidR="0084035F">
        <w:rPr>
          <w:rFonts w:eastAsia="Arial Unicode MS"/>
        </w:rPr>
        <w:t xml:space="preserve">, </w:t>
      </w:r>
      <w:r w:rsidR="0084035F" w:rsidRPr="008661AF">
        <w:rPr>
          <w:rFonts w:eastAsia="Arial Unicode MS"/>
        </w:rPr>
        <w:t>une</w:t>
      </w:r>
      <w:r w:rsidR="006E2822" w:rsidRPr="008661AF">
        <w:rPr>
          <w:rFonts w:eastAsia="Arial Unicode MS"/>
        </w:rPr>
        <w:t xml:space="preserve"> sta</w:t>
      </w:r>
      <w:r w:rsidR="000A6D5C">
        <w:rPr>
          <w:rFonts w:eastAsia="Arial Unicode MS"/>
        </w:rPr>
        <w:t xml:space="preserve">bilité </w:t>
      </w:r>
      <w:r w:rsidR="006E2822" w:rsidRPr="008661AF">
        <w:rPr>
          <w:rFonts w:eastAsia="Arial Unicode MS"/>
        </w:rPr>
        <w:t>de</w:t>
      </w:r>
      <w:r w:rsidR="00523BC9">
        <w:rPr>
          <w:rFonts w:eastAsia="Arial Unicode MS"/>
        </w:rPr>
        <w:t xml:space="preserve">s </w:t>
      </w:r>
      <w:r w:rsidR="006E2822" w:rsidRPr="008661AF">
        <w:rPr>
          <w:rFonts w:eastAsia="Arial Unicode MS"/>
        </w:rPr>
        <w:t>effectifs</w:t>
      </w:r>
      <w:r w:rsidR="00523BC9">
        <w:rPr>
          <w:rFonts w:eastAsia="Arial Unicode MS"/>
        </w:rPr>
        <w:t xml:space="preserve"> employés.</w:t>
      </w:r>
    </w:p>
    <w:p w:rsidR="000A737F" w:rsidRDefault="000A737F" w:rsidP="00523BC9">
      <w:pPr>
        <w:spacing w:line="276" w:lineRule="auto"/>
        <w:ind w:right="170"/>
        <w:jc w:val="both"/>
        <w:rPr>
          <w:rFonts w:eastAsia="Arial Unicode MS"/>
        </w:rPr>
      </w:pPr>
    </w:p>
    <w:p w:rsidR="000A737F" w:rsidRDefault="000A737F" w:rsidP="00523BC9">
      <w:pPr>
        <w:spacing w:line="276" w:lineRule="auto"/>
        <w:ind w:right="170"/>
        <w:jc w:val="both"/>
        <w:rPr>
          <w:rFonts w:eastAsia="Arial Unicode MS"/>
        </w:rPr>
      </w:pPr>
    </w:p>
    <w:p w:rsidR="000A737F" w:rsidRDefault="000A737F" w:rsidP="00523BC9">
      <w:pPr>
        <w:spacing w:line="276" w:lineRule="auto"/>
        <w:ind w:right="170"/>
        <w:jc w:val="both"/>
        <w:rPr>
          <w:rFonts w:eastAsia="Arial Unicode MS"/>
        </w:rPr>
      </w:pPr>
    </w:p>
    <w:p w:rsidR="003F1673" w:rsidRDefault="003F1673" w:rsidP="00523BC9">
      <w:pPr>
        <w:spacing w:line="276" w:lineRule="auto"/>
        <w:ind w:right="170"/>
        <w:jc w:val="both"/>
        <w:rPr>
          <w:rFonts w:eastAsia="Arial Unicode MS"/>
        </w:rPr>
      </w:pPr>
    </w:p>
    <w:p w:rsidR="003F1673" w:rsidRDefault="003F1673" w:rsidP="00523BC9">
      <w:pPr>
        <w:spacing w:line="276" w:lineRule="auto"/>
        <w:ind w:right="170"/>
        <w:jc w:val="both"/>
        <w:rPr>
          <w:rFonts w:eastAsia="Arial Unicode MS"/>
        </w:rPr>
      </w:pPr>
    </w:p>
    <w:p w:rsidR="003F1673" w:rsidRDefault="003F1673" w:rsidP="00523BC9">
      <w:pPr>
        <w:spacing w:line="276" w:lineRule="auto"/>
        <w:ind w:right="170"/>
        <w:jc w:val="both"/>
        <w:rPr>
          <w:rFonts w:eastAsia="Arial Unicode MS"/>
        </w:rPr>
      </w:pPr>
    </w:p>
    <w:p w:rsidR="003F1673" w:rsidRDefault="003F1673" w:rsidP="00523BC9">
      <w:pPr>
        <w:spacing w:line="276" w:lineRule="auto"/>
        <w:ind w:right="170"/>
        <w:jc w:val="both"/>
        <w:rPr>
          <w:rFonts w:eastAsia="Arial Unicode MS"/>
        </w:rPr>
      </w:pPr>
    </w:p>
    <w:p w:rsidR="003F1673" w:rsidRDefault="003F1673" w:rsidP="00523BC9">
      <w:pPr>
        <w:spacing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CD5DC6">
      <w:pPr>
        <w:pStyle w:val="Paragraphedeliste"/>
        <w:numPr>
          <w:ilvl w:val="1"/>
          <w:numId w:val="24"/>
        </w:numPr>
        <w:spacing w:after="120"/>
        <w:ind w:left="567" w:hanging="567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661AF" w:rsidRDefault="00CD5DC6" w:rsidP="00523BC9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3033395</wp:posOffset>
            </wp:positionH>
            <wp:positionV relativeFrom="margin">
              <wp:posOffset>1267460</wp:posOffset>
            </wp:positionV>
            <wp:extent cx="3257550" cy="3619500"/>
            <wp:effectExtent l="0" t="0" r="0" b="0"/>
            <wp:wrapSquare wrapText="bothSides"/>
            <wp:docPr id="11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des grossistes pour le </w:t>
      </w:r>
      <w:r w:rsidR="006A619F">
        <w:rPr>
          <w:rFonts w:eastAsia="Arial Unicode MS"/>
        </w:rPr>
        <w:t xml:space="preserve">troisième </w:t>
      </w:r>
      <w:r w:rsidR="009377FB" w:rsidRPr="008661AF">
        <w:rPr>
          <w:rFonts w:eastAsia="Arial Unicode MS"/>
        </w:rPr>
        <w:t>trimestre</w:t>
      </w:r>
      <w:r w:rsidR="00AF11D6" w:rsidRPr="008661AF">
        <w:rPr>
          <w:rFonts w:eastAsia="Arial Unicode MS"/>
        </w:rPr>
        <w:t xml:space="preserve"> 2016 révèlent</w:t>
      </w:r>
      <w:r w:rsidR="00523BC9">
        <w:rPr>
          <w:rFonts w:eastAsia="Arial Unicode MS"/>
        </w:rPr>
        <w:t xml:space="preserve">, </w:t>
      </w:r>
      <w:r w:rsidR="00523BC9" w:rsidRPr="008661AF">
        <w:rPr>
          <w:rFonts w:eastAsia="Arial Unicode MS"/>
        </w:rPr>
        <w:t>selon 4</w:t>
      </w:r>
      <w:r w:rsidR="00523BC9">
        <w:rPr>
          <w:rFonts w:eastAsia="Arial Unicode MS"/>
        </w:rPr>
        <w:t>1</w:t>
      </w:r>
      <w:r w:rsidR="00523BC9" w:rsidRPr="008661AF">
        <w:rPr>
          <w:rFonts w:eastAsia="Arial Unicode MS"/>
        </w:rPr>
        <w:t>% d'entre- eux</w:t>
      </w:r>
      <w:r w:rsidR="00523BC9">
        <w:rPr>
          <w:rFonts w:eastAsia="Arial Unicode MS"/>
        </w:rPr>
        <w:t xml:space="preserve">, </w:t>
      </w:r>
      <w:r w:rsidR="00792FF0" w:rsidRPr="008661AF">
        <w:rPr>
          <w:rFonts w:eastAsia="Arial Unicode MS"/>
        </w:rPr>
        <w:t xml:space="preserve"> une hausse du volume global des ventes</w:t>
      </w:r>
      <w:r w:rsidR="00523BC9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>et</w:t>
      </w:r>
      <w:r w:rsidR="00523BC9">
        <w:rPr>
          <w:rFonts w:eastAsia="Arial Unicode MS"/>
        </w:rPr>
        <w:t xml:space="preserve">, </w:t>
      </w:r>
      <w:r w:rsidR="00523BC9" w:rsidRPr="008661AF">
        <w:rPr>
          <w:rFonts w:eastAsia="Arial Unicode MS"/>
        </w:rPr>
        <w:t xml:space="preserve">selon </w:t>
      </w:r>
      <w:r w:rsidR="00523BC9">
        <w:rPr>
          <w:rFonts w:eastAsia="Arial Unicode MS"/>
        </w:rPr>
        <w:t>17</w:t>
      </w:r>
      <w:r w:rsidR="00523BC9" w:rsidRPr="008661AF">
        <w:rPr>
          <w:rFonts w:eastAsia="Arial Unicode MS"/>
        </w:rPr>
        <w:t>%</w:t>
      </w:r>
      <w:r w:rsidR="00AF11D6" w:rsidRPr="008661AF">
        <w:rPr>
          <w:rFonts w:eastAsia="Arial Unicode MS"/>
        </w:rPr>
        <w:t xml:space="preserve">, </w:t>
      </w:r>
      <w:r w:rsidR="00792FF0" w:rsidRPr="008661AF">
        <w:rPr>
          <w:rFonts w:eastAsia="Arial Unicode MS"/>
        </w:rPr>
        <w:t>plutôt, une baisse</w:t>
      </w:r>
      <w:r w:rsidR="00AF11D6" w:rsidRPr="008661AF">
        <w:rPr>
          <w:rFonts w:eastAsia="Arial Unicode MS"/>
        </w:rPr>
        <w:t xml:space="preserve">. </w:t>
      </w:r>
      <w:r w:rsidR="00523BC9">
        <w:rPr>
          <w:rFonts w:eastAsia="Arial Unicode MS"/>
        </w:rPr>
        <w:t>L’</w:t>
      </w:r>
      <w:r w:rsidR="00AF11D6" w:rsidRPr="008661AF">
        <w:rPr>
          <w:rFonts w:eastAsia="Arial Unicode MS"/>
        </w:rPr>
        <w:t>amélioration concernerait, principalement, les activités des « </w:t>
      </w:r>
      <w:r w:rsidR="00AF11D6" w:rsidRPr="008661AF">
        <w:rPr>
          <w:color w:val="000000"/>
        </w:rPr>
        <w:t>Autres commerces de gros spécialisés</w:t>
      </w:r>
      <w:r w:rsidR="00AF11D6" w:rsidRPr="008661AF">
        <w:rPr>
          <w:rFonts w:eastAsia="Arial Unicode MS"/>
        </w:rPr>
        <w:t>», et du « Commerce de gros de produits alimentaires, de boissons».</w:t>
      </w:r>
    </w:p>
    <w:p w:rsidR="00AF11D6" w:rsidRPr="008661AF" w:rsidRDefault="00523BC9" w:rsidP="00C1215B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 xml:space="preserve">Par ailleurs, </w:t>
      </w:r>
      <w:r w:rsidR="00B549E4">
        <w:rPr>
          <w:rFonts w:eastAsia="Arial Unicode MS"/>
        </w:rPr>
        <w:t>41</w:t>
      </w:r>
      <w:r w:rsidR="00AF11D6" w:rsidRPr="008661AF">
        <w:rPr>
          <w:rFonts w:eastAsia="Arial Unicode MS"/>
        </w:rPr>
        <w:t xml:space="preserve">% des chefs d’entreprises prévoient une </w:t>
      </w:r>
      <w:r w:rsidR="00B549E4">
        <w:rPr>
          <w:rFonts w:eastAsia="Arial Unicode MS"/>
        </w:rPr>
        <w:t>augmentation</w:t>
      </w:r>
      <w:r w:rsidR="00AF11D6" w:rsidRPr="008661AF">
        <w:rPr>
          <w:rFonts w:eastAsia="Arial Unicode MS"/>
        </w:rPr>
        <w:t xml:space="preserve"> des effectifs </w:t>
      </w:r>
      <w:r w:rsidR="000A737F">
        <w:rPr>
          <w:rFonts w:eastAsia="Arial Unicode MS"/>
        </w:rPr>
        <w:t xml:space="preserve">employés contre </w:t>
      </w:r>
      <w:r w:rsidR="00B549E4">
        <w:rPr>
          <w:rFonts w:eastAsia="Arial Unicode MS"/>
        </w:rPr>
        <w:t>4</w:t>
      </w:r>
      <w:r w:rsidR="00AF11D6" w:rsidRPr="008661AF">
        <w:rPr>
          <w:rFonts w:eastAsia="Arial Unicode MS"/>
        </w:rPr>
        <w:t xml:space="preserve">% </w:t>
      </w:r>
      <w:r w:rsidR="000A737F">
        <w:rPr>
          <w:rFonts w:eastAsia="Arial Unicode MS"/>
        </w:rPr>
        <w:t xml:space="preserve"> </w:t>
      </w:r>
      <w:r w:rsidR="005C4548">
        <w:rPr>
          <w:rFonts w:eastAsia="Arial Unicode MS"/>
        </w:rPr>
        <w:t xml:space="preserve">qui </w:t>
      </w:r>
      <w:r w:rsidR="00C1215B">
        <w:rPr>
          <w:rFonts w:eastAsia="Arial Unicode MS"/>
        </w:rPr>
        <w:t>s’attendent</w:t>
      </w:r>
      <w:r w:rsidR="000A737F">
        <w:rPr>
          <w:rFonts w:eastAsia="Arial Unicode MS"/>
        </w:rPr>
        <w:t xml:space="preserve">, plutôt, </w:t>
      </w:r>
      <w:r w:rsidR="00C1215B">
        <w:rPr>
          <w:rFonts w:eastAsia="Arial Unicode MS"/>
        </w:rPr>
        <w:t xml:space="preserve">à </w:t>
      </w:r>
      <w:r w:rsidR="00AF11D6" w:rsidRPr="008661AF">
        <w:rPr>
          <w:rFonts w:eastAsia="Arial Unicode MS"/>
        </w:rPr>
        <w:t xml:space="preserve">une </w:t>
      </w:r>
      <w:r w:rsidR="00B549E4">
        <w:rPr>
          <w:rFonts w:eastAsia="Arial Unicode MS"/>
        </w:rPr>
        <w:t>bai</w:t>
      </w:r>
      <w:r w:rsidR="00AF11D6" w:rsidRPr="008661AF">
        <w:rPr>
          <w:rFonts w:eastAsia="Arial Unicode MS"/>
        </w:rPr>
        <w:t>sse.</w:t>
      </w:r>
    </w:p>
    <w:p w:rsidR="00AF11D6" w:rsidRPr="008661AF" w:rsidRDefault="00AF11D6" w:rsidP="005C4548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commandes à passer pour le </w:t>
      </w:r>
      <w:r w:rsidR="00B549E4">
        <w:rPr>
          <w:rFonts w:eastAsia="Arial Unicode MS"/>
        </w:rPr>
        <w:t>troisième</w:t>
      </w:r>
      <w:r w:rsidR="00450EAF">
        <w:rPr>
          <w:rFonts w:eastAsia="Arial Unicode MS"/>
        </w:rPr>
        <w:t xml:space="preserve"> </w:t>
      </w:r>
      <w:r w:rsidRPr="008661AF">
        <w:rPr>
          <w:rFonts w:eastAsia="Arial Unicode MS"/>
        </w:rPr>
        <w:t>trimestre 2016 seraient</w:t>
      </w:r>
      <w:r w:rsidR="00523BC9">
        <w:rPr>
          <w:rFonts w:eastAsia="Arial Unicode MS"/>
        </w:rPr>
        <w:t xml:space="preserve">, </w:t>
      </w:r>
      <w:r w:rsidR="00523BC9" w:rsidRPr="008661AF">
        <w:rPr>
          <w:rFonts w:eastAsia="Arial Unicode MS"/>
        </w:rPr>
        <w:t xml:space="preserve">selon </w:t>
      </w:r>
      <w:r w:rsidR="005C4548">
        <w:rPr>
          <w:rFonts w:eastAsia="Arial Unicode MS"/>
        </w:rPr>
        <w:t>les deux tiers d</w:t>
      </w:r>
      <w:r w:rsidR="00523BC9" w:rsidRPr="008661AF">
        <w:rPr>
          <w:rFonts w:eastAsia="Arial Unicode MS"/>
        </w:rPr>
        <w:t>es chefs d’entreprises</w:t>
      </w:r>
      <w:r w:rsidR="00523BC9">
        <w:rPr>
          <w:rFonts w:eastAsia="Arial Unicode MS"/>
        </w:rPr>
        <w:t xml:space="preserve">, </w:t>
      </w:r>
      <w:r w:rsidRPr="008661AF">
        <w:rPr>
          <w:rFonts w:eastAsia="Arial Unicode MS"/>
        </w:rPr>
        <w:t xml:space="preserve">d’un niveau normal et </w:t>
      </w:r>
      <w:r w:rsidR="00523BC9" w:rsidRPr="008661AF">
        <w:rPr>
          <w:rFonts w:eastAsia="Arial Unicode MS"/>
        </w:rPr>
        <w:t xml:space="preserve">selon </w:t>
      </w:r>
      <w:r w:rsidR="00523BC9">
        <w:rPr>
          <w:rFonts w:eastAsia="Arial Unicode MS"/>
        </w:rPr>
        <w:t>23</w:t>
      </w:r>
      <w:r w:rsidR="00523BC9" w:rsidRPr="008661AF">
        <w:rPr>
          <w:rFonts w:eastAsia="Arial Unicode MS"/>
        </w:rPr>
        <w:t xml:space="preserve">% </w:t>
      </w:r>
      <w:r w:rsidR="00B549E4">
        <w:rPr>
          <w:rFonts w:eastAsia="Arial Unicode MS"/>
        </w:rPr>
        <w:t xml:space="preserve">supérieur </w:t>
      </w:r>
      <w:r w:rsidRPr="008661AF">
        <w:rPr>
          <w:rFonts w:eastAsia="Arial Unicode MS"/>
        </w:rPr>
        <w:t xml:space="preserve">à la normale. </w:t>
      </w:r>
    </w:p>
    <w:p w:rsidR="005B18F9" w:rsidRDefault="005B18F9" w:rsidP="00D40F2B">
      <w:pPr>
        <w:spacing w:after="120" w:line="300" w:lineRule="exact"/>
        <w:ind w:left="-284" w:right="-141"/>
        <w:jc w:val="both"/>
        <w:rPr>
          <w:rFonts w:eastAsia="Arial Unicode MS"/>
          <w:sz w:val="22"/>
          <w:szCs w:val="22"/>
        </w:rPr>
      </w:pPr>
    </w:p>
    <w:sectPr w:rsidR="005B18F9" w:rsidSect="00CD5DC6">
      <w:footerReference w:type="default" r:id="rId15"/>
      <w:footerReference w:type="first" r:id="rId16"/>
      <w:type w:val="continuous"/>
      <w:pgSz w:w="11906" w:h="16838"/>
      <w:pgMar w:top="1259" w:right="567" w:bottom="1259" w:left="1418" w:header="709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95" w:rsidRDefault="005F6095">
      <w:r>
        <w:separator/>
      </w:r>
    </w:p>
  </w:endnote>
  <w:endnote w:type="continuationSeparator" w:id="1">
    <w:p w:rsidR="005F6095" w:rsidRDefault="005F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80" w:rsidRDefault="00352C80" w:rsidP="00FA41B2">
    <w:pPr>
      <w:pStyle w:val="Pieddepage"/>
      <w:jc w:val="right"/>
    </w:pPr>
  </w:p>
  <w:p w:rsidR="00352C80" w:rsidRDefault="00352C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80" w:rsidRDefault="00B6703E">
    <w:pPr>
      <w:pStyle w:val="Pieddepage"/>
      <w:jc w:val="center"/>
    </w:pPr>
    <w:fldSimple w:instr=" PAGE   \* MERGEFORMAT ">
      <w:r w:rsidR="002713F1">
        <w:rPr>
          <w:noProof/>
        </w:rPr>
        <w:t>1</w:t>
      </w:r>
    </w:fldSimple>
  </w:p>
  <w:p w:rsidR="00352C80" w:rsidRDefault="00352C80">
    <w:pPr>
      <w:pStyle w:val="Pieddepage"/>
    </w:pPr>
  </w:p>
  <w:p w:rsidR="00352C80" w:rsidRDefault="00352C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80" w:rsidRPr="007E64AF" w:rsidRDefault="00352C80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80" w:rsidRDefault="00B6703E">
    <w:pPr>
      <w:pStyle w:val="Pieddepage"/>
      <w:jc w:val="center"/>
    </w:pPr>
    <w:fldSimple w:instr=" PAGE   \* MERGEFORMAT ">
      <w:r w:rsidR="00352C80">
        <w:rPr>
          <w:noProof/>
        </w:rPr>
        <w:t>1</w:t>
      </w:r>
    </w:fldSimple>
  </w:p>
  <w:p w:rsidR="00352C80" w:rsidRDefault="00352C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95" w:rsidRDefault="005F6095">
      <w:r>
        <w:separator/>
      </w:r>
    </w:p>
  </w:footnote>
  <w:footnote w:type="continuationSeparator" w:id="1">
    <w:p w:rsidR="005F6095" w:rsidRDefault="005F6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6861"/>
    <w:rsid w:val="00006DD3"/>
    <w:rsid w:val="0001021C"/>
    <w:rsid w:val="00014315"/>
    <w:rsid w:val="000252E3"/>
    <w:rsid w:val="000275EF"/>
    <w:rsid w:val="00031605"/>
    <w:rsid w:val="0003329C"/>
    <w:rsid w:val="00043887"/>
    <w:rsid w:val="00043D21"/>
    <w:rsid w:val="00050010"/>
    <w:rsid w:val="00053F91"/>
    <w:rsid w:val="000554EE"/>
    <w:rsid w:val="00065C48"/>
    <w:rsid w:val="00074098"/>
    <w:rsid w:val="0007624B"/>
    <w:rsid w:val="00081377"/>
    <w:rsid w:val="00084B71"/>
    <w:rsid w:val="00086874"/>
    <w:rsid w:val="000A2AE4"/>
    <w:rsid w:val="000A6D5C"/>
    <w:rsid w:val="000A737F"/>
    <w:rsid w:val="000B1D9D"/>
    <w:rsid w:val="000B2A3E"/>
    <w:rsid w:val="000B5B84"/>
    <w:rsid w:val="000B6C46"/>
    <w:rsid w:val="000C6504"/>
    <w:rsid w:val="000D4A9A"/>
    <w:rsid w:val="000E1335"/>
    <w:rsid w:val="000E5893"/>
    <w:rsid w:val="000E76B0"/>
    <w:rsid w:val="000F5EB9"/>
    <w:rsid w:val="000F6813"/>
    <w:rsid w:val="000F71D1"/>
    <w:rsid w:val="00100AF5"/>
    <w:rsid w:val="0010285F"/>
    <w:rsid w:val="00123B0E"/>
    <w:rsid w:val="001245E1"/>
    <w:rsid w:val="00127090"/>
    <w:rsid w:val="001308D6"/>
    <w:rsid w:val="00131EDC"/>
    <w:rsid w:val="00133AA7"/>
    <w:rsid w:val="00135176"/>
    <w:rsid w:val="00137652"/>
    <w:rsid w:val="0014114C"/>
    <w:rsid w:val="00144168"/>
    <w:rsid w:val="00151644"/>
    <w:rsid w:val="001575EB"/>
    <w:rsid w:val="00157A43"/>
    <w:rsid w:val="00160B9E"/>
    <w:rsid w:val="00164075"/>
    <w:rsid w:val="0017017D"/>
    <w:rsid w:val="001724B1"/>
    <w:rsid w:val="0017323F"/>
    <w:rsid w:val="00186F4B"/>
    <w:rsid w:val="00193033"/>
    <w:rsid w:val="00196035"/>
    <w:rsid w:val="001A1553"/>
    <w:rsid w:val="001A2AA6"/>
    <w:rsid w:val="001A3455"/>
    <w:rsid w:val="001B0372"/>
    <w:rsid w:val="001B3EBA"/>
    <w:rsid w:val="001B5764"/>
    <w:rsid w:val="001C3920"/>
    <w:rsid w:val="001D119E"/>
    <w:rsid w:val="001D6519"/>
    <w:rsid w:val="001D69A9"/>
    <w:rsid w:val="001E31B9"/>
    <w:rsid w:val="001F2033"/>
    <w:rsid w:val="001F3599"/>
    <w:rsid w:val="001F6BEB"/>
    <w:rsid w:val="00203FD6"/>
    <w:rsid w:val="00206659"/>
    <w:rsid w:val="00207D87"/>
    <w:rsid w:val="00215236"/>
    <w:rsid w:val="002164FB"/>
    <w:rsid w:val="0022299E"/>
    <w:rsid w:val="00231546"/>
    <w:rsid w:val="00232A61"/>
    <w:rsid w:val="00233459"/>
    <w:rsid w:val="00236B5B"/>
    <w:rsid w:val="00241152"/>
    <w:rsid w:val="0024673C"/>
    <w:rsid w:val="002559DF"/>
    <w:rsid w:val="00256291"/>
    <w:rsid w:val="00257C74"/>
    <w:rsid w:val="00260217"/>
    <w:rsid w:val="002612E0"/>
    <w:rsid w:val="00265A87"/>
    <w:rsid w:val="002668FE"/>
    <w:rsid w:val="002713F1"/>
    <w:rsid w:val="002760BD"/>
    <w:rsid w:val="002770BB"/>
    <w:rsid w:val="00283E97"/>
    <w:rsid w:val="00286F23"/>
    <w:rsid w:val="00290BF8"/>
    <w:rsid w:val="002A7064"/>
    <w:rsid w:val="002A7221"/>
    <w:rsid w:val="002B472F"/>
    <w:rsid w:val="002D38C3"/>
    <w:rsid w:val="002D3BD2"/>
    <w:rsid w:val="002E1737"/>
    <w:rsid w:val="002E750F"/>
    <w:rsid w:val="002F3FB3"/>
    <w:rsid w:val="002F5C54"/>
    <w:rsid w:val="003027A9"/>
    <w:rsid w:val="00302E80"/>
    <w:rsid w:val="00305B12"/>
    <w:rsid w:val="0030605C"/>
    <w:rsid w:val="00307146"/>
    <w:rsid w:val="003121A0"/>
    <w:rsid w:val="00312DB8"/>
    <w:rsid w:val="00313123"/>
    <w:rsid w:val="00314191"/>
    <w:rsid w:val="00321625"/>
    <w:rsid w:val="0033088F"/>
    <w:rsid w:val="003329F7"/>
    <w:rsid w:val="0033375A"/>
    <w:rsid w:val="00334A6F"/>
    <w:rsid w:val="00351D4C"/>
    <w:rsid w:val="00352C80"/>
    <w:rsid w:val="00356D34"/>
    <w:rsid w:val="00365978"/>
    <w:rsid w:val="0036616B"/>
    <w:rsid w:val="003732F9"/>
    <w:rsid w:val="00377B93"/>
    <w:rsid w:val="0038590B"/>
    <w:rsid w:val="00392463"/>
    <w:rsid w:val="0039671A"/>
    <w:rsid w:val="003A2CE4"/>
    <w:rsid w:val="003B5F82"/>
    <w:rsid w:val="003B7C9A"/>
    <w:rsid w:val="003C1B70"/>
    <w:rsid w:val="003D0B92"/>
    <w:rsid w:val="003D68CD"/>
    <w:rsid w:val="003E208A"/>
    <w:rsid w:val="003E37F2"/>
    <w:rsid w:val="003E4FE1"/>
    <w:rsid w:val="003E6659"/>
    <w:rsid w:val="003F1673"/>
    <w:rsid w:val="003F28EA"/>
    <w:rsid w:val="003F7BFE"/>
    <w:rsid w:val="00405781"/>
    <w:rsid w:val="0042489D"/>
    <w:rsid w:val="004249F6"/>
    <w:rsid w:val="00426569"/>
    <w:rsid w:val="00431972"/>
    <w:rsid w:val="00434088"/>
    <w:rsid w:val="00435B96"/>
    <w:rsid w:val="00436AE5"/>
    <w:rsid w:val="0044331A"/>
    <w:rsid w:val="00446DB7"/>
    <w:rsid w:val="00450EAF"/>
    <w:rsid w:val="00454991"/>
    <w:rsid w:val="00456E49"/>
    <w:rsid w:val="00463749"/>
    <w:rsid w:val="004659F5"/>
    <w:rsid w:val="00470F06"/>
    <w:rsid w:val="00480B1C"/>
    <w:rsid w:val="00483758"/>
    <w:rsid w:val="00484898"/>
    <w:rsid w:val="00484E8D"/>
    <w:rsid w:val="004915DF"/>
    <w:rsid w:val="00491F4E"/>
    <w:rsid w:val="004A2AD5"/>
    <w:rsid w:val="004A6609"/>
    <w:rsid w:val="004A6819"/>
    <w:rsid w:val="004A7EF1"/>
    <w:rsid w:val="004B411A"/>
    <w:rsid w:val="004C7838"/>
    <w:rsid w:val="004D4CBB"/>
    <w:rsid w:val="004E20CC"/>
    <w:rsid w:val="004E2DD7"/>
    <w:rsid w:val="004E59A5"/>
    <w:rsid w:val="004E5E98"/>
    <w:rsid w:val="004F3556"/>
    <w:rsid w:val="00502528"/>
    <w:rsid w:val="00505AD5"/>
    <w:rsid w:val="00506785"/>
    <w:rsid w:val="00513024"/>
    <w:rsid w:val="005142A8"/>
    <w:rsid w:val="00514D14"/>
    <w:rsid w:val="00523BC9"/>
    <w:rsid w:val="00527A4A"/>
    <w:rsid w:val="00530796"/>
    <w:rsid w:val="005337B6"/>
    <w:rsid w:val="00537897"/>
    <w:rsid w:val="0054037A"/>
    <w:rsid w:val="00541C46"/>
    <w:rsid w:val="00544B7F"/>
    <w:rsid w:val="00545628"/>
    <w:rsid w:val="00557213"/>
    <w:rsid w:val="00566B95"/>
    <w:rsid w:val="00572FD7"/>
    <w:rsid w:val="00577644"/>
    <w:rsid w:val="00581492"/>
    <w:rsid w:val="00583A84"/>
    <w:rsid w:val="00584197"/>
    <w:rsid w:val="005850FD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3B22"/>
    <w:rsid w:val="005B48EA"/>
    <w:rsid w:val="005B5B99"/>
    <w:rsid w:val="005C3B99"/>
    <w:rsid w:val="005C4548"/>
    <w:rsid w:val="005D0DC1"/>
    <w:rsid w:val="005D3D8B"/>
    <w:rsid w:val="005F6095"/>
    <w:rsid w:val="00600F6D"/>
    <w:rsid w:val="00602C7C"/>
    <w:rsid w:val="0060506F"/>
    <w:rsid w:val="006056E5"/>
    <w:rsid w:val="006120ED"/>
    <w:rsid w:val="00612B0E"/>
    <w:rsid w:val="006153E5"/>
    <w:rsid w:val="00622C81"/>
    <w:rsid w:val="00630E13"/>
    <w:rsid w:val="00631531"/>
    <w:rsid w:val="006420C4"/>
    <w:rsid w:val="006451A0"/>
    <w:rsid w:val="00646311"/>
    <w:rsid w:val="00647EFB"/>
    <w:rsid w:val="00652D75"/>
    <w:rsid w:val="00653F59"/>
    <w:rsid w:val="00653FD3"/>
    <w:rsid w:val="0066108C"/>
    <w:rsid w:val="00661B58"/>
    <w:rsid w:val="00666402"/>
    <w:rsid w:val="00667ECC"/>
    <w:rsid w:val="006707C0"/>
    <w:rsid w:val="00676B69"/>
    <w:rsid w:val="00684DA3"/>
    <w:rsid w:val="00690102"/>
    <w:rsid w:val="00695538"/>
    <w:rsid w:val="00695704"/>
    <w:rsid w:val="006A619F"/>
    <w:rsid w:val="006B36B6"/>
    <w:rsid w:val="006C33B1"/>
    <w:rsid w:val="006C4536"/>
    <w:rsid w:val="006D08D3"/>
    <w:rsid w:val="006E0499"/>
    <w:rsid w:val="006E2822"/>
    <w:rsid w:val="006E5679"/>
    <w:rsid w:val="006E6C4B"/>
    <w:rsid w:val="006F499A"/>
    <w:rsid w:val="00704699"/>
    <w:rsid w:val="00711A4F"/>
    <w:rsid w:val="00711D32"/>
    <w:rsid w:val="00720AA5"/>
    <w:rsid w:val="00722358"/>
    <w:rsid w:val="007320F2"/>
    <w:rsid w:val="00733C13"/>
    <w:rsid w:val="00736EA5"/>
    <w:rsid w:val="00737135"/>
    <w:rsid w:val="0074193D"/>
    <w:rsid w:val="00744367"/>
    <w:rsid w:val="00753C04"/>
    <w:rsid w:val="0075402B"/>
    <w:rsid w:val="00755729"/>
    <w:rsid w:val="007563F9"/>
    <w:rsid w:val="00757BB9"/>
    <w:rsid w:val="0076370A"/>
    <w:rsid w:val="00770582"/>
    <w:rsid w:val="0078191E"/>
    <w:rsid w:val="00790B01"/>
    <w:rsid w:val="007923E3"/>
    <w:rsid w:val="00792FF0"/>
    <w:rsid w:val="007B3FA3"/>
    <w:rsid w:val="007C305A"/>
    <w:rsid w:val="007D09FF"/>
    <w:rsid w:val="007D2263"/>
    <w:rsid w:val="007D442B"/>
    <w:rsid w:val="007D6BC5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1153"/>
    <w:rsid w:val="00804FEE"/>
    <w:rsid w:val="00810D7F"/>
    <w:rsid w:val="00815FC3"/>
    <w:rsid w:val="0084035F"/>
    <w:rsid w:val="00845DD1"/>
    <w:rsid w:val="008516D2"/>
    <w:rsid w:val="00851A2C"/>
    <w:rsid w:val="00857BEE"/>
    <w:rsid w:val="0086177A"/>
    <w:rsid w:val="008661AF"/>
    <w:rsid w:val="00866410"/>
    <w:rsid w:val="00871F9A"/>
    <w:rsid w:val="008758DE"/>
    <w:rsid w:val="00881864"/>
    <w:rsid w:val="00893422"/>
    <w:rsid w:val="00893F31"/>
    <w:rsid w:val="00894A15"/>
    <w:rsid w:val="00895AA3"/>
    <w:rsid w:val="008A6761"/>
    <w:rsid w:val="008B0453"/>
    <w:rsid w:val="008B1E64"/>
    <w:rsid w:val="008B362C"/>
    <w:rsid w:val="008B7C79"/>
    <w:rsid w:val="008C033D"/>
    <w:rsid w:val="008C6873"/>
    <w:rsid w:val="008D3C98"/>
    <w:rsid w:val="008D767F"/>
    <w:rsid w:val="008E0538"/>
    <w:rsid w:val="008E0B9D"/>
    <w:rsid w:val="008F3532"/>
    <w:rsid w:val="008F3AE0"/>
    <w:rsid w:val="00902289"/>
    <w:rsid w:val="009031FE"/>
    <w:rsid w:val="00906EB8"/>
    <w:rsid w:val="009102EE"/>
    <w:rsid w:val="0092724E"/>
    <w:rsid w:val="00931126"/>
    <w:rsid w:val="009323E8"/>
    <w:rsid w:val="009377FB"/>
    <w:rsid w:val="00942F75"/>
    <w:rsid w:val="00946792"/>
    <w:rsid w:val="00954425"/>
    <w:rsid w:val="0095483F"/>
    <w:rsid w:val="00965330"/>
    <w:rsid w:val="009801E4"/>
    <w:rsid w:val="00982ADB"/>
    <w:rsid w:val="00983318"/>
    <w:rsid w:val="00986F74"/>
    <w:rsid w:val="009929AA"/>
    <w:rsid w:val="009975E3"/>
    <w:rsid w:val="009A3DCF"/>
    <w:rsid w:val="009A3EBE"/>
    <w:rsid w:val="009A431C"/>
    <w:rsid w:val="009A7A01"/>
    <w:rsid w:val="009B2B2B"/>
    <w:rsid w:val="009C2B83"/>
    <w:rsid w:val="009C4073"/>
    <w:rsid w:val="009C52D4"/>
    <w:rsid w:val="009C7AAE"/>
    <w:rsid w:val="009D02F2"/>
    <w:rsid w:val="009D5321"/>
    <w:rsid w:val="009D7D48"/>
    <w:rsid w:val="009E4E74"/>
    <w:rsid w:val="009F4C75"/>
    <w:rsid w:val="009F52E9"/>
    <w:rsid w:val="00A01C1A"/>
    <w:rsid w:val="00A01DE9"/>
    <w:rsid w:val="00A02ED5"/>
    <w:rsid w:val="00A03537"/>
    <w:rsid w:val="00A05D54"/>
    <w:rsid w:val="00A12866"/>
    <w:rsid w:val="00A13AFA"/>
    <w:rsid w:val="00A1430C"/>
    <w:rsid w:val="00A1572C"/>
    <w:rsid w:val="00A16299"/>
    <w:rsid w:val="00A2168A"/>
    <w:rsid w:val="00A24A06"/>
    <w:rsid w:val="00A250B3"/>
    <w:rsid w:val="00A25AEA"/>
    <w:rsid w:val="00A354B7"/>
    <w:rsid w:val="00A36B5E"/>
    <w:rsid w:val="00A37E82"/>
    <w:rsid w:val="00A529E0"/>
    <w:rsid w:val="00A5393D"/>
    <w:rsid w:val="00A614FE"/>
    <w:rsid w:val="00A62084"/>
    <w:rsid w:val="00A66323"/>
    <w:rsid w:val="00A666E5"/>
    <w:rsid w:val="00A7081D"/>
    <w:rsid w:val="00A7438D"/>
    <w:rsid w:val="00A82E65"/>
    <w:rsid w:val="00A834E9"/>
    <w:rsid w:val="00A85D85"/>
    <w:rsid w:val="00A92176"/>
    <w:rsid w:val="00A96487"/>
    <w:rsid w:val="00AA23DB"/>
    <w:rsid w:val="00AA53CC"/>
    <w:rsid w:val="00AB0858"/>
    <w:rsid w:val="00AB24B6"/>
    <w:rsid w:val="00AB5150"/>
    <w:rsid w:val="00AB6256"/>
    <w:rsid w:val="00AB635B"/>
    <w:rsid w:val="00AC26A5"/>
    <w:rsid w:val="00AC3EF4"/>
    <w:rsid w:val="00AC4299"/>
    <w:rsid w:val="00AC7561"/>
    <w:rsid w:val="00AD53FD"/>
    <w:rsid w:val="00AD56E7"/>
    <w:rsid w:val="00AE4467"/>
    <w:rsid w:val="00AF04E7"/>
    <w:rsid w:val="00AF11D6"/>
    <w:rsid w:val="00B000CA"/>
    <w:rsid w:val="00B00550"/>
    <w:rsid w:val="00B065DA"/>
    <w:rsid w:val="00B07D54"/>
    <w:rsid w:val="00B10250"/>
    <w:rsid w:val="00B35B39"/>
    <w:rsid w:val="00B36EC4"/>
    <w:rsid w:val="00B43C5F"/>
    <w:rsid w:val="00B51A49"/>
    <w:rsid w:val="00B549E4"/>
    <w:rsid w:val="00B55AAA"/>
    <w:rsid w:val="00B607B2"/>
    <w:rsid w:val="00B60ED6"/>
    <w:rsid w:val="00B63D70"/>
    <w:rsid w:val="00B6520F"/>
    <w:rsid w:val="00B6703E"/>
    <w:rsid w:val="00B70238"/>
    <w:rsid w:val="00B73C0A"/>
    <w:rsid w:val="00B7412A"/>
    <w:rsid w:val="00B75A67"/>
    <w:rsid w:val="00B77653"/>
    <w:rsid w:val="00B77C67"/>
    <w:rsid w:val="00B81D2D"/>
    <w:rsid w:val="00B83220"/>
    <w:rsid w:val="00B86C55"/>
    <w:rsid w:val="00B87C9C"/>
    <w:rsid w:val="00B9066A"/>
    <w:rsid w:val="00BB2982"/>
    <w:rsid w:val="00BC2E39"/>
    <w:rsid w:val="00BE79F4"/>
    <w:rsid w:val="00C1215B"/>
    <w:rsid w:val="00C14DCE"/>
    <w:rsid w:val="00C23B5E"/>
    <w:rsid w:val="00C26145"/>
    <w:rsid w:val="00C32730"/>
    <w:rsid w:val="00C42507"/>
    <w:rsid w:val="00C466D1"/>
    <w:rsid w:val="00C5491F"/>
    <w:rsid w:val="00C55FD3"/>
    <w:rsid w:val="00C67995"/>
    <w:rsid w:val="00C74F02"/>
    <w:rsid w:val="00C76671"/>
    <w:rsid w:val="00C827BD"/>
    <w:rsid w:val="00C952CA"/>
    <w:rsid w:val="00CA2006"/>
    <w:rsid w:val="00CA2232"/>
    <w:rsid w:val="00CB19A6"/>
    <w:rsid w:val="00CB3A44"/>
    <w:rsid w:val="00CD040C"/>
    <w:rsid w:val="00CD5DC6"/>
    <w:rsid w:val="00CD6E99"/>
    <w:rsid w:val="00CE3972"/>
    <w:rsid w:val="00CE3CEA"/>
    <w:rsid w:val="00CE5918"/>
    <w:rsid w:val="00CE766B"/>
    <w:rsid w:val="00CE7B4D"/>
    <w:rsid w:val="00CF3217"/>
    <w:rsid w:val="00CF5EA6"/>
    <w:rsid w:val="00CF6F9D"/>
    <w:rsid w:val="00CF7036"/>
    <w:rsid w:val="00D00354"/>
    <w:rsid w:val="00D04431"/>
    <w:rsid w:val="00D119CB"/>
    <w:rsid w:val="00D135EC"/>
    <w:rsid w:val="00D25298"/>
    <w:rsid w:val="00D30B74"/>
    <w:rsid w:val="00D33BDB"/>
    <w:rsid w:val="00D3407E"/>
    <w:rsid w:val="00D34498"/>
    <w:rsid w:val="00D355D5"/>
    <w:rsid w:val="00D407AA"/>
    <w:rsid w:val="00D40F2B"/>
    <w:rsid w:val="00D42230"/>
    <w:rsid w:val="00D4334A"/>
    <w:rsid w:val="00D52469"/>
    <w:rsid w:val="00D54458"/>
    <w:rsid w:val="00D626C6"/>
    <w:rsid w:val="00D676A7"/>
    <w:rsid w:val="00D70DE9"/>
    <w:rsid w:val="00D75067"/>
    <w:rsid w:val="00D80FF6"/>
    <w:rsid w:val="00D81FE4"/>
    <w:rsid w:val="00DA3F98"/>
    <w:rsid w:val="00DB2CCF"/>
    <w:rsid w:val="00DB3ACF"/>
    <w:rsid w:val="00DB4906"/>
    <w:rsid w:val="00DC0356"/>
    <w:rsid w:val="00DC2878"/>
    <w:rsid w:val="00DD1D7B"/>
    <w:rsid w:val="00DD7AF6"/>
    <w:rsid w:val="00DE26C3"/>
    <w:rsid w:val="00DE6443"/>
    <w:rsid w:val="00E052C6"/>
    <w:rsid w:val="00E071BE"/>
    <w:rsid w:val="00E11C03"/>
    <w:rsid w:val="00E3569D"/>
    <w:rsid w:val="00E50B24"/>
    <w:rsid w:val="00E52615"/>
    <w:rsid w:val="00E57CE0"/>
    <w:rsid w:val="00E62C54"/>
    <w:rsid w:val="00E62E93"/>
    <w:rsid w:val="00E630BD"/>
    <w:rsid w:val="00E663F9"/>
    <w:rsid w:val="00E6770C"/>
    <w:rsid w:val="00E72DEE"/>
    <w:rsid w:val="00E7580C"/>
    <w:rsid w:val="00E82D4B"/>
    <w:rsid w:val="00E9575F"/>
    <w:rsid w:val="00E967EE"/>
    <w:rsid w:val="00EA36AD"/>
    <w:rsid w:val="00EA7121"/>
    <w:rsid w:val="00EA7601"/>
    <w:rsid w:val="00EB42FB"/>
    <w:rsid w:val="00EB537F"/>
    <w:rsid w:val="00EB5AC5"/>
    <w:rsid w:val="00EC1447"/>
    <w:rsid w:val="00EC5374"/>
    <w:rsid w:val="00ED07CB"/>
    <w:rsid w:val="00ED1662"/>
    <w:rsid w:val="00ED1E7B"/>
    <w:rsid w:val="00EE0D29"/>
    <w:rsid w:val="00EE1DDB"/>
    <w:rsid w:val="00EE2598"/>
    <w:rsid w:val="00EF0241"/>
    <w:rsid w:val="00EF0D89"/>
    <w:rsid w:val="00EF16E4"/>
    <w:rsid w:val="00EF2312"/>
    <w:rsid w:val="00F0227C"/>
    <w:rsid w:val="00F10EDE"/>
    <w:rsid w:val="00F14CF8"/>
    <w:rsid w:val="00F31D0B"/>
    <w:rsid w:val="00F3271C"/>
    <w:rsid w:val="00F37DE1"/>
    <w:rsid w:val="00F4704E"/>
    <w:rsid w:val="00F511E9"/>
    <w:rsid w:val="00F55E9F"/>
    <w:rsid w:val="00F569E7"/>
    <w:rsid w:val="00F62091"/>
    <w:rsid w:val="00F63E5F"/>
    <w:rsid w:val="00F64970"/>
    <w:rsid w:val="00F7437A"/>
    <w:rsid w:val="00F75193"/>
    <w:rsid w:val="00F75B5B"/>
    <w:rsid w:val="00F75DAA"/>
    <w:rsid w:val="00F81A11"/>
    <w:rsid w:val="00F82293"/>
    <w:rsid w:val="00F836F1"/>
    <w:rsid w:val="00F9210A"/>
    <w:rsid w:val="00F9302E"/>
    <w:rsid w:val="00F94C58"/>
    <w:rsid w:val="00F96994"/>
    <w:rsid w:val="00FA41B2"/>
    <w:rsid w:val="00FA74B4"/>
    <w:rsid w:val="00FB0408"/>
    <w:rsid w:val="00FC1BEE"/>
    <w:rsid w:val="00FC20C3"/>
    <w:rsid w:val="00FC2F77"/>
    <w:rsid w:val="00FC38F3"/>
    <w:rsid w:val="00FC5115"/>
    <w:rsid w:val="00FC6CB3"/>
    <w:rsid w:val="00FD0726"/>
    <w:rsid w:val="00FD079F"/>
    <w:rsid w:val="00FD2048"/>
    <w:rsid w:val="00FE18C9"/>
    <w:rsid w:val="00FE2289"/>
    <w:rsid w:val="00FE23C9"/>
    <w:rsid w:val="00FF24EF"/>
    <w:rsid w:val="00FF3112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00"/>
            </a:pPr>
            <a:r>
              <a:rPr lang="fr-FR" sz="1000" b="1" i="0" baseline="0"/>
              <a:t>Opinion des entreprises dans les services marchands non financiers, proportion en % </a:t>
            </a:r>
            <a:endParaRPr lang="fr-FR" sz="1000"/>
          </a:p>
        </c:rich>
      </c:tx>
      <c:layout>
        <c:manualLayout>
          <c:xMode val="edge"/>
          <c:yMode val="edge"/>
          <c:x val="0.11788817306927543"/>
          <c:y val="3.6253776435045418E-2"/>
        </c:manualLayout>
      </c:layout>
    </c:title>
    <c:plotArea>
      <c:layout>
        <c:manualLayout>
          <c:layoutTarget val="inner"/>
          <c:xMode val="edge"/>
          <c:yMode val="edge"/>
          <c:x val="0.10895378986717569"/>
          <c:y val="0.1823095526956412"/>
          <c:w val="0.72772130756383047"/>
          <c:h val="0.6888328535972277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60.1</c:v>
                </c:pt>
                <c:pt idx="1">
                  <c:v>16</c:v>
                </c:pt>
                <c:pt idx="2">
                  <c:v>2.84</c:v>
                </c:pt>
                <c:pt idx="3">
                  <c:v>9.19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23.74</c:v>
                </c:pt>
                <c:pt idx="1">
                  <c:v>71</c:v>
                </c:pt>
                <c:pt idx="2">
                  <c:v>71</c:v>
                </c:pt>
                <c:pt idx="3">
                  <c:v>85.14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16.170000000000005</c:v>
                </c:pt>
                <c:pt idx="1">
                  <c:v>12.81</c:v>
                </c:pt>
                <c:pt idx="2">
                  <c:v>26</c:v>
                </c:pt>
                <c:pt idx="3">
                  <c:v>5.67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43.93</c:v>
                </c:pt>
                <c:pt idx="1">
                  <c:v>3</c:v>
                </c:pt>
                <c:pt idx="2">
                  <c:v>-23</c:v>
                </c:pt>
                <c:pt idx="3">
                  <c:v>3</c:v>
                </c:pt>
              </c:numCache>
            </c:numRef>
          </c:val>
        </c:ser>
        <c:axId val="106941824"/>
        <c:axId val="63267968"/>
      </c:barChart>
      <c:dateAx>
        <c:axId val="1069418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63267968"/>
        <c:crosses val="autoZero"/>
        <c:lblOffset val="100"/>
        <c:baseTimeUnit val="days"/>
      </c:dateAx>
      <c:valAx>
        <c:axId val="632679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694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35417163763558"/>
          <c:y val="0.36675783948059126"/>
          <c:w val="0.17329579257138386"/>
          <c:h val="0.2891317525137437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000"/>
            </a:pPr>
            <a:r>
              <a:rPr lang="fr-FR" sz="1000"/>
              <a:t>Opinions des grossistes (proportion en %) </a:t>
            </a:r>
          </a:p>
        </c:rich>
      </c:tx>
      <c:layout>
        <c:manualLayout>
          <c:xMode val="edge"/>
          <c:yMode val="edge"/>
          <c:x val="0.17202924014663507"/>
          <c:y val="6.666666666666668E-2"/>
        </c:manualLayout>
      </c:layout>
    </c:title>
    <c:plotArea>
      <c:layout>
        <c:manualLayout>
          <c:layoutTarget val="inner"/>
          <c:xMode val="edge"/>
          <c:yMode val="edge"/>
          <c:x val="9.1903896628306073E-2"/>
          <c:y val="0.18676918326385691"/>
          <c:w val="0.72293587268533865"/>
          <c:h val="0.6791381812567545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14.139999999999999</c:v>
                </c:pt>
                <c:pt idx="1">
                  <c:v>7.91</c:v>
                </c:pt>
                <c:pt idx="2">
                  <c:v>19.350000000000001</c:v>
                </c:pt>
                <c:pt idx="3">
                  <c:v>18.989999999999888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29.8</c:v>
                </c:pt>
                <c:pt idx="1">
                  <c:v>61.39</c:v>
                </c:pt>
                <c:pt idx="2">
                  <c:v>76.39</c:v>
                </c:pt>
                <c:pt idx="3">
                  <c:v>74.569999999999993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56.06</c:v>
                </c:pt>
                <c:pt idx="1">
                  <c:v>30.7</c:v>
                </c:pt>
                <c:pt idx="2">
                  <c:v>4.26</c:v>
                </c:pt>
                <c:pt idx="3">
                  <c:v>6.44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-41.92</c:v>
                </c:pt>
                <c:pt idx="1">
                  <c:v>-22.79</c:v>
                </c:pt>
                <c:pt idx="2">
                  <c:v>15.1</c:v>
                </c:pt>
                <c:pt idx="3">
                  <c:v>12.54</c:v>
                </c:pt>
              </c:numCache>
            </c:numRef>
          </c:val>
        </c:ser>
        <c:axId val="109231104"/>
        <c:axId val="109241088"/>
      </c:barChart>
      <c:dateAx>
        <c:axId val="109231104"/>
        <c:scaling>
          <c:orientation val="minMax"/>
        </c:scaling>
        <c:axPos val="b"/>
        <c:majorGridlines/>
        <c:numFmt formatCode="General" sourceLinked="0"/>
        <c:majorTickMark val="none"/>
        <c:tickLblPos val="nextTo"/>
        <c:txPr>
          <a:bodyPr/>
          <a:lstStyle/>
          <a:p>
            <a:pPr>
              <a:defRPr sz="800" b="1" baseline="0"/>
            </a:pPr>
            <a:endParaRPr lang="fr-FR"/>
          </a:p>
        </c:txPr>
        <c:crossAx val="109241088"/>
        <c:crosses val="autoZero"/>
        <c:lblOffset val="700"/>
        <c:baseTimeUnit val="days"/>
      </c:dateAx>
      <c:valAx>
        <c:axId val="1092410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9231104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0672629236562865"/>
          <c:y val="0.41630538829705316"/>
          <c:w val="0.15704182357640201"/>
          <c:h val="0.24576192681797218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1000"/>
              <a:t>Anticipations des entreprises des services marchands non financiers </a:t>
            </a:r>
          </a:p>
          <a:p>
            <a:pPr>
              <a:defRPr/>
            </a:pPr>
            <a:r>
              <a:rPr lang="fr-FR" sz="1000"/>
              <a:t>(proportion en %)  </a:t>
            </a:r>
          </a:p>
        </c:rich>
      </c:tx>
      <c:layout>
        <c:manualLayout>
          <c:xMode val="edge"/>
          <c:yMode val="edge"/>
          <c:x val="0.13868037328667238"/>
          <c:y val="1.2299868766404199E-3"/>
        </c:manualLayout>
      </c:layout>
    </c:title>
    <c:plotArea>
      <c:layout>
        <c:manualLayout>
          <c:layoutTarget val="inner"/>
          <c:xMode val="edge"/>
          <c:yMode val="edge"/>
          <c:x val="0.11998067949839604"/>
          <c:y val="0.21447270530032694"/>
          <c:w val="0.65231335666375656"/>
          <c:h val="0.6068384977057799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41.44</c:v>
                </c:pt>
                <c:pt idx="1">
                  <c:v>71</c:v>
                </c:pt>
                <c:pt idx="2">
                  <c:v>5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48.56</c:v>
                </c:pt>
                <c:pt idx="1">
                  <c:v>19.100000000000001</c:v>
                </c:pt>
                <c:pt idx="2">
                  <c:v>83.86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3.4899999999999998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31.43</c:v>
                </c:pt>
                <c:pt idx="1">
                  <c:v>61</c:v>
                </c:pt>
                <c:pt idx="2">
                  <c:v>-6</c:v>
                </c:pt>
                <c:pt idx="3">
                  <c:v>11</c:v>
                </c:pt>
              </c:numCache>
            </c:numRef>
          </c:val>
        </c:ser>
        <c:axId val="107379328"/>
        <c:axId val="107385216"/>
      </c:barChart>
      <c:catAx>
        <c:axId val="10737932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07385216"/>
        <c:crosses val="autoZero"/>
        <c:auto val="1"/>
        <c:lblAlgn val="ctr"/>
        <c:lblOffset val="100"/>
      </c:catAx>
      <c:valAx>
        <c:axId val="1073852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737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77989209683393"/>
          <c:y val="0.34886950282293888"/>
          <c:w val="0.2515904782735493"/>
          <c:h val="0.32262183443286385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algn="l">
              <a:defRPr sz="1000"/>
            </a:pPr>
            <a:r>
              <a:rPr lang="fr-FR" sz="1000"/>
              <a:t>Anticipations des grossistes</a:t>
            </a:r>
            <a:r>
              <a:rPr lang="fr-FR" sz="1000" baseline="0"/>
              <a:t> (</a:t>
            </a:r>
            <a:r>
              <a:rPr lang="fr-FR" sz="1000"/>
              <a:t>proportions en %)</a:t>
            </a:r>
          </a:p>
        </c:rich>
      </c:tx>
      <c:layout>
        <c:manualLayout>
          <c:xMode val="edge"/>
          <c:yMode val="edge"/>
          <c:x val="0.1211690430588071"/>
          <c:y val="0.1106009117281395"/>
        </c:manualLayout>
      </c:layout>
    </c:title>
    <c:plotArea>
      <c:layout>
        <c:manualLayout>
          <c:layoutTarget val="inner"/>
          <c:xMode val="edge"/>
          <c:yMode val="edge"/>
          <c:x val="0.13754196423121529"/>
          <c:y val="0.2355308744301699"/>
          <c:w val="0.67491712184625396"/>
          <c:h val="0.4969976516093383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41.39</c:v>
                </c:pt>
                <c:pt idx="1">
                  <c:v>22.55</c:v>
                </c:pt>
                <c:pt idx="2">
                  <c:v>41.2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41.36</c:v>
                </c:pt>
                <c:pt idx="1">
                  <c:v>65.349999999999994</c:v>
                </c:pt>
                <c:pt idx="2">
                  <c:v>55.14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17.25</c:v>
                </c:pt>
                <c:pt idx="1">
                  <c:v>12.1</c:v>
                </c:pt>
                <c:pt idx="2">
                  <c:v>3.66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24.14</c:v>
                </c:pt>
                <c:pt idx="1">
                  <c:v>10.450000000000006</c:v>
                </c:pt>
                <c:pt idx="2">
                  <c:v>37.53</c:v>
                </c:pt>
              </c:numCache>
            </c:numRef>
          </c:val>
        </c:ser>
        <c:axId val="63842560"/>
        <c:axId val="63860736"/>
      </c:barChart>
      <c:catAx>
        <c:axId val="6384256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900" b="1" baseline="0"/>
            </a:pPr>
            <a:endParaRPr lang="fr-FR"/>
          </a:p>
        </c:txPr>
        <c:crossAx val="63860736"/>
        <c:crosses val="autoZero"/>
        <c:auto val="1"/>
        <c:lblAlgn val="ctr"/>
        <c:lblOffset val="900"/>
      </c:catAx>
      <c:valAx>
        <c:axId val="638607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63842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02671175112116"/>
          <c:y val="0.34822848459732031"/>
          <c:w val="0.20931975503062172"/>
          <c:h val="0.2240720371492025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2016-06-15T11:22:00Z</cp:lastPrinted>
  <dcterms:created xsi:type="dcterms:W3CDTF">2016-09-20T16:38:00Z</dcterms:created>
  <dcterms:modified xsi:type="dcterms:W3CDTF">2016-09-20T16:38:00Z</dcterms:modified>
</cp:coreProperties>
</file>