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77" w:rsidRPr="00C706A5" w:rsidRDefault="00F37422" w:rsidP="0069792B">
      <w:pPr>
        <w:widowControl/>
        <w:spacing w:line="276" w:lineRule="auto"/>
        <w:jc w:val="center"/>
        <w:rPr>
          <w:rFonts w:ascii="Book Antiqua" w:hAnsi="Book Antiqua" w:cs="Times New Roman"/>
          <w:b/>
          <w:bCs/>
          <w:color w:val="000000" w:themeColor="text1"/>
        </w:rPr>
      </w:pPr>
      <w:r w:rsidRPr="00C706A5">
        <w:rPr>
          <w:rFonts w:ascii="Book Antiqua" w:hAnsi="Book Antiqua" w:cs="Times New Roman"/>
          <w:b/>
          <w:bCs/>
          <w:color w:val="000000" w:themeColor="text1"/>
        </w:rPr>
        <w:t xml:space="preserve">          </w:t>
      </w:r>
    </w:p>
    <w:p w:rsidR="000D4077" w:rsidRPr="00C706A5" w:rsidRDefault="000D4077" w:rsidP="0069792B">
      <w:pPr>
        <w:widowControl/>
        <w:spacing w:line="276" w:lineRule="auto"/>
        <w:jc w:val="center"/>
        <w:rPr>
          <w:rFonts w:ascii="Book Antiqua" w:hAnsi="Book Antiqua" w:cs="Times New Roman"/>
          <w:b/>
          <w:bCs/>
          <w:color w:val="000000" w:themeColor="text1"/>
        </w:rPr>
      </w:pPr>
    </w:p>
    <w:p w:rsidR="000D4077" w:rsidRPr="00C706A5" w:rsidRDefault="00DA65F6" w:rsidP="0069792B">
      <w:pPr>
        <w:widowControl/>
        <w:spacing w:line="276" w:lineRule="auto"/>
        <w:jc w:val="center"/>
        <w:rPr>
          <w:rFonts w:ascii="Book Antiqua" w:hAnsi="Book Antiqua" w:cs="Times New Roman"/>
          <w:b/>
          <w:bCs/>
          <w:color w:val="000000" w:themeColor="text1"/>
        </w:rPr>
      </w:pPr>
      <w:r>
        <w:rPr>
          <w:rFonts w:ascii="Book Antiqua" w:hAnsi="Book Antiqua" w:cs="Times New Roman"/>
          <w:b/>
          <w:bCs/>
          <w:color w:val="000000" w:themeColor="text1"/>
        </w:rPr>
        <w:t xml:space="preserve">       </w:t>
      </w:r>
      <w:r w:rsidR="005A0745">
        <w:rPr>
          <w:rFonts w:ascii="Book Antiqua" w:hAnsi="Book Antiqua" w:cs="Times New Roman"/>
          <w:b/>
          <w:bCs/>
          <w:color w:val="000000" w:themeColor="text1"/>
        </w:rPr>
        <w:t xml:space="preserve">      </w:t>
      </w:r>
    </w:p>
    <w:p w:rsidR="002E3CF2" w:rsidRDefault="002E3CF2" w:rsidP="0069792B">
      <w:pPr>
        <w:widowControl/>
        <w:spacing w:line="276" w:lineRule="auto"/>
        <w:jc w:val="center"/>
        <w:rPr>
          <w:rFonts w:ascii="Book Antiqua" w:hAnsi="Book Antiqua" w:cs="Times New Roman"/>
          <w:b/>
          <w:bCs/>
          <w:color w:val="000000" w:themeColor="text1"/>
        </w:rPr>
      </w:pPr>
    </w:p>
    <w:p w:rsidR="002E3CF2" w:rsidRDefault="004A5D5B" w:rsidP="0069792B">
      <w:pPr>
        <w:widowControl/>
        <w:spacing w:line="276" w:lineRule="auto"/>
        <w:jc w:val="center"/>
        <w:rPr>
          <w:rFonts w:ascii="Book Antiqua" w:hAnsi="Book Antiqua" w:cs="Times New Roman"/>
          <w:b/>
          <w:bCs/>
          <w:color w:val="000000" w:themeColor="text1"/>
        </w:rPr>
      </w:pPr>
      <w:r>
        <w:rPr>
          <w:rFonts w:ascii="Book Antiqua" w:hAnsi="Book Antiqua" w:cs="Times New Roman"/>
          <w:b/>
          <w:bCs/>
          <w:color w:val="000000" w:themeColor="text1"/>
        </w:rPr>
        <w:t xml:space="preserve">      </w:t>
      </w:r>
    </w:p>
    <w:p w:rsidR="000D4077" w:rsidRPr="00C706A5" w:rsidRDefault="008C2800" w:rsidP="0069792B">
      <w:pPr>
        <w:widowControl/>
        <w:spacing w:line="276" w:lineRule="auto"/>
        <w:jc w:val="center"/>
        <w:rPr>
          <w:rFonts w:ascii="Book Antiqua" w:hAnsi="Book Antiqua" w:cs="Times New Roman"/>
          <w:b/>
          <w:bCs/>
          <w:color w:val="000000" w:themeColor="text1"/>
        </w:rPr>
      </w:pPr>
      <w:r>
        <w:rPr>
          <w:rFonts w:ascii="Book Antiqua" w:hAnsi="Book Antiqua" w:cs="Times New Roman"/>
          <w:b/>
          <w:bCs/>
          <w:color w:val="000000" w:themeColor="text1"/>
        </w:rPr>
        <w:t xml:space="preserve">     </w:t>
      </w:r>
      <w:r w:rsidR="00A064CC">
        <w:rPr>
          <w:rFonts w:ascii="Book Antiqua" w:hAnsi="Book Antiqua" w:cs="Times New Roman"/>
          <w:b/>
          <w:bCs/>
          <w:color w:val="000000" w:themeColor="text1"/>
        </w:rPr>
        <w:t xml:space="preserve">      </w:t>
      </w:r>
    </w:p>
    <w:p w:rsidR="009E682C" w:rsidRPr="003A4987" w:rsidRDefault="009E682C" w:rsidP="0069792B">
      <w:pPr>
        <w:widowControl/>
        <w:spacing w:line="276" w:lineRule="auto"/>
        <w:jc w:val="center"/>
        <w:rPr>
          <w:rFonts w:ascii="Book Antiqua" w:hAnsi="Book Antiqua" w:cs="Times New Roman"/>
          <w:b/>
          <w:bCs/>
          <w:color w:val="660033"/>
        </w:rPr>
      </w:pPr>
    </w:p>
    <w:p w:rsidR="00912704" w:rsidRPr="003A4987" w:rsidRDefault="00912704" w:rsidP="0069792B">
      <w:pPr>
        <w:widowControl/>
        <w:spacing w:line="276" w:lineRule="auto"/>
        <w:jc w:val="center"/>
        <w:rPr>
          <w:rFonts w:ascii="Book Antiqua" w:hAnsi="Book Antiqua" w:cs="Times New Roman"/>
          <w:b/>
          <w:bCs/>
          <w:color w:val="660033"/>
          <w:sz w:val="26"/>
          <w:szCs w:val="26"/>
        </w:rPr>
      </w:pPr>
      <w:r w:rsidRPr="003A4987">
        <w:rPr>
          <w:rFonts w:ascii="Book Antiqua" w:hAnsi="Book Antiqua" w:cs="Times New Roman"/>
          <w:b/>
          <w:bCs/>
          <w:color w:val="660033"/>
          <w:sz w:val="26"/>
          <w:szCs w:val="26"/>
        </w:rPr>
        <w:t>Note d’information</w:t>
      </w:r>
      <w:r w:rsidR="0069792B" w:rsidRPr="003A4987">
        <w:rPr>
          <w:rFonts w:ascii="Book Antiqua" w:hAnsi="Book Antiqua" w:cs="Times New Roman"/>
          <w:b/>
          <w:bCs/>
          <w:color w:val="660033"/>
          <w:sz w:val="26"/>
          <w:szCs w:val="26"/>
        </w:rPr>
        <w:t xml:space="preserve"> du Haut-commissariat au Plan</w:t>
      </w:r>
    </w:p>
    <w:p w:rsidR="00912704" w:rsidRPr="003A4987" w:rsidRDefault="00097300" w:rsidP="00CF7444">
      <w:pPr>
        <w:widowControl/>
        <w:spacing w:line="276" w:lineRule="auto"/>
        <w:jc w:val="center"/>
        <w:rPr>
          <w:rFonts w:ascii="Book Antiqua" w:hAnsi="Book Antiqua" w:cs="Times New Roman"/>
          <w:b/>
          <w:bCs/>
          <w:color w:val="660033"/>
          <w:sz w:val="26"/>
          <w:szCs w:val="26"/>
        </w:rPr>
      </w:pPr>
      <w:r w:rsidRPr="003A4987">
        <w:rPr>
          <w:rFonts w:ascii="Book Antiqua" w:hAnsi="Book Antiqua" w:cs="Times New Roman"/>
          <w:b/>
          <w:bCs/>
          <w:color w:val="660033"/>
          <w:sz w:val="26"/>
          <w:szCs w:val="26"/>
        </w:rPr>
        <w:t>R</w:t>
      </w:r>
      <w:r w:rsidR="00912704" w:rsidRPr="003A4987">
        <w:rPr>
          <w:rFonts w:ascii="Book Antiqua" w:hAnsi="Book Antiqua" w:cs="Times New Roman"/>
          <w:b/>
          <w:bCs/>
          <w:color w:val="660033"/>
          <w:sz w:val="26"/>
          <w:szCs w:val="26"/>
        </w:rPr>
        <w:t xml:space="preserve">ésultats de l’enquête de conjoncture auprès des ménages </w:t>
      </w:r>
    </w:p>
    <w:p w:rsidR="00912704" w:rsidRPr="003A4987" w:rsidRDefault="009E781A" w:rsidP="009E781A">
      <w:pPr>
        <w:widowControl/>
        <w:spacing w:line="276" w:lineRule="auto"/>
        <w:jc w:val="center"/>
        <w:rPr>
          <w:rFonts w:ascii="Book Antiqua" w:hAnsi="Book Antiqua" w:cs="Times New Roman"/>
          <w:b/>
          <w:bCs/>
          <w:color w:val="660033"/>
          <w:sz w:val="26"/>
          <w:szCs w:val="26"/>
        </w:rPr>
      </w:pPr>
      <w:r>
        <w:rPr>
          <w:rFonts w:ascii="Book Antiqua" w:hAnsi="Book Antiqua" w:cs="Times New Roman"/>
          <w:b/>
          <w:bCs/>
          <w:color w:val="660033"/>
          <w:sz w:val="26"/>
          <w:szCs w:val="26"/>
        </w:rPr>
        <w:t xml:space="preserve">Deuxième </w:t>
      </w:r>
      <w:r w:rsidR="003C1653">
        <w:rPr>
          <w:rFonts w:ascii="Book Antiqua" w:hAnsi="Book Antiqua" w:cs="Times New Roman"/>
          <w:b/>
          <w:bCs/>
          <w:color w:val="660033"/>
          <w:sz w:val="26"/>
          <w:szCs w:val="26"/>
        </w:rPr>
        <w:t>trimestre 2016</w:t>
      </w:r>
    </w:p>
    <w:p w:rsidR="004105E0" w:rsidRPr="00C706A5" w:rsidRDefault="004105E0" w:rsidP="000F7C4F">
      <w:pPr>
        <w:widowControl/>
        <w:spacing w:before="240" w:line="276" w:lineRule="auto"/>
        <w:jc w:val="both"/>
        <w:rPr>
          <w:rFonts w:ascii="Book Antiqua" w:hAnsi="Book Antiqua" w:cs="Times New Roman"/>
          <w:color w:val="000000" w:themeColor="text1"/>
          <w:sz w:val="36"/>
          <w:szCs w:val="36"/>
        </w:rPr>
      </w:pPr>
    </w:p>
    <w:p w:rsidR="00A45128" w:rsidRPr="00C706A5" w:rsidRDefault="005E2815" w:rsidP="00AF6524">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color w:val="000000" w:themeColor="text1"/>
        </w:rPr>
        <w:t xml:space="preserve">Les </w:t>
      </w:r>
      <w:r w:rsidR="00A45128" w:rsidRPr="00C706A5">
        <w:rPr>
          <w:rFonts w:ascii="Times New Roman" w:hAnsi="Times New Roman" w:cs="Times New Roman"/>
          <w:b/>
          <w:color w:val="000000" w:themeColor="text1"/>
        </w:rPr>
        <w:t xml:space="preserve">résultats de l’enquête permanente de conjoncture auprès des ménages, menée par le HCP, </w:t>
      </w:r>
      <w:r w:rsidRPr="00C706A5">
        <w:rPr>
          <w:rFonts w:ascii="Times New Roman" w:hAnsi="Times New Roman" w:cs="Times New Roman"/>
          <w:b/>
          <w:color w:val="000000" w:themeColor="text1"/>
        </w:rPr>
        <w:t>montrent</w:t>
      </w:r>
      <w:r w:rsidR="00292CDC">
        <w:rPr>
          <w:rFonts w:ascii="Times New Roman" w:hAnsi="Times New Roman" w:cs="Times New Roman"/>
          <w:b/>
          <w:color w:val="000000" w:themeColor="text1"/>
        </w:rPr>
        <w:t>,</w:t>
      </w:r>
      <w:r w:rsidRPr="00C706A5">
        <w:rPr>
          <w:rFonts w:ascii="Times New Roman" w:hAnsi="Times New Roman" w:cs="Times New Roman"/>
          <w:b/>
          <w:color w:val="000000" w:themeColor="text1"/>
        </w:rPr>
        <w:t xml:space="preserve"> </w:t>
      </w:r>
      <w:r w:rsidR="005406FD">
        <w:rPr>
          <w:rFonts w:ascii="Times New Roman" w:hAnsi="Times New Roman" w:cs="Times New Roman"/>
          <w:b/>
          <w:color w:val="000000" w:themeColor="text1"/>
        </w:rPr>
        <w:t>globalement</w:t>
      </w:r>
      <w:r w:rsidR="00292CDC">
        <w:rPr>
          <w:rFonts w:ascii="Times New Roman" w:hAnsi="Times New Roman" w:cs="Times New Roman"/>
          <w:b/>
          <w:color w:val="000000" w:themeColor="text1"/>
        </w:rPr>
        <w:t>,</w:t>
      </w:r>
      <w:r w:rsidR="005406FD">
        <w:rPr>
          <w:rFonts w:ascii="Times New Roman" w:hAnsi="Times New Roman" w:cs="Times New Roman"/>
          <w:b/>
          <w:color w:val="000000" w:themeColor="text1"/>
        </w:rPr>
        <w:t xml:space="preserve"> qu’après s’être fortement dégradé au premier trimestre 2016, marqué par l’annonce </w:t>
      </w:r>
      <w:r w:rsidR="00660442">
        <w:rPr>
          <w:rFonts w:ascii="Times New Roman" w:hAnsi="Times New Roman" w:cs="Times New Roman"/>
          <w:b/>
          <w:color w:val="000000" w:themeColor="text1"/>
        </w:rPr>
        <w:t>d’une sévère sécheresse, le moral des ménages s’est relativement amélioré a</w:t>
      </w:r>
      <w:r w:rsidR="003658EF">
        <w:rPr>
          <w:rFonts w:ascii="Times New Roman" w:hAnsi="Times New Roman" w:cs="Times New Roman"/>
          <w:b/>
          <w:color w:val="000000" w:themeColor="text1"/>
        </w:rPr>
        <w:t>u</w:t>
      </w:r>
      <w:r w:rsidR="001424D2">
        <w:rPr>
          <w:rFonts w:ascii="Times New Roman" w:hAnsi="Times New Roman" w:cs="Times New Roman"/>
          <w:b/>
          <w:color w:val="000000" w:themeColor="text1"/>
        </w:rPr>
        <w:t xml:space="preserve"> </w:t>
      </w:r>
      <w:r w:rsidR="009E781A">
        <w:rPr>
          <w:rFonts w:ascii="Times New Roman" w:hAnsi="Times New Roman" w:cs="Times New Roman"/>
          <w:b/>
          <w:color w:val="000000" w:themeColor="text1"/>
        </w:rPr>
        <w:t>deuxième</w:t>
      </w:r>
      <w:r w:rsidR="001424D2">
        <w:rPr>
          <w:rFonts w:ascii="Times New Roman" w:hAnsi="Times New Roman" w:cs="Times New Roman"/>
          <w:b/>
          <w:color w:val="000000" w:themeColor="text1"/>
        </w:rPr>
        <w:t xml:space="preserve"> trimestre, </w:t>
      </w:r>
      <w:r w:rsidR="00660442">
        <w:rPr>
          <w:rFonts w:ascii="Times New Roman" w:hAnsi="Times New Roman" w:cs="Times New Roman"/>
          <w:b/>
          <w:color w:val="000000" w:themeColor="text1"/>
        </w:rPr>
        <w:t xml:space="preserve">mais reste affecté </w:t>
      </w:r>
      <w:r w:rsidR="005C2EDD">
        <w:rPr>
          <w:rFonts w:ascii="Times New Roman" w:hAnsi="Times New Roman" w:cs="Times New Roman"/>
          <w:b/>
          <w:color w:val="000000" w:themeColor="text1"/>
        </w:rPr>
        <w:t xml:space="preserve">par </w:t>
      </w:r>
      <w:r w:rsidR="00660442">
        <w:rPr>
          <w:rFonts w:ascii="Times New Roman" w:hAnsi="Times New Roman" w:cs="Times New Roman"/>
          <w:b/>
          <w:color w:val="000000" w:themeColor="text1"/>
        </w:rPr>
        <w:t xml:space="preserve">leur persistante préoccupation au sujet de l’emploi et des revenus.  </w:t>
      </w:r>
      <w:r w:rsidR="00715FBB">
        <w:rPr>
          <w:rFonts w:ascii="Times New Roman" w:hAnsi="Times New Roman" w:cs="Times New Roman"/>
          <w:b/>
          <w:color w:val="000000" w:themeColor="text1"/>
        </w:rPr>
        <w:t xml:space="preserve"> </w:t>
      </w:r>
      <w:r w:rsidR="00D2326A">
        <w:rPr>
          <w:rFonts w:ascii="Times New Roman" w:hAnsi="Times New Roman" w:cs="Times New Roman"/>
          <w:b/>
          <w:color w:val="000000" w:themeColor="text1"/>
        </w:rPr>
        <w:t xml:space="preserve"> </w:t>
      </w:r>
    </w:p>
    <w:p w:rsidR="00F80F35" w:rsidRPr="00C706A5" w:rsidRDefault="00A45128" w:rsidP="001968E2">
      <w:pPr>
        <w:widowControl/>
        <w:spacing w:line="276" w:lineRule="auto"/>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p>
    <w:p w:rsidR="00DD6FD9" w:rsidRDefault="00DD6FD9" w:rsidP="00C25F02">
      <w:pPr>
        <w:jc w:val="both"/>
        <w:rPr>
          <w:rFonts w:ascii="Times New Roman" w:hAnsi="Times New Roman" w:cs="Times New Roman"/>
          <w:color w:val="000000" w:themeColor="text1"/>
        </w:rPr>
      </w:pPr>
      <w:r w:rsidRPr="00DD6FD9">
        <w:rPr>
          <w:rFonts w:ascii="Times New Roman" w:hAnsi="Times New Roman" w:cs="Times New Roman"/>
          <w:color w:val="000000" w:themeColor="text1"/>
        </w:rPr>
        <w:t xml:space="preserve">C’est ainsi qu’au deuxième trimestre, l'indice de confiance des ménages (ICM) est passé à 75,7 points, au lieu de 71,6 points un trimestre auparavant. Il reste, cependant, en deçà de son niveau du </w:t>
      </w:r>
      <w:r w:rsidR="00C25F02">
        <w:rPr>
          <w:rFonts w:ascii="Times New Roman" w:hAnsi="Times New Roman" w:cs="Times New Roman"/>
          <w:color w:val="000000" w:themeColor="text1"/>
        </w:rPr>
        <w:t>deuxième</w:t>
      </w:r>
      <w:r w:rsidRPr="00DD6FD9">
        <w:rPr>
          <w:rFonts w:ascii="Times New Roman" w:hAnsi="Times New Roman" w:cs="Times New Roman"/>
          <w:color w:val="000000" w:themeColor="text1"/>
        </w:rPr>
        <w:t xml:space="preserve"> trimestre de l’année dernière où il avait atteint 76,1 points.</w:t>
      </w:r>
    </w:p>
    <w:p w:rsidR="00DD6FD9" w:rsidRPr="00DD6FD9" w:rsidRDefault="00DD6FD9" w:rsidP="00DD6FD9">
      <w:pPr>
        <w:jc w:val="both"/>
        <w:rPr>
          <w:rFonts w:ascii="Times New Roman" w:hAnsi="Times New Roman" w:cs="Times New Roman"/>
          <w:color w:val="000000" w:themeColor="text1"/>
        </w:rPr>
      </w:pPr>
    </w:p>
    <w:p w:rsidR="00E5224B" w:rsidRPr="00C706A5" w:rsidRDefault="009141A8" w:rsidP="001347D2">
      <w:pPr>
        <w:widowControl/>
        <w:tabs>
          <w:tab w:val="left" w:pos="567"/>
          <w:tab w:val="left" w:pos="709"/>
        </w:tabs>
        <w:spacing w:line="276" w:lineRule="auto"/>
        <w:jc w:val="center"/>
        <w:rPr>
          <w:rFonts w:ascii="Book Antiqua" w:hAnsi="Book Antiqua" w:cs="Times New Roman"/>
          <w:color w:val="000000" w:themeColor="text1"/>
        </w:rPr>
      </w:pPr>
      <w:r w:rsidRPr="009141A8">
        <w:rPr>
          <w:rFonts w:ascii="Book Antiqua" w:hAnsi="Book Antiqua" w:cs="Times New Roman"/>
          <w:noProof/>
          <w:color w:val="000000" w:themeColor="text1"/>
        </w:rPr>
        <w:drawing>
          <wp:inline distT="0" distB="0" distL="0" distR="0">
            <wp:extent cx="5972810" cy="2612390"/>
            <wp:effectExtent l="19050" t="0" r="2794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5E6A" w:rsidRPr="00C706A5" w:rsidRDefault="00D26D39" w:rsidP="007137CC">
      <w:pPr>
        <w:jc w:val="both"/>
        <w:rPr>
          <w:rFonts w:ascii="Times New Roman" w:hAnsi="Times New Roman" w:cs="Times New Roman"/>
          <w:b/>
          <w:bCs/>
          <w:color w:val="000000" w:themeColor="text1"/>
        </w:rPr>
      </w:pPr>
      <w:r w:rsidRPr="00C706A5">
        <w:rPr>
          <w:rFonts w:ascii="Times New Roman" w:hAnsi="Times New Roman" w:cs="Times New Roman"/>
          <w:color w:val="000000" w:themeColor="text1"/>
          <w:sz w:val="18"/>
          <w:szCs w:val="18"/>
        </w:rPr>
        <w:t xml:space="preserve"> </w:t>
      </w:r>
      <w:r w:rsidR="00113767" w:rsidRPr="00C706A5">
        <w:rPr>
          <w:rFonts w:ascii="Times New Roman" w:hAnsi="Times New Roman" w:cs="Times New Roman"/>
          <w:color w:val="000000" w:themeColor="text1"/>
          <w:sz w:val="18"/>
          <w:szCs w:val="18"/>
        </w:rPr>
        <w:t xml:space="preserve"> </w:t>
      </w:r>
    </w:p>
    <w:p w:rsidR="008D3806" w:rsidRDefault="006F1D72" w:rsidP="002A18ED">
      <w:pPr>
        <w:pStyle w:val="Paragraphedeliste"/>
        <w:numPr>
          <w:ilvl w:val="0"/>
          <w:numId w:val="9"/>
        </w:numPr>
        <w:ind w:left="284" w:hanging="284"/>
        <w:jc w:val="both"/>
        <w:rPr>
          <w:rFonts w:ascii="Times New Roman" w:hAnsi="Times New Roman" w:cs="Times New Roman"/>
          <w:b/>
          <w:bCs/>
          <w:color w:val="000000" w:themeColor="text1"/>
          <w:sz w:val="24"/>
          <w:szCs w:val="24"/>
        </w:rPr>
      </w:pPr>
      <w:bookmarkStart w:id="0" w:name="_Ref379209308"/>
      <w:r w:rsidRPr="003A3FCF">
        <w:rPr>
          <w:rFonts w:ascii="Times New Roman" w:hAnsi="Times New Roman" w:cs="Times New Roman"/>
          <w:b/>
          <w:bCs/>
          <w:color w:val="000000" w:themeColor="text1"/>
          <w:sz w:val="24"/>
          <w:szCs w:val="24"/>
        </w:rPr>
        <w:t xml:space="preserve">Evolution des </w:t>
      </w:r>
      <w:r w:rsidR="00860E86" w:rsidRPr="003A3FCF">
        <w:rPr>
          <w:rFonts w:ascii="Times New Roman" w:hAnsi="Times New Roman" w:cs="Times New Roman"/>
          <w:b/>
          <w:bCs/>
          <w:color w:val="000000" w:themeColor="text1"/>
          <w:sz w:val="24"/>
          <w:szCs w:val="24"/>
        </w:rPr>
        <w:t>composantes de</w:t>
      </w:r>
      <w:r w:rsidRPr="003A3FCF">
        <w:rPr>
          <w:rFonts w:ascii="Times New Roman" w:hAnsi="Times New Roman" w:cs="Times New Roman"/>
          <w:b/>
          <w:bCs/>
          <w:color w:val="000000" w:themeColor="text1"/>
          <w:sz w:val="24"/>
          <w:szCs w:val="24"/>
        </w:rPr>
        <w:t xml:space="preserve"> l'ICM</w:t>
      </w:r>
      <w:bookmarkEnd w:id="0"/>
    </w:p>
    <w:p w:rsidR="00C07FB5" w:rsidRDefault="00560ED1" w:rsidP="00C07FB5">
      <w:pPr>
        <w:jc w:val="both"/>
        <w:rPr>
          <w:rFonts w:ascii="Times New Roman" w:hAnsi="Times New Roman" w:cs="Times New Roman"/>
          <w:color w:val="000000" w:themeColor="text1"/>
        </w:rPr>
      </w:pPr>
      <w:r w:rsidRPr="00560ED1">
        <w:rPr>
          <w:rFonts w:ascii="Times New Roman" w:hAnsi="Times New Roman" w:cs="Times New Roman"/>
          <w:color w:val="000000" w:themeColor="text1"/>
        </w:rPr>
        <w:t>Ces composantes portent sur la perception par les ménages de l’évolution du niveau de vie</w:t>
      </w:r>
      <w:r w:rsidR="005C2EDD">
        <w:rPr>
          <w:rFonts w:ascii="Times New Roman" w:hAnsi="Times New Roman" w:cs="Times New Roman"/>
          <w:color w:val="000000" w:themeColor="text1"/>
        </w:rPr>
        <w:t>,</w:t>
      </w:r>
      <w:r w:rsidRPr="00560ED1">
        <w:rPr>
          <w:rFonts w:ascii="Times New Roman" w:hAnsi="Times New Roman" w:cs="Times New Roman"/>
          <w:color w:val="000000" w:themeColor="text1"/>
        </w:rPr>
        <w:t xml:space="preserve"> du chômage, de </w:t>
      </w:r>
      <w:r w:rsidR="008F33D5">
        <w:rPr>
          <w:rFonts w:ascii="Times New Roman" w:hAnsi="Times New Roman" w:cs="Times New Roman"/>
          <w:color w:val="000000" w:themeColor="text1"/>
        </w:rPr>
        <w:t>l’opportunité</w:t>
      </w:r>
      <w:r w:rsidRPr="00560ED1">
        <w:rPr>
          <w:rFonts w:ascii="Times New Roman" w:hAnsi="Times New Roman" w:cs="Times New Roman"/>
          <w:color w:val="000000" w:themeColor="text1"/>
        </w:rPr>
        <w:t xml:space="preserve"> à </w:t>
      </w:r>
      <w:r w:rsidR="008F33D5">
        <w:rPr>
          <w:rFonts w:ascii="Times New Roman" w:hAnsi="Times New Roman" w:cs="Times New Roman"/>
          <w:color w:val="000000" w:themeColor="text1"/>
        </w:rPr>
        <w:t>effectuer des achats de</w:t>
      </w:r>
      <w:r w:rsidRPr="00560ED1">
        <w:rPr>
          <w:rFonts w:ascii="Times New Roman" w:hAnsi="Times New Roman" w:cs="Times New Roman"/>
          <w:color w:val="000000" w:themeColor="text1"/>
        </w:rPr>
        <w:t xml:space="preserve"> bien</w:t>
      </w:r>
      <w:r>
        <w:rPr>
          <w:rFonts w:ascii="Times New Roman" w:hAnsi="Times New Roman" w:cs="Times New Roman"/>
          <w:color w:val="000000" w:themeColor="text1"/>
        </w:rPr>
        <w:t>s</w:t>
      </w:r>
      <w:r w:rsidR="00C07FB5">
        <w:rPr>
          <w:rFonts w:ascii="Times New Roman" w:hAnsi="Times New Roman" w:cs="Times New Roman"/>
          <w:color w:val="000000" w:themeColor="text1"/>
        </w:rPr>
        <w:t xml:space="preserve"> durables et de </w:t>
      </w:r>
      <w:r w:rsidRPr="00560ED1">
        <w:rPr>
          <w:rFonts w:ascii="Times New Roman" w:hAnsi="Times New Roman" w:cs="Times New Roman"/>
          <w:color w:val="000000" w:themeColor="text1"/>
        </w:rPr>
        <w:t>leur situation financière.</w:t>
      </w:r>
      <w:r>
        <w:rPr>
          <w:rFonts w:ascii="Times New Roman" w:hAnsi="Times New Roman" w:cs="Times New Roman"/>
          <w:color w:val="000000" w:themeColor="text1"/>
        </w:rPr>
        <w:t xml:space="preserve"> </w:t>
      </w:r>
    </w:p>
    <w:p w:rsidR="00C07FB5" w:rsidRDefault="00C07FB5" w:rsidP="00C07FB5">
      <w:pPr>
        <w:jc w:val="both"/>
        <w:rPr>
          <w:rFonts w:ascii="Times New Roman" w:hAnsi="Times New Roman" w:cs="Times New Roman"/>
          <w:color w:val="000000" w:themeColor="text1"/>
        </w:rPr>
      </w:pPr>
    </w:p>
    <w:p w:rsidR="007D40C4" w:rsidRPr="00BE5580" w:rsidRDefault="00C07FB5" w:rsidP="00EB409B">
      <w:pPr>
        <w:pStyle w:val="Paragraphedeliste"/>
        <w:numPr>
          <w:ilvl w:val="0"/>
          <w:numId w:val="16"/>
        </w:numPr>
        <w:spacing w:before="240"/>
        <w:jc w:val="both"/>
        <w:rPr>
          <w:rFonts w:ascii="Times New Roman" w:hAnsi="Times New Roman" w:cs="Times New Roman"/>
          <w:b/>
          <w:bCs/>
        </w:rPr>
      </w:pPr>
      <w:r w:rsidRPr="00BE5580">
        <w:rPr>
          <w:rFonts w:ascii="Book Antiqua" w:eastAsia="Times New Roman" w:hAnsi="Book Antiqua" w:cs="Times New Roman"/>
          <w:b/>
          <w:bCs/>
          <w:sz w:val="24"/>
          <w:szCs w:val="24"/>
          <w:lang w:eastAsia="fr-FR"/>
        </w:rPr>
        <w:t>Une perception du niveau de vie </w:t>
      </w:r>
      <w:r w:rsidR="001A288D" w:rsidRPr="00BE5580">
        <w:rPr>
          <w:rFonts w:ascii="Book Antiqua" w:eastAsia="Times New Roman" w:hAnsi="Book Antiqua" w:cs="Times New Roman"/>
          <w:b/>
          <w:bCs/>
          <w:sz w:val="24"/>
          <w:szCs w:val="24"/>
          <w:lang w:eastAsia="fr-FR"/>
        </w:rPr>
        <w:t xml:space="preserve">moins pessimiste </w:t>
      </w:r>
      <w:r w:rsidRPr="00BE5580">
        <w:rPr>
          <w:rFonts w:ascii="Book Antiqua" w:eastAsia="Times New Roman" w:hAnsi="Book Antiqua" w:cs="Times New Roman"/>
          <w:b/>
          <w:bCs/>
          <w:sz w:val="24"/>
          <w:szCs w:val="24"/>
          <w:lang w:eastAsia="fr-FR"/>
        </w:rPr>
        <w:t>sur un trimestre que sur une année</w:t>
      </w:r>
    </w:p>
    <w:p w:rsidR="00C07FB5" w:rsidRPr="00C07FB5" w:rsidRDefault="00C07FB5" w:rsidP="00C07FB5">
      <w:pPr>
        <w:pStyle w:val="Paragraphedeliste"/>
        <w:spacing w:before="240"/>
        <w:ind w:left="862"/>
        <w:jc w:val="both"/>
        <w:rPr>
          <w:rFonts w:ascii="Times New Roman" w:hAnsi="Times New Roman" w:cs="Times New Roman"/>
          <w:b/>
          <w:bCs/>
          <w:color w:val="000000" w:themeColor="text1"/>
        </w:rPr>
      </w:pPr>
    </w:p>
    <w:p w:rsidR="00111470" w:rsidRPr="00DD6FD9" w:rsidRDefault="001A2204" w:rsidP="00C37044">
      <w:pPr>
        <w:pStyle w:val="Paragraphedeliste"/>
        <w:spacing w:before="240"/>
        <w:ind w:left="0"/>
        <w:jc w:val="both"/>
        <w:rPr>
          <w:rFonts w:ascii="Times New Roman" w:eastAsia="Times New Roman" w:hAnsi="Times New Roman" w:cs="Times New Roman"/>
          <w:color w:val="000000" w:themeColor="text1"/>
          <w:sz w:val="24"/>
          <w:szCs w:val="24"/>
          <w:lang w:eastAsia="fr-FR"/>
        </w:rPr>
      </w:pPr>
      <w:r w:rsidRPr="00DD6FD9">
        <w:rPr>
          <w:rFonts w:ascii="Times New Roman" w:eastAsia="Times New Roman" w:hAnsi="Times New Roman" w:cs="Times New Roman"/>
          <w:color w:val="000000" w:themeColor="text1"/>
          <w:sz w:val="24"/>
          <w:szCs w:val="24"/>
          <w:lang w:eastAsia="fr-FR"/>
        </w:rPr>
        <w:t xml:space="preserve">Au deuxième trimestre, le solde d’opinion sur l’évolution du niveau de vie </w:t>
      </w:r>
      <w:r w:rsidR="00DD6FD9" w:rsidRPr="00DD6FD9">
        <w:rPr>
          <w:rFonts w:ascii="Times New Roman" w:hAnsi="Times New Roman" w:cs="Times New Roman"/>
          <w:color w:val="000000" w:themeColor="text1"/>
          <w:sz w:val="24"/>
          <w:szCs w:val="24"/>
        </w:rPr>
        <w:t xml:space="preserve">est resté toujours négatif, à moins 15,2 points, au lieu de moins 22,9 points le trimestre précédent et de moins 12,8 points une année </w:t>
      </w:r>
      <w:r w:rsidR="00DD6FD9" w:rsidRPr="00DD6FD9">
        <w:rPr>
          <w:rFonts w:ascii="Times New Roman" w:hAnsi="Times New Roman" w:cs="Times New Roman"/>
          <w:color w:val="000000" w:themeColor="text1"/>
          <w:sz w:val="24"/>
          <w:szCs w:val="24"/>
        </w:rPr>
        <w:lastRenderedPageBreak/>
        <w:t xml:space="preserve">auparavant. </w:t>
      </w:r>
      <w:r w:rsidRPr="00DD6FD9">
        <w:rPr>
          <w:rFonts w:ascii="Times New Roman" w:eastAsia="Times New Roman" w:hAnsi="Times New Roman" w:cs="Times New Roman"/>
          <w:color w:val="000000" w:themeColor="text1"/>
          <w:sz w:val="24"/>
          <w:szCs w:val="24"/>
          <w:lang w:eastAsia="fr-FR"/>
        </w:rPr>
        <w:t xml:space="preserve">Globalement, 43,1% des ménages déclarent une dégradation </w:t>
      </w:r>
      <w:r w:rsidR="00C07FB5" w:rsidRPr="00DD6FD9">
        <w:rPr>
          <w:rFonts w:ascii="Times New Roman" w:eastAsia="Times New Roman" w:hAnsi="Times New Roman" w:cs="Times New Roman"/>
          <w:color w:val="000000" w:themeColor="text1"/>
          <w:sz w:val="24"/>
          <w:szCs w:val="24"/>
          <w:lang w:eastAsia="fr-FR"/>
        </w:rPr>
        <w:t>du</w:t>
      </w:r>
      <w:r w:rsidRPr="00DD6FD9">
        <w:rPr>
          <w:rFonts w:ascii="Times New Roman" w:eastAsia="Times New Roman" w:hAnsi="Times New Roman" w:cs="Times New Roman"/>
          <w:color w:val="000000" w:themeColor="text1"/>
          <w:sz w:val="24"/>
          <w:szCs w:val="24"/>
          <w:lang w:eastAsia="fr-FR"/>
        </w:rPr>
        <w:t xml:space="preserve"> niveau de vie et </w:t>
      </w:r>
      <w:r w:rsidR="0063428A" w:rsidRPr="00DD6FD9">
        <w:rPr>
          <w:rFonts w:ascii="Times New Roman" w:eastAsia="Times New Roman" w:hAnsi="Times New Roman" w:cs="Times New Roman"/>
          <w:color w:val="000000" w:themeColor="text1"/>
          <w:sz w:val="24"/>
          <w:szCs w:val="24"/>
          <w:lang w:eastAsia="fr-FR"/>
        </w:rPr>
        <w:t xml:space="preserve">27,9% </w:t>
      </w:r>
      <w:r w:rsidRPr="00DD6FD9">
        <w:rPr>
          <w:rFonts w:ascii="Times New Roman" w:eastAsia="Times New Roman" w:hAnsi="Times New Roman" w:cs="Times New Roman"/>
          <w:color w:val="000000" w:themeColor="text1"/>
          <w:sz w:val="24"/>
          <w:szCs w:val="24"/>
          <w:lang w:eastAsia="fr-FR"/>
        </w:rPr>
        <w:t>une amélioration.</w:t>
      </w:r>
    </w:p>
    <w:p w:rsidR="00111470" w:rsidRDefault="00EB409B" w:rsidP="006B2CA2">
      <w:pPr>
        <w:widowControl/>
        <w:spacing w:before="24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Au cours des 12 prochains mois</w:t>
      </w:r>
      <w:r w:rsidR="00D24C8C">
        <w:rPr>
          <w:rFonts w:ascii="Times New Roman" w:hAnsi="Times New Roman" w:cs="Times New Roman"/>
          <w:color w:val="000000" w:themeColor="text1"/>
        </w:rPr>
        <w:t xml:space="preserve">, </w:t>
      </w:r>
      <w:r w:rsidR="006B2CA2">
        <w:rPr>
          <w:rFonts w:ascii="Times New Roman" w:hAnsi="Times New Roman" w:cs="Times New Roman"/>
          <w:color w:val="000000" w:themeColor="text1"/>
        </w:rPr>
        <w:t>35% des ménages s’attendent à une baisse du niveau de vie, 37,6% à un maintien au même niveau, 27,4%  à une amélioration</w:t>
      </w:r>
      <w:r w:rsidR="0063428A">
        <w:rPr>
          <w:rFonts w:ascii="Times New Roman" w:hAnsi="Times New Roman" w:cs="Times New Roman"/>
          <w:color w:val="000000" w:themeColor="text1"/>
        </w:rPr>
        <w:t xml:space="preserve">. </w:t>
      </w:r>
      <w:r w:rsidR="001A2204">
        <w:rPr>
          <w:rFonts w:ascii="Times New Roman" w:hAnsi="Times New Roman" w:cs="Times New Roman"/>
          <w:color w:val="000000" w:themeColor="text1"/>
        </w:rPr>
        <w:t>Le solde d’opinion</w:t>
      </w:r>
      <w:r w:rsidR="00B60473">
        <w:rPr>
          <w:rFonts w:ascii="Times New Roman" w:hAnsi="Times New Roman" w:cs="Times New Roman"/>
          <w:color w:val="000000" w:themeColor="text1"/>
        </w:rPr>
        <w:t xml:space="preserve"> </w:t>
      </w:r>
      <w:r w:rsidR="001A2204">
        <w:rPr>
          <w:rFonts w:ascii="Times New Roman" w:hAnsi="Times New Roman" w:cs="Times New Roman"/>
          <w:color w:val="000000" w:themeColor="text1"/>
        </w:rPr>
        <w:t xml:space="preserve">passe ainsi </w:t>
      </w:r>
      <w:r w:rsidR="00FE5443">
        <w:rPr>
          <w:rFonts w:ascii="Times New Roman" w:hAnsi="Times New Roman" w:cs="Times New Roman"/>
          <w:color w:val="000000" w:themeColor="text1"/>
        </w:rPr>
        <w:t xml:space="preserve">à </w:t>
      </w:r>
      <w:r w:rsidR="00DD6FD9">
        <w:rPr>
          <w:rFonts w:ascii="Times New Roman" w:hAnsi="Times New Roman" w:cs="Times New Roman"/>
          <w:color w:val="000000" w:themeColor="text1"/>
        </w:rPr>
        <w:t xml:space="preserve">moins </w:t>
      </w:r>
      <w:r w:rsidR="00FE5443">
        <w:rPr>
          <w:rFonts w:ascii="Times New Roman" w:hAnsi="Times New Roman" w:cs="Times New Roman"/>
          <w:color w:val="000000" w:themeColor="text1"/>
        </w:rPr>
        <w:t xml:space="preserve">7,6 points, </w:t>
      </w:r>
      <w:r w:rsidR="001A2204">
        <w:rPr>
          <w:rFonts w:ascii="Times New Roman" w:hAnsi="Times New Roman" w:cs="Times New Roman"/>
          <w:color w:val="000000" w:themeColor="text1"/>
        </w:rPr>
        <w:t>au lieu</w:t>
      </w:r>
      <w:r w:rsidR="00101DA7">
        <w:rPr>
          <w:rFonts w:ascii="Times New Roman" w:hAnsi="Times New Roman" w:cs="Times New Roman"/>
          <w:color w:val="000000" w:themeColor="text1"/>
        </w:rPr>
        <w:t xml:space="preserve"> de</w:t>
      </w:r>
      <w:r w:rsidR="00FE5443">
        <w:rPr>
          <w:rFonts w:ascii="Times New Roman" w:hAnsi="Times New Roman" w:cs="Times New Roman"/>
          <w:color w:val="000000" w:themeColor="text1"/>
        </w:rPr>
        <w:t xml:space="preserve"> </w:t>
      </w:r>
      <w:r w:rsidR="00DD6FD9">
        <w:rPr>
          <w:rFonts w:ascii="Times New Roman" w:hAnsi="Times New Roman" w:cs="Times New Roman"/>
          <w:color w:val="000000" w:themeColor="text1"/>
        </w:rPr>
        <w:t xml:space="preserve">moins </w:t>
      </w:r>
      <w:r w:rsidR="00FE5443">
        <w:rPr>
          <w:rFonts w:ascii="Times New Roman" w:hAnsi="Times New Roman" w:cs="Times New Roman"/>
          <w:color w:val="000000" w:themeColor="text1"/>
        </w:rPr>
        <w:t xml:space="preserve">14,2 points </w:t>
      </w:r>
      <w:r>
        <w:rPr>
          <w:rFonts w:ascii="Times New Roman" w:hAnsi="Times New Roman" w:cs="Times New Roman"/>
          <w:color w:val="000000" w:themeColor="text1"/>
        </w:rPr>
        <w:t>le</w:t>
      </w:r>
      <w:r w:rsidR="00FE5443">
        <w:rPr>
          <w:rFonts w:ascii="Times New Roman" w:hAnsi="Times New Roman" w:cs="Times New Roman"/>
          <w:color w:val="000000" w:themeColor="text1"/>
        </w:rPr>
        <w:t xml:space="preserve"> trimestre </w:t>
      </w:r>
      <w:r>
        <w:rPr>
          <w:rFonts w:ascii="Times New Roman" w:hAnsi="Times New Roman" w:cs="Times New Roman"/>
          <w:color w:val="000000" w:themeColor="text1"/>
        </w:rPr>
        <w:t>précédent</w:t>
      </w:r>
      <w:r w:rsidR="00FE5443">
        <w:rPr>
          <w:rFonts w:ascii="Times New Roman" w:hAnsi="Times New Roman" w:cs="Times New Roman"/>
          <w:color w:val="000000" w:themeColor="text1"/>
        </w:rPr>
        <w:t xml:space="preserve"> et </w:t>
      </w:r>
      <w:r w:rsidR="00DD6FD9">
        <w:rPr>
          <w:rFonts w:ascii="Times New Roman" w:hAnsi="Times New Roman" w:cs="Times New Roman"/>
          <w:color w:val="000000" w:themeColor="text1"/>
        </w:rPr>
        <w:t xml:space="preserve">moins </w:t>
      </w:r>
      <w:r w:rsidR="00FE5443">
        <w:rPr>
          <w:rFonts w:ascii="Times New Roman" w:hAnsi="Times New Roman" w:cs="Times New Roman"/>
          <w:color w:val="000000" w:themeColor="text1"/>
        </w:rPr>
        <w:t xml:space="preserve">7,3 points </w:t>
      </w:r>
      <w:r w:rsidR="00C37044">
        <w:rPr>
          <w:rFonts w:ascii="Times New Roman" w:hAnsi="Times New Roman" w:cs="Times New Roman"/>
          <w:color w:val="000000" w:themeColor="text1"/>
        </w:rPr>
        <w:t xml:space="preserve">une année </w:t>
      </w:r>
      <w:r w:rsidR="001864E5">
        <w:rPr>
          <w:rFonts w:ascii="Times New Roman" w:hAnsi="Times New Roman" w:cs="Times New Roman"/>
          <w:color w:val="000000" w:themeColor="text1"/>
        </w:rPr>
        <w:t>auparavant</w:t>
      </w:r>
      <w:r w:rsidR="00B60473">
        <w:rPr>
          <w:rFonts w:ascii="Times New Roman" w:hAnsi="Times New Roman" w:cs="Times New Roman"/>
          <w:color w:val="000000" w:themeColor="text1"/>
        </w:rPr>
        <w:t>.</w:t>
      </w:r>
      <w:r w:rsidR="004A02DC">
        <w:rPr>
          <w:rFonts w:ascii="Times New Roman" w:hAnsi="Times New Roman" w:cs="Times New Roman"/>
          <w:color w:val="000000" w:themeColor="text1"/>
        </w:rPr>
        <w:t xml:space="preserve"> </w:t>
      </w:r>
      <w:r w:rsidR="00212714">
        <w:rPr>
          <w:rFonts w:ascii="Times New Roman" w:hAnsi="Times New Roman" w:cs="Times New Roman"/>
          <w:color w:val="000000" w:themeColor="text1"/>
        </w:rPr>
        <w:t xml:space="preserve"> </w:t>
      </w:r>
    </w:p>
    <w:p w:rsidR="0092695A" w:rsidRDefault="0092695A" w:rsidP="002A18ED">
      <w:pPr>
        <w:widowControl/>
        <w:spacing w:line="276" w:lineRule="auto"/>
        <w:ind w:left="-426"/>
        <w:jc w:val="center"/>
        <w:rPr>
          <w:rFonts w:ascii="Book Antiqua" w:hAnsi="Book Antiqua" w:cs="Times New Roman"/>
          <w:color w:val="000000" w:themeColor="text1"/>
        </w:rPr>
      </w:pPr>
    </w:p>
    <w:p w:rsidR="00B06E0C" w:rsidRDefault="009141A8" w:rsidP="002A18ED">
      <w:pPr>
        <w:widowControl/>
        <w:spacing w:line="276" w:lineRule="auto"/>
        <w:ind w:left="-426"/>
        <w:jc w:val="center"/>
        <w:rPr>
          <w:rFonts w:ascii="Book Antiqua" w:hAnsi="Book Antiqua" w:cs="Times New Roman"/>
          <w:color w:val="000000" w:themeColor="text1"/>
        </w:rPr>
      </w:pPr>
      <w:r w:rsidRPr="009141A8">
        <w:rPr>
          <w:rFonts w:ascii="Book Antiqua" w:hAnsi="Book Antiqua" w:cs="Times New Roman"/>
          <w:noProof/>
          <w:color w:val="000000" w:themeColor="text1"/>
        </w:rPr>
        <w:drawing>
          <wp:inline distT="0" distB="0" distL="0" distR="0">
            <wp:extent cx="5972147" cy="2743200"/>
            <wp:effectExtent l="19050" t="0" r="9553"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6E0C" w:rsidRPr="00C706A5" w:rsidRDefault="00B06E0C" w:rsidP="002A18ED">
      <w:pPr>
        <w:widowControl/>
        <w:spacing w:line="276" w:lineRule="auto"/>
        <w:ind w:left="-426"/>
        <w:jc w:val="center"/>
        <w:rPr>
          <w:rFonts w:ascii="Book Antiqua" w:hAnsi="Book Antiqua" w:cs="Times New Roman"/>
          <w:color w:val="000000" w:themeColor="text1"/>
          <w:rtl/>
        </w:rPr>
      </w:pPr>
    </w:p>
    <w:p w:rsidR="000656CB" w:rsidRPr="00417308" w:rsidRDefault="004B2685" w:rsidP="00D22459">
      <w:pPr>
        <w:pStyle w:val="Paragraphedeliste"/>
        <w:numPr>
          <w:ilvl w:val="0"/>
          <w:numId w:val="8"/>
        </w:numPr>
        <w:spacing w:before="240"/>
        <w:ind w:left="142" w:hanging="142"/>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22459">
        <w:rPr>
          <w:rFonts w:ascii="Times New Roman" w:hAnsi="Times New Roman" w:cs="Times New Roman"/>
          <w:b/>
          <w:bCs/>
          <w:color w:val="000000" w:themeColor="text1"/>
          <w:sz w:val="24"/>
          <w:szCs w:val="24"/>
        </w:rPr>
        <w:t>Persistance d’une perception</w:t>
      </w:r>
      <w:r>
        <w:rPr>
          <w:rFonts w:ascii="Times New Roman" w:hAnsi="Times New Roman" w:cs="Times New Roman"/>
          <w:b/>
          <w:bCs/>
          <w:color w:val="000000" w:themeColor="text1"/>
          <w:sz w:val="24"/>
          <w:szCs w:val="24"/>
        </w:rPr>
        <w:t xml:space="preserve"> </w:t>
      </w:r>
      <w:r w:rsidR="00D22459">
        <w:rPr>
          <w:rFonts w:ascii="Times New Roman" w:hAnsi="Times New Roman" w:cs="Times New Roman"/>
          <w:b/>
          <w:bCs/>
          <w:color w:val="000000" w:themeColor="text1"/>
          <w:sz w:val="24"/>
          <w:szCs w:val="24"/>
        </w:rPr>
        <w:t>négative</w:t>
      </w:r>
      <w:r w:rsidR="00EB2A0A">
        <w:rPr>
          <w:rFonts w:ascii="Times New Roman" w:hAnsi="Times New Roman" w:cs="Times New Roman"/>
          <w:b/>
          <w:bCs/>
          <w:color w:val="000000" w:themeColor="text1"/>
          <w:sz w:val="24"/>
          <w:szCs w:val="24"/>
        </w:rPr>
        <w:t xml:space="preserve"> du chômage</w:t>
      </w:r>
      <w:r>
        <w:rPr>
          <w:rFonts w:ascii="Times New Roman" w:hAnsi="Times New Roman" w:cs="Times New Roman"/>
          <w:b/>
          <w:bCs/>
          <w:color w:val="000000" w:themeColor="text1"/>
          <w:sz w:val="24"/>
          <w:szCs w:val="24"/>
        </w:rPr>
        <w:t xml:space="preserve"> </w:t>
      </w:r>
    </w:p>
    <w:p w:rsidR="00DD6FD9" w:rsidRDefault="00C553B5" w:rsidP="002375C4">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Au</w:t>
      </w:r>
      <w:r w:rsidR="003C2D1C">
        <w:rPr>
          <w:rFonts w:ascii="Times New Roman" w:hAnsi="Times New Roman" w:cs="Times New Roman"/>
          <w:color w:val="000000" w:themeColor="text1"/>
        </w:rPr>
        <w:t xml:space="preserve"> </w:t>
      </w:r>
      <w:r w:rsidR="009E781A">
        <w:rPr>
          <w:rFonts w:ascii="Times New Roman" w:hAnsi="Times New Roman" w:cs="Times New Roman"/>
          <w:color w:val="000000" w:themeColor="text1"/>
        </w:rPr>
        <w:t>deuxième</w:t>
      </w:r>
      <w:r w:rsidR="003C2D1C">
        <w:rPr>
          <w:rFonts w:ascii="Times New Roman" w:hAnsi="Times New Roman" w:cs="Times New Roman"/>
          <w:color w:val="000000" w:themeColor="text1"/>
        </w:rPr>
        <w:t xml:space="preserve"> </w:t>
      </w:r>
      <w:r w:rsidR="00F430E6">
        <w:rPr>
          <w:rFonts w:ascii="Times New Roman" w:hAnsi="Times New Roman" w:cs="Times New Roman"/>
          <w:color w:val="000000" w:themeColor="text1"/>
        </w:rPr>
        <w:t>trimestre</w:t>
      </w:r>
      <w:r w:rsidRPr="00C706A5">
        <w:rPr>
          <w:rFonts w:ascii="Times New Roman" w:hAnsi="Times New Roman" w:cs="Times New Roman"/>
          <w:color w:val="000000" w:themeColor="text1"/>
        </w:rPr>
        <w:t>,</w:t>
      </w:r>
      <w:r w:rsidR="00B72B19">
        <w:rPr>
          <w:rFonts w:ascii="Times New Roman" w:hAnsi="Times New Roman" w:cs="Times New Roman"/>
          <w:color w:val="000000" w:themeColor="text1"/>
        </w:rPr>
        <w:t xml:space="preserve"> </w:t>
      </w:r>
      <w:r w:rsidR="008346FB">
        <w:rPr>
          <w:rFonts w:ascii="Times New Roman" w:hAnsi="Times New Roman" w:cs="Times New Roman"/>
          <w:color w:val="000000" w:themeColor="text1"/>
        </w:rPr>
        <w:t>77</w:t>
      </w:r>
      <w:r w:rsidR="00A3172A" w:rsidRPr="00C706A5">
        <w:rPr>
          <w:rFonts w:ascii="Times New Roman" w:hAnsi="Times New Roman" w:cs="Times New Roman"/>
          <w:color w:val="000000" w:themeColor="text1"/>
        </w:rPr>
        <w:t xml:space="preserve">% </w:t>
      </w:r>
      <w:r w:rsidR="00C1044F">
        <w:rPr>
          <w:rFonts w:ascii="Times New Roman" w:hAnsi="Times New Roman" w:cs="Times New Roman"/>
          <w:color w:val="000000" w:themeColor="text1"/>
        </w:rPr>
        <w:t>contre 8%</w:t>
      </w:r>
      <w:r w:rsidR="00C1044F" w:rsidRPr="00C706A5">
        <w:rPr>
          <w:rFonts w:ascii="Times New Roman" w:hAnsi="Times New Roman" w:cs="Times New Roman"/>
          <w:color w:val="000000" w:themeColor="text1"/>
        </w:rPr>
        <w:t xml:space="preserve"> </w:t>
      </w:r>
      <w:r w:rsidR="00A3172A" w:rsidRPr="00C706A5">
        <w:rPr>
          <w:rFonts w:ascii="Times New Roman" w:hAnsi="Times New Roman" w:cs="Times New Roman"/>
          <w:color w:val="000000" w:themeColor="text1"/>
        </w:rPr>
        <w:t>des ménages</w:t>
      </w:r>
      <w:r w:rsidR="00160141">
        <w:rPr>
          <w:rFonts w:ascii="Times New Roman" w:hAnsi="Times New Roman" w:cs="Times New Roman"/>
          <w:color w:val="000000" w:themeColor="text1"/>
        </w:rPr>
        <w:t xml:space="preserve"> </w:t>
      </w:r>
      <w:r w:rsidR="00C37044">
        <w:rPr>
          <w:rFonts w:ascii="Times New Roman" w:hAnsi="Times New Roman" w:cs="Times New Roman"/>
          <w:color w:val="000000" w:themeColor="text1"/>
        </w:rPr>
        <w:t>s’attendent à</w:t>
      </w:r>
      <w:r w:rsidR="00160141">
        <w:rPr>
          <w:rFonts w:ascii="Times New Roman" w:hAnsi="Times New Roman" w:cs="Times New Roman"/>
          <w:color w:val="000000" w:themeColor="text1"/>
        </w:rPr>
        <w:t xml:space="preserve"> u</w:t>
      </w:r>
      <w:r w:rsidR="00A3172A" w:rsidRPr="00C706A5">
        <w:rPr>
          <w:rFonts w:ascii="Times New Roman" w:hAnsi="Times New Roman" w:cs="Times New Roman"/>
          <w:color w:val="000000" w:themeColor="text1"/>
        </w:rPr>
        <w:t xml:space="preserve">ne hausse du </w:t>
      </w:r>
      <w:r w:rsidR="00160141">
        <w:rPr>
          <w:rFonts w:ascii="Times New Roman" w:hAnsi="Times New Roman" w:cs="Times New Roman"/>
          <w:color w:val="000000" w:themeColor="text1"/>
        </w:rPr>
        <w:t>chômage</w:t>
      </w:r>
      <w:r w:rsidR="00A3172A" w:rsidRPr="00C706A5">
        <w:rPr>
          <w:rFonts w:ascii="Times New Roman" w:hAnsi="Times New Roman" w:cs="Times New Roman"/>
          <w:color w:val="000000" w:themeColor="text1"/>
        </w:rPr>
        <w:t xml:space="preserve"> </w:t>
      </w:r>
      <w:r w:rsidR="00C37044">
        <w:rPr>
          <w:rFonts w:ascii="Times New Roman" w:hAnsi="Times New Roman" w:cs="Times New Roman"/>
          <w:color w:val="000000" w:themeColor="text1"/>
        </w:rPr>
        <w:t>au</w:t>
      </w:r>
      <w:r w:rsidR="00A3172A" w:rsidRPr="00C706A5">
        <w:rPr>
          <w:rFonts w:ascii="Times New Roman" w:hAnsi="Times New Roman" w:cs="Times New Roman"/>
          <w:color w:val="000000" w:themeColor="text1"/>
        </w:rPr>
        <w:t xml:space="preserve"> </w:t>
      </w:r>
      <w:r w:rsidR="00D22459">
        <w:rPr>
          <w:rFonts w:ascii="Times New Roman" w:hAnsi="Times New Roman" w:cs="Times New Roman"/>
          <w:color w:val="000000" w:themeColor="text1"/>
        </w:rPr>
        <w:t xml:space="preserve">cours des </w:t>
      </w:r>
      <w:r w:rsidR="00A3172A" w:rsidRPr="00C706A5">
        <w:rPr>
          <w:rFonts w:ascii="Times New Roman" w:hAnsi="Times New Roman" w:cs="Times New Roman"/>
          <w:color w:val="000000" w:themeColor="text1"/>
        </w:rPr>
        <w:t xml:space="preserve">12 </w:t>
      </w:r>
      <w:r w:rsidR="00160141">
        <w:rPr>
          <w:rFonts w:ascii="Times New Roman" w:hAnsi="Times New Roman" w:cs="Times New Roman"/>
          <w:color w:val="000000" w:themeColor="text1"/>
        </w:rPr>
        <w:t>prochains mois</w:t>
      </w:r>
      <w:r w:rsidR="00A3172A">
        <w:rPr>
          <w:rFonts w:ascii="Times New Roman" w:hAnsi="Times New Roman" w:cs="Times New Roman"/>
          <w:color w:val="000000" w:themeColor="text1"/>
        </w:rPr>
        <w:t xml:space="preserve">. </w:t>
      </w:r>
      <w:r w:rsidR="00DD6FD9">
        <w:rPr>
          <w:rFonts w:ascii="Times New Roman" w:hAnsi="Times New Roman" w:cs="Times New Roman"/>
          <w:color w:val="000000" w:themeColor="text1"/>
        </w:rPr>
        <w:t xml:space="preserve">Le solde d’opinion </w:t>
      </w:r>
      <w:r w:rsidR="00DD6FD9" w:rsidRPr="00172C88">
        <w:rPr>
          <w:rFonts w:ascii="Times New Roman" w:hAnsi="Times New Roman" w:cs="Times New Roman"/>
          <w:color w:val="000000" w:themeColor="text1"/>
        </w:rPr>
        <w:t>est resté</w:t>
      </w:r>
      <w:r w:rsidR="00D22459">
        <w:rPr>
          <w:rFonts w:ascii="Times New Roman" w:hAnsi="Times New Roman" w:cs="Times New Roman"/>
          <w:color w:val="000000" w:themeColor="text1"/>
        </w:rPr>
        <w:t xml:space="preserve"> ainsi</w:t>
      </w:r>
      <w:r w:rsidR="00DD6FD9" w:rsidRPr="00172C88">
        <w:rPr>
          <w:rFonts w:ascii="Times New Roman" w:hAnsi="Times New Roman" w:cs="Times New Roman"/>
          <w:color w:val="000000" w:themeColor="text1"/>
        </w:rPr>
        <w:t xml:space="preserve"> négatif, à </w:t>
      </w:r>
      <w:r w:rsidR="00DD6FD9">
        <w:rPr>
          <w:rFonts w:ascii="Times New Roman" w:hAnsi="Times New Roman" w:cs="Times New Roman"/>
          <w:color w:val="000000" w:themeColor="text1"/>
        </w:rPr>
        <w:t xml:space="preserve">moins </w:t>
      </w:r>
      <w:r w:rsidR="00DD6FD9" w:rsidRPr="00172C88">
        <w:rPr>
          <w:rFonts w:ascii="Times New Roman" w:hAnsi="Times New Roman" w:cs="Times New Roman"/>
          <w:color w:val="000000" w:themeColor="text1"/>
        </w:rPr>
        <w:t xml:space="preserve">69 points, enregistrant une détérioration </w:t>
      </w:r>
      <w:r w:rsidR="00DD6FD9">
        <w:rPr>
          <w:rFonts w:ascii="Times New Roman" w:hAnsi="Times New Roman" w:cs="Times New Roman"/>
          <w:color w:val="000000" w:themeColor="text1"/>
        </w:rPr>
        <w:t xml:space="preserve">aussi bien </w:t>
      </w:r>
      <w:r w:rsidR="00DD6FD9" w:rsidRPr="00172C88">
        <w:rPr>
          <w:rFonts w:ascii="Times New Roman" w:hAnsi="Times New Roman" w:cs="Times New Roman"/>
          <w:color w:val="000000" w:themeColor="text1"/>
        </w:rPr>
        <w:t xml:space="preserve">par rapport au premier trimestre </w:t>
      </w:r>
      <w:r w:rsidR="00DD6FD9">
        <w:rPr>
          <w:rFonts w:ascii="Times New Roman" w:hAnsi="Times New Roman" w:cs="Times New Roman"/>
          <w:color w:val="000000" w:themeColor="text1"/>
        </w:rPr>
        <w:t xml:space="preserve">que par rapport </w:t>
      </w:r>
      <w:r w:rsidR="002375C4">
        <w:rPr>
          <w:rFonts w:ascii="Times New Roman" w:hAnsi="Times New Roman" w:cs="Times New Roman"/>
          <w:color w:val="000000" w:themeColor="text1"/>
        </w:rPr>
        <w:t>au</w:t>
      </w:r>
      <w:r w:rsidR="002375C4" w:rsidRPr="00172C88">
        <w:rPr>
          <w:rFonts w:ascii="Times New Roman" w:hAnsi="Times New Roman" w:cs="Times New Roman"/>
          <w:color w:val="000000" w:themeColor="text1"/>
        </w:rPr>
        <w:t xml:space="preserve"> </w:t>
      </w:r>
      <w:r w:rsidR="002375C4">
        <w:rPr>
          <w:rFonts w:ascii="Times New Roman" w:hAnsi="Times New Roman" w:cs="Times New Roman"/>
          <w:color w:val="000000" w:themeColor="text1"/>
        </w:rPr>
        <w:t>même</w:t>
      </w:r>
      <w:r w:rsidR="002375C4" w:rsidRPr="00172C88">
        <w:rPr>
          <w:rFonts w:ascii="Times New Roman" w:hAnsi="Times New Roman" w:cs="Times New Roman"/>
          <w:color w:val="000000" w:themeColor="text1"/>
        </w:rPr>
        <w:t xml:space="preserve"> trimestre </w:t>
      </w:r>
      <w:r w:rsidR="002375C4">
        <w:rPr>
          <w:rFonts w:ascii="Times New Roman" w:hAnsi="Times New Roman" w:cs="Times New Roman"/>
          <w:color w:val="000000" w:themeColor="text1"/>
        </w:rPr>
        <w:t>une année auparavant</w:t>
      </w:r>
      <w:r w:rsidR="002375C4" w:rsidRPr="00172C88">
        <w:rPr>
          <w:rFonts w:ascii="Times New Roman" w:hAnsi="Times New Roman" w:cs="Times New Roman"/>
          <w:color w:val="000000" w:themeColor="text1"/>
        </w:rPr>
        <w:t xml:space="preserve"> </w:t>
      </w:r>
      <w:r w:rsidR="00DD6FD9" w:rsidRPr="00172C88">
        <w:rPr>
          <w:rFonts w:ascii="Times New Roman" w:hAnsi="Times New Roman" w:cs="Times New Roman"/>
          <w:color w:val="000000" w:themeColor="text1"/>
        </w:rPr>
        <w:t xml:space="preserve">où il était </w:t>
      </w:r>
      <w:r w:rsidR="00DD6FD9">
        <w:rPr>
          <w:rFonts w:ascii="Times New Roman" w:hAnsi="Times New Roman" w:cs="Times New Roman"/>
          <w:color w:val="000000" w:themeColor="text1"/>
        </w:rPr>
        <w:t xml:space="preserve">respectivement </w:t>
      </w:r>
      <w:r w:rsidR="00DD6FD9" w:rsidRPr="00172C88">
        <w:rPr>
          <w:rFonts w:ascii="Times New Roman" w:hAnsi="Times New Roman" w:cs="Times New Roman"/>
          <w:color w:val="000000" w:themeColor="text1"/>
        </w:rPr>
        <w:t xml:space="preserve">à </w:t>
      </w:r>
      <w:r w:rsidR="00DD6FD9">
        <w:rPr>
          <w:rFonts w:ascii="Times New Roman" w:hAnsi="Times New Roman" w:cs="Times New Roman"/>
          <w:color w:val="000000" w:themeColor="text1"/>
        </w:rPr>
        <w:t xml:space="preserve">moins </w:t>
      </w:r>
      <w:r w:rsidR="00DD6FD9" w:rsidRPr="00172C88">
        <w:rPr>
          <w:rFonts w:ascii="Times New Roman" w:hAnsi="Times New Roman" w:cs="Times New Roman"/>
          <w:color w:val="000000" w:themeColor="text1"/>
        </w:rPr>
        <w:t xml:space="preserve">67,7 points et </w:t>
      </w:r>
      <w:r w:rsidR="00DD6FD9">
        <w:rPr>
          <w:rFonts w:ascii="Times New Roman" w:hAnsi="Times New Roman" w:cs="Times New Roman"/>
          <w:color w:val="000000" w:themeColor="text1"/>
        </w:rPr>
        <w:t xml:space="preserve">moins </w:t>
      </w:r>
      <w:r w:rsidR="00DD6FD9" w:rsidRPr="00172C88">
        <w:rPr>
          <w:rFonts w:ascii="Times New Roman" w:hAnsi="Times New Roman" w:cs="Times New Roman"/>
          <w:color w:val="000000" w:themeColor="text1"/>
        </w:rPr>
        <w:t>67,1 points.</w:t>
      </w:r>
    </w:p>
    <w:p w:rsidR="00C37044" w:rsidRDefault="00C37044" w:rsidP="00DD6FD9">
      <w:pPr>
        <w:widowControl/>
        <w:spacing w:line="276" w:lineRule="auto"/>
        <w:jc w:val="both"/>
        <w:rPr>
          <w:rFonts w:ascii="Times New Roman" w:hAnsi="Times New Roman" w:cs="Times New Roman"/>
          <w:color w:val="000000" w:themeColor="text1"/>
        </w:rPr>
      </w:pPr>
    </w:p>
    <w:p w:rsidR="00C37044" w:rsidRDefault="00C37044" w:rsidP="00DD6FD9">
      <w:pPr>
        <w:widowControl/>
        <w:spacing w:line="276" w:lineRule="auto"/>
        <w:jc w:val="both"/>
        <w:rPr>
          <w:rFonts w:ascii="Times New Roman" w:hAnsi="Times New Roman" w:cs="Times New Roman"/>
          <w:color w:val="000000" w:themeColor="text1"/>
        </w:rPr>
      </w:pPr>
      <w:r w:rsidRPr="00C37044">
        <w:rPr>
          <w:rFonts w:ascii="Times New Roman" w:hAnsi="Times New Roman" w:cs="Times New Roman"/>
          <w:noProof/>
          <w:color w:val="000000" w:themeColor="text1"/>
        </w:rPr>
        <w:drawing>
          <wp:inline distT="0" distB="0" distL="0" distR="0">
            <wp:extent cx="5972810" cy="2466340"/>
            <wp:effectExtent l="19050" t="0" r="27940" b="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FD9" w:rsidRDefault="00DD6FD9" w:rsidP="00DD6FD9">
      <w:pPr>
        <w:widowControl/>
        <w:spacing w:line="276" w:lineRule="auto"/>
        <w:jc w:val="both"/>
        <w:rPr>
          <w:rFonts w:ascii="Times New Roman" w:hAnsi="Times New Roman" w:cs="Times New Roman"/>
          <w:color w:val="000000" w:themeColor="text1"/>
        </w:rPr>
      </w:pPr>
    </w:p>
    <w:p w:rsidR="00D22459" w:rsidRDefault="00D22459" w:rsidP="00DD6FD9">
      <w:pPr>
        <w:widowControl/>
        <w:spacing w:line="276" w:lineRule="auto"/>
        <w:jc w:val="both"/>
        <w:rPr>
          <w:rFonts w:ascii="Times New Roman" w:hAnsi="Times New Roman" w:cs="Times New Roman"/>
          <w:color w:val="000000" w:themeColor="text1"/>
        </w:rPr>
      </w:pPr>
    </w:p>
    <w:p w:rsidR="00D22459" w:rsidRDefault="00D22459" w:rsidP="00DD6FD9">
      <w:pPr>
        <w:widowControl/>
        <w:spacing w:line="276" w:lineRule="auto"/>
        <w:jc w:val="both"/>
        <w:rPr>
          <w:rFonts w:ascii="Times New Roman" w:hAnsi="Times New Roman" w:cs="Times New Roman"/>
          <w:color w:val="000000" w:themeColor="text1"/>
        </w:rPr>
      </w:pPr>
    </w:p>
    <w:p w:rsidR="00EA1D6D" w:rsidRPr="00417308" w:rsidRDefault="003849A2" w:rsidP="00DE3C99">
      <w:pPr>
        <w:pStyle w:val="Paragraphedeliste"/>
        <w:numPr>
          <w:ilvl w:val="0"/>
          <w:numId w:val="8"/>
        </w:numPr>
        <w:spacing w:before="240"/>
        <w:ind w:left="142" w:hanging="142"/>
        <w:jc w:val="both"/>
        <w:rPr>
          <w:rFonts w:ascii="Times New Roman" w:hAnsi="Times New Roman" w:cs="Times New Roman"/>
          <w:b/>
          <w:bCs/>
          <w:color w:val="000000" w:themeColor="text1"/>
          <w:sz w:val="24"/>
          <w:szCs w:val="24"/>
        </w:rPr>
      </w:pPr>
      <w:r w:rsidRPr="00417308">
        <w:rPr>
          <w:rFonts w:ascii="Times New Roman" w:hAnsi="Times New Roman" w:cs="Times New Roman"/>
          <w:b/>
          <w:bCs/>
          <w:color w:val="000000" w:themeColor="text1"/>
          <w:sz w:val="24"/>
          <w:szCs w:val="24"/>
        </w:rPr>
        <w:lastRenderedPageBreak/>
        <w:t xml:space="preserve"> </w:t>
      </w:r>
      <w:r w:rsidR="000656CB" w:rsidRPr="00417308">
        <w:rPr>
          <w:rFonts w:ascii="Times New Roman" w:hAnsi="Times New Roman" w:cs="Times New Roman"/>
          <w:b/>
          <w:bCs/>
          <w:color w:val="000000" w:themeColor="text1"/>
          <w:sz w:val="24"/>
          <w:szCs w:val="24"/>
        </w:rPr>
        <w:t xml:space="preserve">Une conjoncture toujours perçue comme peu </w:t>
      </w:r>
      <w:r w:rsidR="007D40C4" w:rsidRPr="00417308">
        <w:rPr>
          <w:rFonts w:ascii="Times New Roman" w:hAnsi="Times New Roman" w:cs="Times New Roman"/>
          <w:b/>
          <w:bCs/>
          <w:color w:val="000000" w:themeColor="text1"/>
          <w:sz w:val="24"/>
          <w:szCs w:val="24"/>
        </w:rPr>
        <w:t>propice</w:t>
      </w:r>
      <w:r w:rsidR="000656CB" w:rsidRPr="00417308">
        <w:rPr>
          <w:rFonts w:ascii="Times New Roman" w:hAnsi="Times New Roman" w:cs="Times New Roman"/>
          <w:b/>
          <w:bCs/>
          <w:color w:val="000000" w:themeColor="text1"/>
          <w:sz w:val="24"/>
          <w:szCs w:val="24"/>
        </w:rPr>
        <w:t xml:space="preserve"> à l’achat de biens durables </w:t>
      </w:r>
    </w:p>
    <w:p w:rsidR="009E0162" w:rsidRPr="00EA1D6D" w:rsidRDefault="009E0162" w:rsidP="0012794C">
      <w:pPr>
        <w:pStyle w:val="Paragraphedeliste"/>
        <w:ind w:left="142"/>
        <w:jc w:val="both"/>
        <w:rPr>
          <w:rFonts w:ascii="Times New Roman" w:hAnsi="Times New Roman" w:cs="Times New Roman"/>
          <w:color w:val="000000" w:themeColor="text1"/>
        </w:rPr>
      </w:pPr>
    </w:p>
    <w:p w:rsidR="00417308" w:rsidRDefault="00044E75" w:rsidP="00C25F02">
      <w:pPr>
        <w:pStyle w:val="Paragraphedeliste"/>
        <w:ind w:left="142"/>
        <w:jc w:val="both"/>
        <w:rPr>
          <w:rFonts w:ascii="Times New Roman" w:hAnsi="Times New Roman" w:cs="Times New Roman"/>
          <w:color w:val="000000" w:themeColor="text1"/>
          <w:sz w:val="24"/>
          <w:szCs w:val="24"/>
        </w:rPr>
      </w:pPr>
      <w:r w:rsidRPr="00F05015">
        <w:rPr>
          <w:rFonts w:ascii="Times New Roman" w:eastAsia="Times New Roman" w:hAnsi="Times New Roman" w:cs="Times New Roman"/>
          <w:color w:val="000000" w:themeColor="text1"/>
          <w:sz w:val="24"/>
          <w:szCs w:val="24"/>
          <w:lang w:eastAsia="fr-FR"/>
        </w:rPr>
        <w:t xml:space="preserve">Au deuxième trimestre, </w:t>
      </w:r>
      <w:r>
        <w:rPr>
          <w:rFonts w:ascii="Times New Roman" w:eastAsia="Times New Roman" w:hAnsi="Times New Roman" w:cs="Times New Roman"/>
          <w:color w:val="000000" w:themeColor="text1"/>
          <w:sz w:val="24"/>
          <w:szCs w:val="24"/>
          <w:lang w:eastAsia="fr-FR"/>
        </w:rPr>
        <w:t>56,5</w:t>
      </w:r>
      <w:r w:rsidRPr="00417308">
        <w:rPr>
          <w:rFonts w:ascii="Times New Roman" w:eastAsia="Times New Roman" w:hAnsi="Times New Roman" w:cs="Times New Roman"/>
          <w:color w:val="000000" w:themeColor="text1"/>
          <w:sz w:val="24"/>
          <w:szCs w:val="24"/>
          <w:lang w:eastAsia="fr-FR"/>
        </w:rPr>
        <w:t xml:space="preserve">% </w:t>
      </w:r>
      <w:r w:rsidR="004C4444">
        <w:rPr>
          <w:rFonts w:ascii="Times New Roman" w:eastAsia="Times New Roman" w:hAnsi="Times New Roman" w:cs="Times New Roman"/>
          <w:color w:val="000000" w:themeColor="text1"/>
          <w:sz w:val="24"/>
          <w:szCs w:val="24"/>
          <w:lang w:eastAsia="fr-FR"/>
        </w:rPr>
        <w:t xml:space="preserve">contre 21,7 </w:t>
      </w:r>
      <w:r w:rsidR="004C4444" w:rsidRPr="00417308">
        <w:rPr>
          <w:rFonts w:ascii="Times New Roman" w:eastAsia="Times New Roman" w:hAnsi="Times New Roman" w:cs="Times New Roman"/>
          <w:color w:val="000000" w:themeColor="text1"/>
          <w:sz w:val="24"/>
          <w:szCs w:val="24"/>
          <w:lang w:eastAsia="fr-FR"/>
        </w:rPr>
        <w:t xml:space="preserve">% </w:t>
      </w:r>
      <w:r w:rsidRPr="00417308">
        <w:rPr>
          <w:rFonts w:ascii="Times New Roman" w:eastAsia="Times New Roman" w:hAnsi="Times New Roman" w:cs="Times New Roman"/>
          <w:color w:val="000000" w:themeColor="text1"/>
          <w:sz w:val="24"/>
          <w:szCs w:val="24"/>
          <w:lang w:eastAsia="fr-FR"/>
        </w:rPr>
        <w:t>des ménages considèrent</w:t>
      </w:r>
      <w:r>
        <w:rPr>
          <w:rFonts w:ascii="Times New Roman" w:eastAsia="Times New Roman" w:hAnsi="Times New Roman" w:cs="Times New Roman"/>
          <w:color w:val="000000" w:themeColor="text1"/>
          <w:sz w:val="24"/>
          <w:szCs w:val="24"/>
          <w:lang w:eastAsia="fr-FR"/>
        </w:rPr>
        <w:t xml:space="preserve"> </w:t>
      </w:r>
      <w:r w:rsidRPr="00417308">
        <w:rPr>
          <w:rFonts w:ascii="Times New Roman" w:eastAsia="Times New Roman" w:hAnsi="Times New Roman" w:cs="Times New Roman"/>
          <w:color w:val="000000" w:themeColor="text1"/>
          <w:sz w:val="24"/>
          <w:szCs w:val="24"/>
          <w:lang w:eastAsia="fr-FR"/>
        </w:rPr>
        <w:t xml:space="preserve">que le moment n’est pas opportun pour </w:t>
      </w:r>
      <w:r w:rsidR="00271743">
        <w:rPr>
          <w:rFonts w:ascii="Times New Roman" w:eastAsia="Times New Roman" w:hAnsi="Times New Roman" w:cs="Times New Roman"/>
          <w:color w:val="000000" w:themeColor="text1"/>
          <w:sz w:val="24"/>
          <w:szCs w:val="24"/>
          <w:lang w:eastAsia="fr-FR"/>
        </w:rPr>
        <w:t>effectuer</w:t>
      </w:r>
      <w:r w:rsidRPr="00417308">
        <w:rPr>
          <w:rFonts w:ascii="Times New Roman" w:eastAsia="Times New Roman" w:hAnsi="Times New Roman" w:cs="Times New Roman"/>
          <w:color w:val="000000" w:themeColor="text1"/>
          <w:sz w:val="24"/>
          <w:szCs w:val="24"/>
          <w:lang w:eastAsia="fr-FR"/>
        </w:rPr>
        <w:t xml:space="preserve"> des achats de biens durables.</w:t>
      </w:r>
      <w:r>
        <w:rPr>
          <w:rFonts w:ascii="Times New Roman" w:eastAsia="Times New Roman" w:hAnsi="Times New Roman" w:cs="Times New Roman"/>
          <w:color w:val="000000" w:themeColor="text1"/>
          <w:sz w:val="24"/>
          <w:szCs w:val="24"/>
          <w:lang w:eastAsia="fr-FR"/>
        </w:rPr>
        <w:t xml:space="preserve"> </w:t>
      </w:r>
      <w:r w:rsidR="00DD6FD9">
        <w:rPr>
          <w:rFonts w:ascii="Times New Roman" w:eastAsia="Times New Roman" w:hAnsi="Times New Roman" w:cs="Times New Roman"/>
          <w:color w:val="000000" w:themeColor="text1"/>
          <w:sz w:val="24"/>
          <w:szCs w:val="24"/>
          <w:lang w:eastAsia="fr-FR"/>
        </w:rPr>
        <w:t>M</w:t>
      </w:r>
      <w:r w:rsidR="00DD6FD9" w:rsidRPr="00195890">
        <w:rPr>
          <w:rFonts w:ascii="Times New Roman" w:eastAsia="Times New Roman" w:hAnsi="Times New Roman" w:cs="Times New Roman"/>
          <w:color w:val="000000" w:themeColor="text1"/>
          <w:sz w:val="24"/>
          <w:szCs w:val="24"/>
          <w:lang w:eastAsia="fr-FR"/>
        </w:rPr>
        <w:t xml:space="preserve">algré une relative amélioration, le solde d’opinion relatif à cette composante </w:t>
      </w:r>
      <w:r w:rsidR="00DD6FD9">
        <w:rPr>
          <w:rFonts w:ascii="Times New Roman" w:eastAsia="Times New Roman" w:hAnsi="Times New Roman" w:cs="Times New Roman"/>
          <w:color w:val="000000" w:themeColor="text1"/>
          <w:sz w:val="24"/>
          <w:szCs w:val="24"/>
          <w:lang w:eastAsia="fr-FR"/>
        </w:rPr>
        <w:t xml:space="preserve">est </w:t>
      </w:r>
      <w:r w:rsidR="00DD6FD9" w:rsidRPr="00195890">
        <w:rPr>
          <w:rFonts w:ascii="Times New Roman" w:eastAsia="Times New Roman" w:hAnsi="Times New Roman" w:cs="Times New Roman"/>
          <w:color w:val="000000" w:themeColor="text1"/>
          <w:sz w:val="24"/>
          <w:szCs w:val="24"/>
          <w:lang w:eastAsia="fr-FR"/>
        </w:rPr>
        <w:t>rest</w:t>
      </w:r>
      <w:r w:rsidR="00DD6FD9">
        <w:rPr>
          <w:rFonts w:ascii="Times New Roman" w:eastAsia="Times New Roman" w:hAnsi="Times New Roman" w:cs="Times New Roman"/>
          <w:color w:val="000000" w:themeColor="text1"/>
          <w:sz w:val="24"/>
          <w:szCs w:val="24"/>
          <w:lang w:eastAsia="fr-FR"/>
        </w:rPr>
        <w:t>é</w:t>
      </w:r>
      <w:r w:rsidR="00DD6FD9" w:rsidRPr="00195890">
        <w:rPr>
          <w:rFonts w:ascii="Times New Roman" w:eastAsia="Times New Roman" w:hAnsi="Times New Roman" w:cs="Times New Roman"/>
          <w:color w:val="000000" w:themeColor="text1"/>
          <w:sz w:val="24"/>
          <w:szCs w:val="24"/>
          <w:lang w:eastAsia="fr-FR"/>
        </w:rPr>
        <w:t xml:space="preserve"> négatif, passant à </w:t>
      </w:r>
      <w:r w:rsidR="00DD6FD9">
        <w:rPr>
          <w:rFonts w:ascii="Times New Roman" w:eastAsia="Times New Roman" w:hAnsi="Times New Roman" w:cs="Times New Roman"/>
          <w:color w:val="000000" w:themeColor="text1"/>
          <w:sz w:val="24"/>
          <w:szCs w:val="24"/>
          <w:lang w:eastAsia="fr-FR"/>
        </w:rPr>
        <w:t xml:space="preserve">moins </w:t>
      </w:r>
      <w:r w:rsidR="00DD6FD9" w:rsidRPr="00195890">
        <w:rPr>
          <w:rFonts w:ascii="Times New Roman" w:eastAsia="Times New Roman" w:hAnsi="Times New Roman" w:cs="Times New Roman"/>
          <w:color w:val="000000" w:themeColor="text1"/>
          <w:sz w:val="24"/>
          <w:szCs w:val="24"/>
          <w:lang w:eastAsia="fr-FR"/>
        </w:rPr>
        <w:t xml:space="preserve">34,8 points, après avoir été </w:t>
      </w:r>
      <w:r w:rsidR="00DD6FD9">
        <w:rPr>
          <w:rFonts w:ascii="Times New Roman" w:eastAsia="Times New Roman" w:hAnsi="Times New Roman" w:cs="Times New Roman"/>
          <w:color w:val="000000" w:themeColor="text1"/>
          <w:sz w:val="24"/>
          <w:szCs w:val="24"/>
          <w:lang w:eastAsia="fr-FR"/>
        </w:rPr>
        <w:t xml:space="preserve">de moins </w:t>
      </w:r>
      <w:r w:rsidR="00DD6FD9" w:rsidRPr="00195890">
        <w:rPr>
          <w:rFonts w:ascii="Times New Roman" w:eastAsia="Times New Roman" w:hAnsi="Times New Roman" w:cs="Times New Roman"/>
          <w:color w:val="000000" w:themeColor="text1"/>
          <w:sz w:val="24"/>
          <w:szCs w:val="24"/>
          <w:lang w:eastAsia="fr-FR"/>
        </w:rPr>
        <w:t>36 poi</w:t>
      </w:r>
      <w:r w:rsidR="00DD6FD9">
        <w:rPr>
          <w:rFonts w:ascii="Times New Roman" w:eastAsia="Times New Roman" w:hAnsi="Times New Roman" w:cs="Times New Roman"/>
          <w:color w:val="000000" w:themeColor="text1"/>
          <w:sz w:val="24"/>
          <w:szCs w:val="24"/>
          <w:lang w:eastAsia="fr-FR"/>
        </w:rPr>
        <w:t xml:space="preserve">nts le deuxième trimestre </w:t>
      </w:r>
      <w:r w:rsidR="00A72AB9">
        <w:rPr>
          <w:rFonts w:ascii="Times New Roman" w:eastAsia="Times New Roman" w:hAnsi="Times New Roman" w:cs="Times New Roman"/>
          <w:color w:val="000000" w:themeColor="text1"/>
          <w:sz w:val="24"/>
          <w:szCs w:val="24"/>
          <w:lang w:eastAsia="fr-FR"/>
        </w:rPr>
        <w:t xml:space="preserve">de </w:t>
      </w:r>
      <w:r w:rsidR="00DD6FD9">
        <w:rPr>
          <w:rFonts w:ascii="Times New Roman" w:eastAsia="Times New Roman" w:hAnsi="Times New Roman" w:cs="Times New Roman"/>
          <w:color w:val="000000" w:themeColor="text1"/>
          <w:sz w:val="24"/>
          <w:szCs w:val="24"/>
          <w:lang w:eastAsia="fr-FR"/>
        </w:rPr>
        <w:t>2015.</w:t>
      </w:r>
      <w:r w:rsidR="00B57FB7">
        <w:rPr>
          <w:rFonts w:ascii="Times New Roman" w:eastAsia="Times New Roman" w:hAnsi="Times New Roman" w:cs="Times New Roman"/>
          <w:color w:val="000000" w:themeColor="text1"/>
          <w:sz w:val="24"/>
          <w:szCs w:val="24"/>
          <w:lang w:eastAsia="fr-FR"/>
        </w:rPr>
        <w:t xml:space="preserve"> </w:t>
      </w:r>
    </w:p>
    <w:p w:rsidR="00417308" w:rsidRDefault="00417308" w:rsidP="00E555EA">
      <w:pPr>
        <w:pStyle w:val="Paragraphedeliste"/>
        <w:ind w:left="142"/>
        <w:jc w:val="both"/>
        <w:rPr>
          <w:rFonts w:ascii="Times New Roman" w:hAnsi="Times New Roman" w:cs="Times New Roman"/>
          <w:color w:val="000000" w:themeColor="text1"/>
          <w:sz w:val="24"/>
          <w:szCs w:val="24"/>
        </w:rPr>
      </w:pPr>
    </w:p>
    <w:p w:rsidR="00417308" w:rsidRPr="00F960F0" w:rsidRDefault="009141A8" w:rsidP="00E555EA">
      <w:pPr>
        <w:pStyle w:val="Paragraphedeliste"/>
        <w:ind w:left="142"/>
        <w:jc w:val="both"/>
        <w:rPr>
          <w:rFonts w:ascii="Times New Roman" w:hAnsi="Times New Roman" w:cs="Times New Roman"/>
          <w:color w:val="000000" w:themeColor="text1"/>
          <w:sz w:val="24"/>
          <w:szCs w:val="24"/>
        </w:rPr>
      </w:pPr>
      <w:r w:rsidRPr="009141A8">
        <w:rPr>
          <w:rFonts w:ascii="Times New Roman" w:hAnsi="Times New Roman" w:cs="Times New Roman"/>
          <w:noProof/>
          <w:color w:val="000000" w:themeColor="text1"/>
          <w:sz w:val="24"/>
          <w:szCs w:val="24"/>
          <w:lang w:eastAsia="fr-FR"/>
        </w:rPr>
        <w:drawing>
          <wp:inline distT="0" distB="0" distL="0" distR="0">
            <wp:extent cx="5972810" cy="3209925"/>
            <wp:effectExtent l="19050" t="0" r="27940" b="0"/>
            <wp:docPr id="1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41A8" w:rsidRDefault="009141A8" w:rsidP="009141A8">
      <w:pPr>
        <w:pStyle w:val="Paragraphedeliste"/>
        <w:spacing w:before="240"/>
        <w:ind w:left="142"/>
        <w:jc w:val="both"/>
        <w:rPr>
          <w:rFonts w:ascii="Times New Roman" w:hAnsi="Times New Roman" w:cs="Times New Roman"/>
          <w:b/>
          <w:bCs/>
          <w:color w:val="000000" w:themeColor="text1"/>
          <w:sz w:val="24"/>
          <w:szCs w:val="24"/>
        </w:rPr>
      </w:pPr>
    </w:p>
    <w:p w:rsidR="009141A8" w:rsidRDefault="009141A8" w:rsidP="009141A8">
      <w:pPr>
        <w:pStyle w:val="Paragraphedeliste"/>
        <w:spacing w:before="240"/>
        <w:ind w:left="142"/>
        <w:jc w:val="both"/>
        <w:rPr>
          <w:rFonts w:ascii="Times New Roman" w:hAnsi="Times New Roman" w:cs="Times New Roman"/>
          <w:b/>
          <w:bCs/>
          <w:color w:val="000000" w:themeColor="text1"/>
          <w:sz w:val="24"/>
          <w:szCs w:val="24"/>
        </w:rPr>
      </w:pPr>
    </w:p>
    <w:p w:rsidR="00F811D5" w:rsidRPr="00F811D5" w:rsidRDefault="002C1D2E" w:rsidP="0066023F">
      <w:pPr>
        <w:pStyle w:val="Paragraphedeliste"/>
        <w:numPr>
          <w:ilvl w:val="0"/>
          <w:numId w:val="8"/>
        </w:numPr>
        <w:spacing w:before="240"/>
        <w:ind w:left="142" w:hanging="142"/>
        <w:jc w:val="both"/>
        <w:rPr>
          <w:rFonts w:ascii="Times New Roman" w:hAnsi="Times New Roman" w:cs="Times New Roman"/>
          <w:color w:val="000000" w:themeColor="text1"/>
        </w:rPr>
      </w:pPr>
      <w:r w:rsidRPr="00F811D5">
        <w:rPr>
          <w:rFonts w:ascii="Times New Roman" w:hAnsi="Times New Roman" w:cs="Times New Roman"/>
          <w:b/>
          <w:bCs/>
          <w:color w:val="000000" w:themeColor="text1"/>
          <w:sz w:val="24"/>
          <w:szCs w:val="24"/>
        </w:rPr>
        <w:t xml:space="preserve"> </w:t>
      </w:r>
      <w:r w:rsidR="0066023F">
        <w:rPr>
          <w:rFonts w:ascii="Times New Roman" w:hAnsi="Times New Roman" w:cs="Times New Roman"/>
          <w:b/>
          <w:bCs/>
          <w:color w:val="000000" w:themeColor="text1"/>
          <w:sz w:val="24"/>
          <w:szCs w:val="24"/>
        </w:rPr>
        <w:t>Sentiment</w:t>
      </w:r>
      <w:r w:rsidR="00C96B1D" w:rsidRPr="00F811D5">
        <w:rPr>
          <w:rFonts w:ascii="Times New Roman" w:hAnsi="Times New Roman" w:cs="Times New Roman"/>
          <w:b/>
          <w:bCs/>
          <w:color w:val="000000" w:themeColor="text1"/>
          <w:sz w:val="24"/>
          <w:szCs w:val="24"/>
        </w:rPr>
        <w:t xml:space="preserve"> d’une </w:t>
      </w:r>
      <w:r w:rsidR="00F811D5" w:rsidRPr="00F811D5">
        <w:rPr>
          <w:rFonts w:ascii="Times New Roman" w:hAnsi="Times New Roman" w:cs="Times New Roman"/>
          <w:b/>
          <w:bCs/>
          <w:color w:val="000000" w:themeColor="text1"/>
          <w:sz w:val="24"/>
          <w:szCs w:val="24"/>
        </w:rPr>
        <w:t xml:space="preserve">moindre </w:t>
      </w:r>
      <w:r w:rsidR="00C96B1D" w:rsidRPr="00F811D5">
        <w:rPr>
          <w:rFonts w:ascii="Times New Roman" w:hAnsi="Times New Roman" w:cs="Times New Roman"/>
          <w:b/>
          <w:bCs/>
          <w:color w:val="000000" w:themeColor="text1"/>
          <w:sz w:val="24"/>
          <w:szCs w:val="24"/>
        </w:rPr>
        <w:t xml:space="preserve">détérioration </w:t>
      </w:r>
      <w:r w:rsidR="0016780D">
        <w:rPr>
          <w:rFonts w:ascii="Times New Roman" w:hAnsi="Times New Roman" w:cs="Times New Roman"/>
          <w:b/>
          <w:bCs/>
          <w:color w:val="000000" w:themeColor="text1"/>
          <w:sz w:val="24"/>
          <w:szCs w:val="24"/>
        </w:rPr>
        <w:t xml:space="preserve">de la </w:t>
      </w:r>
      <w:r w:rsidR="00C96B1D" w:rsidRPr="00F811D5">
        <w:rPr>
          <w:rFonts w:ascii="Times New Roman" w:hAnsi="Times New Roman" w:cs="Times New Roman"/>
          <w:b/>
          <w:bCs/>
          <w:color w:val="000000" w:themeColor="text1"/>
          <w:sz w:val="24"/>
          <w:szCs w:val="24"/>
        </w:rPr>
        <w:t>s</w:t>
      </w:r>
      <w:r w:rsidR="00A95E94" w:rsidRPr="00F811D5">
        <w:rPr>
          <w:rFonts w:ascii="Times New Roman" w:hAnsi="Times New Roman" w:cs="Times New Roman"/>
          <w:b/>
          <w:bCs/>
          <w:color w:val="000000" w:themeColor="text1"/>
          <w:sz w:val="24"/>
          <w:szCs w:val="24"/>
        </w:rPr>
        <w:t xml:space="preserve">ituation financière </w:t>
      </w:r>
      <w:r w:rsidR="0016780D">
        <w:rPr>
          <w:rFonts w:ascii="Times New Roman" w:hAnsi="Times New Roman" w:cs="Times New Roman"/>
          <w:b/>
          <w:bCs/>
          <w:color w:val="000000" w:themeColor="text1"/>
          <w:sz w:val="24"/>
          <w:szCs w:val="24"/>
        </w:rPr>
        <w:t>des ménages</w:t>
      </w:r>
    </w:p>
    <w:p w:rsidR="00E03B67" w:rsidRDefault="00E03B67" w:rsidP="00807B58">
      <w:pPr>
        <w:widowControl/>
        <w:spacing w:before="240" w:line="276" w:lineRule="auto"/>
        <w:jc w:val="both"/>
        <w:rPr>
          <w:rFonts w:ascii="Times New Roman" w:hAnsi="Times New Roman" w:cs="Times New Roman"/>
          <w:color w:val="000000" w:themeColor="text1"/>
        </w:rPr>
      </w:pPr>
      <w:r w:rsidRPr="00E03B67">
        <w:rPr>
          <w:rFonts w:ascii="Times New Roman" w:hAnsi="Times New Roman" w:cs="Times New Roman"/>
          <w:color w:val="000000" w:themeColor="text1"/>
        </w:rPr>
        <w:t>Au deuxième trimestre, 60,4% des ménages estiment que leurs revenus couvrent leurs dépenses, 31,3 % déclarent s’endetter ou puiser dans leur épargne et 8,3 % affirment épargner une partie de leur revenu. Le solde d’opinion sur la situation financière actuelle des ménages est resté ainsi négatif, à moins 23 points, avec cependant une amélioration aussi bien par rapport au premier trimestre que par rapport au deuxième trimestre de l’année dernière où il était respectivement de moins 27,2 points et de moins 28 points</w:t>
      </w:r>
      <w:r>
        <w:rPr>
          <w:rFonts w:ascii="Times New Roman" w:hAnsi="Times New Roman" w:cs="Times New Roman"/>
          <w:color w:val="000000" w:themeColor="text1"/>
        </w:rPr>
        <w:t>.</w:t>
      </w:r>
    </w:p>
    <w:p w:rsidR="00EA79FB" w:rsidRDefault="00F45C72" w:rsidP="00807B58">
      <w:pPr>
        <w:widowControl/>
        <w:spacing w:before="24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Evaluant leur </w:t>
      </w:r>
      <w:r w:rsidR="0016780D">
        <w:rPr>
          <w:rFonts w:ascii="Times New Roman" w:hAnsi="Times New Roman" w:cs="Times New Roman"/>
          <w:color w:val="000000" w:themeColor="text1"/>
        </w:rPr>
        <w:t>situation financière</w:t>
      </w:r>
      <w:r>
        <w:rPr>
          <w:rFonts w:ascii="Times New Roman" w:hAnsi="Times New Roman" w:cs="Times New Roman"/>
          <w:color w:val="000000" w:themeColor="text1"/>
        </w:rPr>
        <w:t xml:space="preserve"> au cours des 12 derniers mois</w:t>
      </w:r>
      <w:r w:rsidR="0016780D">
        <w:rPr>
          <w:rFonts w:ascii="Times New Roman" w:hAnsi="Times New Roman" w:cs="Times New Roman"/>
          <w:color w:val="000000" w:themeColor="text1"/>
        </w:rPr>
        <w:t xml:space="preserve">, </w:t>
      </w:r>
      <w:r w:rsidR="00540BE7" w:rsidRPr="008771D1">
        <w:rPr>
          <w:rFonts w:ascii="Times New Roman" w:hAnsi="Times New Roman" w:cs="Times New Roman"/>
          <w:color w:val="000000" w:themeColor="text1"/>
        </w:rPr>
        <w:t>35,7</w:t>
      </w:r>
      <w:r w:rsidR="00540BE7" w:rsidRPr="00941528">
        <w:rPr>
          <w:rFonts w:ascii="Times New Roman" w:hAnsi="Times New Roman" w:cs="Times New Roman"/>
          <w:color w:val="000000" w:themeColor="text1"/>
        </w:rPr>
        <w:t>%</w:t>
      </w:r>
      <w:r w:rsidR="00540BE7">
        <w:rPr>
          <w:rFonts w:ascii="Times New Roman" w:hAnsi="Times New Roman" w:cs="Times New Roman"/>
          <w:color w:val="000000" w:themeColor="text1"/>
        </w:rPr>
        <w:t xml:space="preserve"> </w:t>
      </w:r>
      <w:r w:rsidR="0016780D" w:rsidRPr="00F811D5">
        <w:rPr>
          <w:rFonts w:ascii="Times New Roman" w:hAnsi="Times New Roman" w:cs="Times New Roman"/>
          <w:color w:val="000000" w:themeColor="text1"/>
        </w:rPr>
        <w:t xml:space="preserve">des ménages </w:t>
      </w:r>
      <w:r w:rsidR="0016780D">
        <w:rPr>
          <w:rFonts w:ascii="Times New Roman" w:hAnsi="Times New Roman" w:cs="Times New Roman"/>
          <w:color w:val="000000" w:themeColor="text1"/>
        </w:rPr>
        <w:t xml:space="preserve">considèrent qu’elle </w:t>
      </w:r>
      <w:r w:rsidR="00540BE7">
        <w:rPr>
          <w:rFonts w:ascii="Times New Roman" w:hAnsi="Times New Roman" w:cs="Times New Roman"/>
          <w:color w:val="000000" w:themeColor="text1"/>
        </w:rPr>
        <w:t>s’est dégradée</w:t>
      </w:r>
      <w:r w:rsidR="0016780D">
        <w:rPr>
          <w:rFonts w:ascii="Times New Roman" w:hAnsi="Times New Roman" w:cs="Times New Roman"/>
          <w:color w:val="000000" w:themeColor="text1"/>
        </w:rPr>
        <w:t xml:space="preserve">, </w:t>
      </w:r>
      <w:r w:rsidR="00540BE7">
        <w:rPr>
          <w:rFonts w:ascii="Times New Roman" w:hAnsi="Times New Roman" w:cs="Times New Roman"/>
          <w:color w:val="000000" w:themeColor="text1"/>
        </w:rPr>
        <w:t>12,9</w:t>
      </w:r>
      <w:r w:rsidR="00540BE7" w:rsidRPr="00F811D5">
        <w:rPr>
          <w:rFonts w:ascii="Times New Roman" w:hAnsi="Times New Roman" w:cs="Times New Roman"/>
          <w:color w:val="000000" w:themeColor="text1"/>
        </w:rPr>
        <w:t xml:space="preserve">% </w:t>
      </w:r>
      <w:r w:rsidR="00B831BA">
        <w:rPr>
          <w:rFonts w:ascii="Times New Roman" w:hAnsi="Times New Roman" w:cs="Times New Roman"/>
          <w:color w:val="000000" w:themeColor="text1"/>
        </w:rPr>
        <w:t xml:space="preserve">qu’elle </w:t>
      </w:r>
      <w:r>
        <w:rPr>
          <w:rFonts w:ascii="Times New Roman" w:hAnsi="Times New Roman" w:cs="Times New Roman"/>
          <w:color w:val="000000" w:themeColor="text1"/>
        </w:rPr>
        <w:t>s’est plutôt améliorée</w:t>
      </w:r>
      <w:r w:rsidR="0016780D">
        <w:rPr>
          <w:rFonts w:ascii="Times New Roman" w:hAnsi="Times New Roman" w:cs="Times New Roman"/>
          <w:color w:val="000000" w:themeColor="text1"/>
        </w:rPr>
        <w:t xml:space="preserve">. Cette perception reste </w:t>
      </w:r>
      <w:r>
        <w:rPr>
          <w:rFonts w:ascii="Times New Roman" w:hAnsi="Times New Roman" w:cs="Times New Roman"/>
          <w:color w:val="000000" w:themeColor="text1"/>
        </w:rPr>
        <w:t xml:space="preserve">ainsi </w:t>
      </w:r>
      <w:r w:rsidR="0016780D">
        <w:rPr>
          <w:rFonts w:ascii="Times New Roman" w:hAnsi="Times New Roman" w:cs="Times New Roman"/>
          <w:color w:val="000000" w:themeColor="text1"/>
        </w:rPr>
        <w:t xml:space="preserve">toujours négative, </w:t>
      </w:r>
      <w:r>
        <w:rPr>
          <w:rFonts w:ascii="Times New Roman" w:hAnsi="Times New Roman" w:cs="Times New Roman"/>
          <w:color w:val="000000" w:themeColor="text1"/>
        </w:rPr>
        <w:t>avec</w:t>
      </w:r>
      <w:r w:rsidR="006617C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un solde d’opinion de </w:t>
      </w:r>
      <w:r w:rsidR="006617C3">
        <w:rPr>
          <w:rFonts w:ascii="Times New Roman" w:hAnsi="Times New Roman" w:cs="Times New Roman"/>
          <w:color w:val="000000" w:themeColor="text1"/>
        </w:rPr>
        <w:t>moins 22,8 points</w:t>
      </w:r>
      <w:r w:rsidR="00540BE7">
        <w:rPr>
          <w:rFonts w:ascii="Times New Roman" w:hAnsi="Times New Roman" w:cs="Times New Roman"/>
          <w:color w:val="000000" w:themeColor="text1"/>
        </w:rPr>
        <w:t xml:space="preserve">, en </w:t>
      </w:r>
      <w:r>
        <w:rPr>
          <w:rFonts w:ascii="Times New Roman" w:hAnsi="Times New Roman" w:cs="Times New Roman"/>
          <w:color w:val="000000" w:themeColor="text1"/>
        </w:rPr>
        <w:t xml:space="preserve">deçà des </w:t>
      </w:r>
      <w:r w:rsidR="00540BE7">
        <w:rPr>
          <w:rFonts w:ascii="Times New Roman" w:hAnsi="Times New Roman" w:cs="Times New Roman"/>
          <w:color w:val="000000" w:themeColor="text1"/>
        </w:rPr>
        <w:t>moins 20,2 points enregistré</w:t>
      </w:r>
      <w:r>
        <w:rPr>
          <w:rFonts w:ascii="Times New Roman" w:hAnsi="Times New Roman" w:cs="Times New Roman"/>
          <w:color w:val="000000" w:themeColor="text1"/>
        </w:rPr>
        <w:t>s</w:t>
      </w:r>
      <w:r w:rsidR="00540BE7">
        <w:rPr>
          <w:rFonts w:ascii="Times New Roman" w:hAnsi="Times New Roman" w:cs="Times New Roman"/>
          <w:color w:val="000000" w:themeColor="text1"/>
        </w:rPr>
        <w:t xml:space="preserve"> au deuxième trimestre de </w:t>
      </w:r>
      <w:r>
        <w:rPr>
          <w:rFonts w:ascii="Times New Roman" w:hAnsi="Times New Roman" w:cs="Times New Roman"/>
          <w:color w:val="000000" w:themeColor="text1"/>
        </w:rPr>
        <w:t>l’année précédente</w:t>
      </w:r>
      <w:r w:rsidR="00540BE7">
        <w:rPr>
          <w:rFonts w:ascii="Times New Roman" w:hAnsi="Times New Roman" w:cs="Times New Roman"/>
          <w:color w:val="000000" w:themeColor="text1"/>
        </w:rPr>
        <w:t>.</w:t>
      </w:r>
      <w:r w:rsidR="0066023F">
        <w:rPr>
          <w:rFonts w:ascii="Times New Roman" w:hAnsi="Times New Roman" w:cs="Times New Roman"/>
          <w:color w:val="000000" w:themeColor="text1"/>
        </w:rPr>
        <w:t xml:space="preserve"> </w:t>
      </w:r>
      <w:r>
        <w:rPr>
          <w:rFonts w:ascii="Times New Roman" w:hAnsi="Times New Roman" w:cs="Times New Roman"/>
          <w:color w:val="000000" w:themeColor="text1"/>
        </w:rPr>
        <w:t>En revanche, l</w:t>
      </w:r>
      <w:r w:rsidR="0066023F">
        <w:rPr>
          <w:rFonts w:ascii="Times New Roman" w:hAnsi="Times New Roman" w:cs="Times New Roman"/>
          <w:color w:val="000000" w:themeColor="text1"/>
        </w:rPr>
        <w:t>e</w:t>
      </w:r>
      <w:r>
        <w:rPr>
          <w:rFonts w:ascii="Times New Roman" w:hAnsi="Times New Roman" w:cs="Times New Roman"/>
          <w:color w:val="000000" w:themeColor="text1"/>
        </w:rPr>
        <w:t xml:space="preserve"> regard </w:t>
      </w:r>
      <w:r w:rsidR="0066023F">
        <w:rPr>
          <w:rFonts w:ascii="Times New Roman" w:hAnsi="Times New Roman" w:cs="Times New Roman"/>
          <w:color w:val="000000" w:themeColor="text1"/>
        </w:rPr>
        <w:t xml:space="preserve">sur l’avenir des mêmes ménages </w:t>
      </w:r>
      <w:r>
        <w:rPr>
          <w:rFonts w:ascii="Times New Roman" w:hAnsi="Times New Roman" w:cs="Times New Roman"/>
          <w:color w:val="000000" w:themeColor="text1"/>
        </w:rPr>
        <w:t>est resté optimiste</w:t>
      </w:r>
      <w:r w:rsidR="00807B58">
        <w:rPr>
          <w:rFonts w:ascii="Times New Roman" w:hAnsi="Times New Roman" w:cs="Times New Roman"/>
          <w:color w:val="000000" w:themeColor="text1"/>
        </w:rPr>
        <w:t xml:space="preserve">. Au </w:t>
      </w:r>
      <w:r w:rsidR="004B5321">
        <w:rPr>
          <w:rFonts w:ascii="Times New Roman" w:hAnsi="Times New Roman" w:cs="Times New Roman"/>
          <w:color w:val="000000" w:themeColor="text1"/>
        </w:rPr>
        <w:t xml:space="preserve"> </w:t>
      </w:r>
      <w:r w:rsidR="00807B58">
        <w:rPr>
          <w:rFonts w:ascii="Times New Roman" w:hAnsi="Times New Roman" w:cs="Times New Roman"/>
          <w:color w:val="000000" w:themeColor="text1"/>
        </w:rPr>
        <w:t xml:space="preserve">cours des 12 prochains mois, </w:t>
      </w:r>
      <w:r w:rsidR="004B5321">
        <w:rPr>
          <w:rFonts w:ascii="Times New Roman" w:hAnsi="Times New Roman" w:cs="Times New Roman"/>
          <w:color w:val="000000" w:themeColor="text1"/>
        </w:rPr>
        <w:t>23,9</w:t>
      </w:r>
      <w:r>
        <w:rPr>
          <w:rFonts w:ascii="Times New Roman" w:hAnsi="Times New Roman" w:cs="Times New Roman"/>
          <w:color w:val="000000" w:themeColor="text1"/>
        </w:rPr>
        <w:t>% des ménages s’attendent à une amélioration</w:t>
      </w:r>
      <w:r w:rsidR="00C25F02">
        <w:rPr>
          <w:rFonts w:ascii="Times New Roman" w:hAnsi="Times New Roman" w:cs="Times New Roman"/>
          <w:color w:val="000000" w:themeColor="text1"/>
        </w:rPr>
        <w:t xml:space="preserve"> de leur situation financière</w:t>
      </w:r>
      <w:r>
        <w:rPr>
          <w:rFonts w:ascii="Times New Roman" w:hAnsi="Times New Roman" w:cs="Times New Roman"/>
          <w:color w:val="000000" w:themeColor="text1"/>
        </w:rPr>
        <w:t xml:space="preserve">, </w:t>
      </w:r>
      <w:r w:rsidR="004B5321">
        <w:rPr>
          <w:rFonts w:ascii="Times New Roman" w:hAnsi="Times New Roman" w:cs="Times New Roman"/>
          <w:color w:val="000000" w:themeColor="text1"/>
        </w:rPr>
        <w:t>21,6</w:t>
      </w:r>
      <w:r>
        <w:rPr>
          <w:rFonts w:ascii="Times New Roman" w:hAnsi="Times New Roman" w:cs="Times New Roman"/>
          <w:color w:val="000000" w:themeColor="text1"/>
        </w:rPr>
        <w:t>% à une dégradation. Le solde d’opinion</w:t>
      </w:r>
      <w:r w:rsidR="00EA79FB">
        <w:rPr>
          <w:rFonts w:ascii="Times New Roman" w:hAnsi="Times New Roman" w:cs="Times New Roman"/>
          <w:color w:val="000000" w:themeColor="text1"/>
        </w:rPr>
        <w:t xml:space="preserve"> est resté </w:t>
      </w:r>
      <w:r>
        <w:rPr>
          <w:rFonts w:ascii="Times New Roman" w:hAnsi="Times New Roman" w:cs="Times New Roman"/>
          <w:color w:val="000000" w:themeColor="text1"/>
        </w:rPr>
        <w:t xml:space="preserve">ainsi </w:t>
      </w:r>
      <w:r w:rsidR="00EA79FB">
        <w:rPr>
          <w:rFonts w:ascii="Times New Roman" w:hAnsi="Times New Roman" w:cs="Times New Roman"/>
          <w:color w:val="000000" w:themeColor="text1"/>
        </w:rPr>
        <w:t xml:space="preserve">positif à </w:t>
      </w:r>
      <w:r w:rsidR="00EA79FB" w:rsidRPr="00195890">
        <w:rPr>
          <w:rFonts w:ascii="Times New Roman" w:hAnsi="Times New Roman" w:cs="Times New Roman"/>
          <w:color w:val="000000" w:themeColor="text1"/>
        </w:rPr>
        <w:t xml:space="preserve">2,3 points, contre 1,2 point le trimestre précédent, </w:t>
      </w:r>
      <w:r w:rsidR="00EA79FB">
        <w:rPr>
          <w:rFonts w:ascii="Times New Roman" w:hAnsi="Times New Roman" w:cs="Times New Roman"/>
          <w:color w:val="000000" w:themeColor="text1"/>
        </w:rPr>
        <w:t>sans</w:t>
      </w:r>
      <w:r>
        <w:rPr>
          <w:rFonts w:ascii="Times New Roman" w:hAnsi="Times New Roman" w:cs="Times New Roman"/>
          <w:color w:val="000000" w:themeColor="text1"/>
        </w:rPr>
        <w:t>,</w:t>
      </w:r>
      <w:r w:rsidR="00EA79F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cependant, </w:t>
      </w:r>
      <w:r w:rsidR="00EA79FB">
        <w:rPr>
          <w:rFonts w:ascii="Times New Roman" w:hAnsi="Times New Roman" w:cs="Times New Roman"/>
          <w:color w:val="000000" w:themeColor="text1"/>
        </w:rPr>
        <w:t>rejoindre le niveau de</w:t>
      </w:r>
      <w:r w:rsidR="0066023F">
        <w:rPr>
          <w:rFonts w:ascii="Times New Roman" w:hAnsi="Times New Roman" w:cs="Times New Roman"/>
          <w:color w:val="000000" w:themeColor="text1"/>
        </w:rPr>
        <w:t>s</w:t>
      </w:r>
      <w:r w:rsidR="00EA79FB">
        <w:rPr>
          <w:rFonts w:ascii="Times New Roman" w:hAnsi="Times New Roman" w:cs="Times New Roman"/>
          <w:color w:val="000000" w:themeColor="text1"/>
        </w:rPr>
        <w:t xml:space="preserve"> </w:t>
      </w:r>
      <w:r w:rsidR="00EA79FB" w:rsidRPr="00195890">
        <w:rPr>
          <w:rFonts w:ascii="Times New Roman" w:hAnsi="Times New Roman" w:cs="Times New Roman"/>
          <w:color w:val="000000" w:themeColor="text1"/>
        </w:rPr>
        <w:t>4,2 point</w:t>
      </w:r>
      <w:r w:rsidR="0066023F">
        <w:rPr>
          <w:rFonts w:ascii="Times New Roman" w:hAnsi="Times New Roman" w:cs="Times New Roman"/>
          <w:color w:val="000000" w:themeColor="text1"/>
        </w:rPr>
        <w:t>s</w:t>
      </w:r>
      <w:r w:rsidR="00EA79FB" w:rsidRPr="00195890">
        <w:rPr>
          <w:rFonts w:ascii="Times New Roman" w:hAnsi="Times New Roman" w:cs="Times New Roman"/>
          <w:color w:val="000000" w:themeColor="text1"/>
        </w:rPr>
        <w:t xml:space="preserve"> enregistré</w:t>
      </w:r>
      <w:r w:rsidR="0066023F">
        <w:rPr>
          <w:rFonts w:ascii="Times New Roman" w:hAnsi="Times New Roman" w:cs="Times New Roman"/>
          <w:color w:val="000000" w:themeColor="text1"/>
        </w:rPr>
        <w:t>s</w:t>
      </w:r>
      <w:r w:rsidR="00EA79FB" w:rsidRPr="00195890">
        <w:rPr>
          <w:rFonts w:ascii="Times New Roman" w:hAnsi="Times New Roman" w:cs="Times New Roman"/>
          <w:color w:val="000000" w:themeColor="text1"/>
        </w:rPr>
        <w:t xml:space="preserve"> une année auparavant.</w:t>
      </w:r>
    </w:p>
    <w:p w:rsidR="00E03B67" w:rsidRDefault="00E03B67" w:rsidP="00807B58">
      <w:pPr>
        <w:widowControl/>
        <w:spacing w:before="240" w:line="276" w:lineRule="auto"/>
        <w:jc w:val="both"/>
        <w:rPr>
          <w:rFonts w:ascii="Times New Roman" w:hAnsi="Times New Roman" w:cs="Times New Roman"/>
          <w:color w:val="000000" w:themeColor="text1"/>
        </w:rPr>
      </w:pPr>
    </w:p>
    <w:p w:rsidR="00FE416E" w:rsidRDefault="009141A8" w:rsidP="00BF234A">
      <w:pPr>
        <w:widowControl/>
        <w:spacing w:line="276" w:lineRule="auto"/>
        <w:jc w:val="both"/>
        <w:rPr>
          <w:rFonts w:ascii="Times New Roman" w:hAnsi="Times New Roman" w:cs="Times New Roman"/>
          <w:color w:val="000000"/>
        </w:rPr>
      </w:pPr>
      <w:r w:rsidRPr="009141A8">
        <w:rPr>
          <w:rFonts w:ascii="Times New Roman" w:hAnsi="Times New Roman" w:cs="Times New Roman"/>
          <w:noProof/>
          <w:color w:val="000000"/>
        </w:rPr>
        <w:lastRenderedPageBreak/>
        <w:drawing>
          <wp:inline distT="0" distB="0" distL="0" distR="0">
            <wp:extent cx="6210300" cy="3162300"/>
            <wp:effectExtent l="19050" t="0" r="19050" b="0"/>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51DD" w:rsidRDefault="000151DD" w:rsidP="00531247">
      <w:pPr>
        <w:widowControl/>
        <w:spacing w:line="276" w:lineRule="auto"/>
        <w:jc w:val="both"/>
        <w:rPr>
          <w:rFonts w:ascii="Times New Roman" w:hAnsi="Times New Roman" w:cs="Times New Roman"/>
          <w:b/>
          <w:bCs/>
          <w:color w:val="000000" w:themeColor="text1"/>
        </w:rPr>
      </w:pPr>
    </w:p>
    <w:p w:rsidR="000E21A1" w:rsidRPr="003A3FCF" w:rsidRDefault="000E21A1" w:rsidP="00C25E2E">
      <w:pPr>
        <w:pStyle w:val="Paragraphedeliste"/>
        <w:numPr>
          <w:ilvl w:val="0"/>
          <w:numId w:val="9"/>
        </w:numPr>
        <w:ind w:left="284" w:hanging="284"/>
        <w:jc w:val="both"/>
        <w:rPr>
          <w:rFonts w:ascii="Times New Roman" w:hAnsi="Times New Roman" w:cs="Times New Roman"/>
          <w:b/>
          <w:bCs/>
          <w:color w:val="000000" w:themeColor="text1"/>
          <w:sz w:val="24"/>
          <w:szCs w:val="24"/>
        </w:rPr>
      </w:pPr>
      <w:r w:rsidRPr="003A3FCF">
        <w:rPr>
          <w:rFonts w:ascii="Times New Roman" w:hAnsi="Times New Roman" w:cs="Times New Roman"/>
          <w:b/>
          <w:bCs/>
          <w:color w:val="000000" w:themeColor="text1"/>
          <w:sz w:val="24"/>
          <w:szCs w:val="24"/>
        </w:rPr>
        <w:t xml:space="preserve">Evolution d’autres indicateurs </w:t>
      </w:r>
      <w:r w:rsidR="005D5DB2">
        <w:rPr>
          <w:rFonts w:ascii="Times New Roman" w:hAnsi="Times New Roman" w:cs="Times New Roman"/>
          <w:b/>
          <w:bCs/>
          <w:color w:val="000000" w:themeColor="text1"/>
          <w:sz w:val="24"/>
          <w:szCs w:val="24"/>
        </w:rPr>
        <w:t xml:space="preserve">trimestriels </w:t>
      </w:r>
      <w:r w:rsidR="00D75C4F" w:rsidRPr="003A3FCF">
        <w:rPr>
          <w:rFonts w:ascii="Times New Roman" w:hAnsi="Times New Roman" w:cs="Times New Roman"/>
          <w:b/>
          <w:bCs/>
          <w:color w:val="000000" w:themeColor="text1"/>
          <w:sz w:val="24"/>
          <w:szCs w:val="24"/>
        </w:rPr>
        <w:t>de la conjoncture</w:t>
      </w:r>
      <w:r w:rsidR="00D75C4F">
        <w:rPr>
          <w:rFonts w:ascii="Times New Roman" w:hAnsi="Times New Roman" w:cs="Times New Roman"/>
          <w:b/>
          <w:bCs/>
          <w:color w:val="000000" w:themeColor="text1"/>
          <w:sz w:val="24"/>
          <w:szCs w:val="24"/>
        </w:rPr>
        <w:t xml:space="preserve"> </w:t>
      </w:r>
    </w:p>
    <w:p w:rsidR="00C07FB5" w:rsidRPr="00C07FB5" w:rsidRDefault="001F7D34" w:rsidP="00346987">
      <w:pPr>
        <w:jc w:val="both"/>
        <w:rPr>
          <w:rFonts w:ascii="Times New Roman" w:hAnsi="Times New Roman" w:cs="Times New Roman"/>
          <w:color w:val="FF6600"/>
        </w:rPr>
      </w:pPr>
      <w:r>
        <w:rPr>
          <w:rFonts w:ascii="Times New Roman" w:hAnsi="Times New Roman" w:cs="Times New Roman"/>
          <w:color w:val="000000" w:themeColor="text1"/>
        </w:rPr>
        <w:t>L</w:t>
      </w:r>
      <w:r w:rsidRPr="00C706A5">
        <w:rPr>
          <w:rFonts w:ascii="Times New Roman" w:hAnsi="Times New Roman" w:cs="Times New Roman"/>
          <w:color w:val="000000" w:themeColor="text1"/>
        </w:rPr>
        <w:t>a capacité d</w:t>
      </w:r>
      <w:r>
        <w:rPr>
          <w:rFonts w:ascii="Times New Roman" w:hAnsi="Times New Roman" w:cs="Times New Roman"/>
          <w:color w:val="000000" w:themeColor="text1"/>
        </w:rPr>
        <w:t xml:space="preserve">es ménages à épargner </w:t>
      </w:r>
      <w:r w:rsidRPr="00C706A5">
        <w:rPr>
          <w:rFonts w:ascii="Times New Roman" w:hAnsi="Times New Roman" w:cs="Times New Roman"/>
          <w:color w:val="000000" w:themeColor="text1"/>
        </w:rPr>
        <w:t xml:space="preserve">et l’évolution des prix des produits alimentaires </w:t>
      </w:r>
      <w:r>
        <w:rPr>
          <w:rFonts w:ascii="Times New Roman" w:hAnsi="Times New Roman" w:cs="Times New Roman"/>
          <w:color w:val="000000" w:themeColor="text1"/>
        </w:rPr>
        <w:t>sont les deux</w:t>
      </w:r>
      <w:r w:rsidR="0071373B">
        <w:rPr>
          <w:rFonts w:ascii="Times New Roman" w:hAnsi="Times New Roman" w:cs="Times New Roman"/>
          <w:color w:val="000000" w:themeColor="text1"/>
        </w:rPr>
        <w:t xml:space="preserve"> indicateurs</w:t>
      </w:r>
      <w:r>
        <w:rPr>
          <w:rFonts w:ascii="Times New Roman" w:hAnsi="Times New Roman" w:cs="Times New Roman"/>
          <w:color w:val="000000" w:themeColor="text1"/>
        </w:rPr>
        <w:t xml:space="preserve"> </w:t>
      </w:r>
      <w:r w:rsidR="0071373B">
        <w:rPr>
          <w:rFonts w:ascii="Times New Roman" w:hAnsi="Times New Roman" w:cs="Times New Roman"/>
          <w:color w:val="000000" w:themeColor="text1"/>
        </w:rPr>
        <w:t>publiés</w:t>
      </w:r>
      <w:r>
        <w:rPr>
          <w:rFonts w:ascii="Times New Roman" w:hAnsi="Times New Roman" w:cs="Times New Roman"/>
          <w:color w:val="000000" w:themeColor="text1"/>
        </w:rPr>
        <w:t xml:space="preserve"> </w:t>
      </w:r>
      <w:r w:rsidR="0071373B">
        <w:rPr>
          <w:rFonts w:ascii="Times New Roman" w:hAnsi="Times New Roman" w:cs="Times New Roman"/>
          <w:color w:val="000000" w:themeColor="text1"/>
        </w:rPr>
        <w:t>par les notes trimestrielles sur les enquêtes de conjoncture menées auprès des ménages. L’intégralité des indicateurs</w:t>
      </w:r>
      <w:r w:rsidR="00346987">
        <w:rPr>
          <w:rFonts w:ascii="Times New Roman" w:hAnsi="Times New Roman" w:cs="Times New Roman"/>
          <w:color w:val="000000" w:themeColor="text1"/>
        </w:rPr>
        <w:t>,</w:t>
      </w:r>
      <w:r w:rsidR="0071373B">
        <w:rPr>
          <w:rFonts w:ascii="Times New Roman" w:hAnsi="Times New Roman" w:cs="Times New Roman"/>
          <w:color w:val="000000" w:themeColor="text1"/>
        </w:rPr>
        <w:t xml:space="preserve"> qui comprennent en outre d’autres </w:t>
      </w:r>
      <w:r w:rsidR="00C1044F">
        <w:rPr>
          <w:rFonts w:ascii="Times New Roman" w:hAnsi="Times New Roman" w:cs="Times New Roman"/>
          <w:color w:val="000000" w:themeColor="text1"/>
        </w:rPr>
        <w:t>variables</w:t>
      </w:r>
      <w:r w:rsidR="00346987">
        <w:rPr>
          <w:rFonts w:ascii="Times New Roman" w:hAnsi="Times New Roman" w:cs="Times New Roman"/>
          <w:color w:val="000000" w:themeColor="text1"/>
        </w:rPr>
        <w:t>,</w:t>
      </w:r>
      <w:r w:rsidR="0071373B">
        <w:rPr>
          <w:rFonts w:ascii="Times New Roman" w:hAnsi="Times New Roman" w:cs="Times New Roman"/>
          <w:color w:val="000000" w:themeColor="text1"/>
        </w:rPr>
        <w:t xml:space="preserve"> </w:t>
      </w:r>
      <w:r w:rsidR="00346987">
        <w:rPr>
          <w:rFonts w:ascii="Times New Roman" w:hAnsi="Times New Roman" w:cs="Times New Roman"/>
          <w:color w:val="000000" w:themeColor="text1"/>
        </w:rPr>
        <w:t>n’est</w:t>
      </w:r>
      <w:r w:rsidR="0071373B">
        <w:rPr>
          <w:rFonts w:ascii="Times New Roman" w:hAnsi="Times New Roman" w:cs="Times New Roman"/>
          <w:color w:val="000000" w:themeColor="text1"/>
        </w:rPr>
        <w:t xml:space="preserve"> publié</w:t>
      </w:r>
      <w:r w:rsidR="00346987">
        <w:rPr>
          <w:rFonts w:ascii="Times New Roman" w:hAnsi="Times New Roman" w:cs="Times New Roman"/>
          <w:color w:val="000000" w:themeColor="text1"/>
        </w:rPr>
        <w:t xml:space="preserve">e </w:t>
      </w:r>
      <w:r w:rsidR="0071373B">
        <w:rPr>
          <w:rFonts w:ascii="Times New Roman" w:hAnsi="Times New Roman" w:cs="Times New Roman"/>
          <w:color w:val="000000" w:themeColor="text1"/>
        </w:rPr>
        <w:t>qu’</w:t>
      </w:r>
      <w:r w:rsidR="00C1044F">
        <w:rPr>
          <w:rFonts w:ascii="Times New Roman" w:hAnsi="Times New Roman" w:cs="Times New Roman"/>
          <w:color w:val="000000" w:themeColor="text1"/>
        </w:rPr>
        <w:t>après</w:t>
      </w:r>
      <w:r w:rsidR="0071373B">
        <w:rPr>
          <w:rFonts w:ascii="Times New Roman" w:hAnsi="Times New Roman" w:cs="Times New Roman"/>
          <w:color w:val="000000" w:themeColor="text1"/>
        </w:rPr>
        <w:t xml:space="preserve"> exploitation des données sur l’ensemble de l’année.  </w:t>
      </w:r>
    </w:p>
    <w:p w:rsidR="0071373B" w:rsidRPr="00C07FB5" w:rsidRDefault="0071373B" w:rsidP="0071373B">
      <w:pPr>
        <w:widowControl/>
        <w:spacing w:line="276" w:lineRule="auto"/>
        <w:jc w:val="both"/>
        <w:rPr>
          <w:rFonts w:ascii="Times New Roman" w:hAnsi="Times New Roman" w:cs="Times New Roman"/>
          <w:color w:val="FF6600"/>
        </w:rPr>
      </w:pPr>
    </w:p>
    <w:p w:rsidR="009E0162" w:rsidRPr="00C25F02" w:rsidRDefault="004153FC" w:rsidP="004153FC">
      <w:pPr>
        <w:pStyle w:val="Paragraphedeliste"/>
        <w:numPr>
          <w:ilvl w:val="0"/>
          <w:numId w:val="8"/>
        </w:numPr>
        <w:jc w:val="both"/>
        <w:rPr>
          <w:rFonts w:ascii="Times New Roman" w:hAnsi="Times New Roman" w:cs="Times New Roman"/>
          <w:b/>
          <w:bCs/>
          <w:color w:val="000000" w:themeColor="text1"/>
          <w:sz w:val="24"/>
          <w:szCs w:val="24"/>
        </w:rPr>
      </w:pPr>
      <w:r w:rsidRPr="00C25F02">
        <w:rPr>
          <w:rFonts w:ascii="Times New Roman" w:hAnsi="Times New Roman" w:cs="Times New Roman"/>
          <w:b/>
          <w:bCs/>
          <w:color w:val="000000" w:themeColor="text1"/>
          <w:sz w:val="24"/>
          <w:szCs w:val="24"/>
        </w:rPr>
        <w:t>Perception</w:t>
      </w:r>
      <w:r w:rsidR="006A08BD" w:rsidRPr="00C25F02">
        <w:rPr>
          <w:rFonts w:ascii="Times New Roman" w:hAnsi="Times New Roman" w:cs="Times New Roman"/>
          <w:b/>
          <w:bCs/>
          <w:color w:val="000000" w:themeColor="text1"/>
          <w:sz w:val="24"/>
          <w:szCs w:val="24"/>
        </w:rPr>
        <w:t xml:space="preserve"> </w:t>
      </w:r>
      <w:r w:rsidR="007D78F4" w:rsidRPr="00C25F02">
        <w:rPr>
          <w:rFonts w:ascii="Times New Roman" w:hAnsi="Times New Roman" w:cs="Times New Roman"/>
          <w:b/>
          <w:bCs/>
          <w:color w:val="000000" w:themeColor="text1"/>
          <w:sz w:val="24"/>
          <w:szCs w:val="24"/>
        </w:rPr>
        <w:t xml:space="preserve">moins pessimiste </w:t>
      </w:r>
      <w:r w:rsidRPr="00C25F02">
        <w:rPr>
          <w:rFonts w:ascii="Times New Roman" w:hAnsi="Times New Roman" w:cs="Times New Roman"/>
          <w:b/>
          <w:bCs/>
          <w:color w:val="000000" w:themeColor="text1"/>
          <w:sz w:val="24"/>
          <w:szCs w:val="24"/>
        </w:rPr>
        <w:t>de la</w:t>
      </w:r>
      <w:r w:rsidR="007D78F4" w:rsidRPr="00C25F02">
        <w:rPr>
          <w:rFonts w:ascii="Times New Roman" w:hAnsi="Times New Roman" w:cs="Times New Roman"/>
          <w:b/>
          <w:bCs/>
          <w:color w:val="000000" w:themeColor="text1"/>
          <w:sz w:val="24"/>
          <w:szCs w:val="24"/>
        </w:rPr>
        <w:t xml:space="preserve"> </w:t>
      </w:r>
      <w:r w:rsidR="006A08BD" w:rsidRPr="00C25F02">
        <w:rPr>
          <w:rFonts w:ascii="Times New Roman" w:hAnsi="Times New Roman" w:cs="Times New Roman"/>
          <w:b/>
          <w:bCs/>
          <w:color w:val="000000" w:themeColor="text1"/>
          <w:sz w:val="24"/>
          <w:szCs w:val="24"/>
        </w:rPr>
        <w:t xml:space="preserve">capacité future </w:t>
      </w:r>
      <w:r w:rsidRPr="00C25F02">
        <w:rPr>
          <w:rFonts w:ascii="Times New Roman" w:hAnsi="Times New Roman" w:cs="Times New Roman"/>
          <w:b/>
          <w:bCs/>
          <w:color w:val="000000" w:themeColor="text1"/>
          <w:sz w:val="24"/>
          <w:szCs w:val="24"/>
        </w:rPr>
        <w:t xml:space="preserve">des ménages </w:t>
      </w:r>
      <w:r w:rsidR="006A08BD" w:rsidRPr="00C25F02">
        <w:rPr>
          <w:rFonts w:ascii="Times New Roman" w:hAnsi="Times New Roman" w:cs="Times New Roman"/>
          <w:b/>
          <w:bCs/>
          <w:color w:val="000000" w:themeColor="text1"/>
          <w:sz w:val="24"/>
          <w:szCs w:val="24"/>
        </w:rPr>
        <w:t xml:space="preserve">à </w:t>
      </w:r>
      <w:r w:rsidR="000656CB" w:rsidRPr="00C25F02">
        <w:rPr>
          <w:rFonts w:ascii="Times New Roman" w:hAnsi="Times New Roman" w:cs="Times New Roman"/>
          <w:b/>
          <w:bCs/>
          <w:color w:val="000000" w:themeColor="text1"/>
          <w:sz w:val="24"/>
          <w:szCs w:val="24"/>
        </w:rPr>
        <w:t xml:space="preserve">épargner </w:t>
      </w:r>
    </w:p>
    <w:p w:rsidR="007D78F4" w:rsidRPr="007D78F4" w:rsidRDefault="007D78F4" w:rsidP="007D78F4">
      <w:pPr>
        <w:pStyle w:val="Paragraphedeliste"/>
        <w:spacing w:before="240"/>
        <w:ind w:left="284"/>
        <w:jc w:val="both"/>
        <w:rPr>
          <w:rFonts w:ascii="Times New Roman" w:hAnsi="Times New Roman" w:cs="Times New Roman"/>
          <w:color w:val="000000" w:themeColor="text1"/>
        </w:rPr>
      </w:pPr>
    </w:p>
    <w:p w:rsidR="00F66680" w:rsidRDefault="000B09BA" w:rsidP="00807B58">
      <w:pPr>
        <w:pStyle w:val="Paragraphedeliste"/>
        <w:spacing w:before="240"/>
        <w:ind w:left="0"/>
        <w:jc w:val="both"/>
        <w:rPr>
          <w:rFonts w:ascii="Times New Roman" w:eastAsia="Times New Roman" w:hAnsi="Times New Roman" w:cs="Times New Roman"/>
          <w:color w:val="000000" w:themeColor="text1"/>
          <w:sz w:val="24"/>
          <w:szCs w:val="24"/>
          <w:lang w:eastAsia="fr-FR"/>
        </w:rPr>
      </w:pPr>
      <w:r w:rsidRPr="00417308">
        <w:rPr>
          <w:rFonts w:ascii="Times New Roman" w:eastAsia="Times New Roman" w:hAnsi="Times New Roman" w:cs="Times New Roman"/>
          <w:color w:val="000000" w:themeColor="text1"/>
          <w:sz w:val="24"/>
          <w:szCs w:val="24"/>
          <w:lang w:eastAsia="fr-FR"/>
        </w:rPr>
        <w:t>Au</w:t>
      </w:r>
      <w:r w:rsidR="00654BBD" w:rsidRPr="00417308">
        <w:rPr>
          <w:rFonts w:ascii="Times New Roman" w:eastAsia="Times New Roman" w:hAnsi="Times New Roman" w:cs="Times New Roman"/>
          <w:color w:val="000000" w:themeColor="text1"/>
          <w:sz w:val="24"/>
          <w:szCs w:val="24"/>
          <w:lang w:eastAsia="fr-FR"/>
        </w:rPr>
        <w:t xml:space="preserve"> </w:t>
      </w:r>
      <w:r w:rsidR="009E781A">
        <w:rPr>
          <w:rFonts w:ascii="Times New Roman" w:eastAsia="Times New Roman" w:hAnsi="Times New Roman" w:cs="Times New Roman"/>
          <w:color w:val="000000" w:themeColor="text1"/>
          <w:sz w:val="24"/>
          <w:szCs w:val="24"/>
          <w:lang w:eastAsia="fr-FR"/>
        </w:rPr>
        <w:t>deuxième</w:t>
      </w:r>
      <w:r w:rsidR="00F430E6" w:rsidRPr="00417308">
        <w:rPr>
          <w:rFonts w:ascii="Times New Roman" w:eastAsia="Times New Roman" w:hAnsi="Times New Roman" w:cs="Times New Roman"/>
          <w:color w:val="000000" w:themeColor="text1"/>
          <w:sz w:val="24"/>
          <w:szCs w:val="24"/>
          <w:lang w:eastAsia="fr-FR"/>
        </w:rPr>
        <w:t xml:space="preserve"> trimestre</w:t>
      </w:r>
      <w:r w:rsidRPr="00417308">
        <w:rPr>
          <w:rFonts w:ascii="Times New Roman" w:eastAsia="Times New Roman" w:hAnsi="Times New Roman" w:cs="Times New Roman"/>
          <w:color w:val="000000" w:themeColor="text1"/>
          <w:sz w:val="24"/>
          <w:szCs w:val="24"/>
          <w:lang w:eastAsia="fr-FR"/>
        </w:rPr>
        <w:t xml:space="preserve">, </w:t>
      </w:r>
      <w:r w:rsidR="00BF4F5B" w:rsidRPr="00417308">
        <w:rPr>
          <w:rFonts w:ascii="Times New Roman" w:eastAsia="Times New Roman" w:hAnsi="Times New Roman" w:cs="Times New Roman"/>
          <w:color w:val="000000" w:themeColor="text1"/>
          <w:sz w:val="24"/>
          <w:szCs w:val="24"/>
          <w:lang w:eastAsia="fr-FR"/>
        </w:rPr>
        <w:t>8</w:t>
      </w:r>
      <w:r w:rsidR="00A6165A">
        <w:rPr>
          <w:rFonts w:ascii="Times New Roman" w:eastAsia="Times New Roman" w:hAnsi="Times New Roman" w:cs="Times New Roman"/>
          <w:color w:val="000000" w:themeColor="text1"/>
          <w:sz w:val="24"/>
          <w:szCs w:val="24"/>
          <w:lang w:eastAsia="fr-FR"/>
        </w:rPr>
        <w:t>3,3</w:t>
      </w:r>
      <w:r w:rsidR="00741C47" w:rsidRPr="00417308">
        <w:rPr>
          <w:rFonts w:ascii="Times New Roman" w:eastAsia="Times New Roman" w:hAnsi="Times New Roman" w:cs="Times New Roman"/>
          <w:color w:val="000000" w:themeColor="text1"/>
          <w:sz w:val="24"/>
          <w:szCs w:val="24"/>
          <w:lang w:eastAsia="fr-FR"/>
        </w:rPr>
        <w:t>%</w:t>
      </w:r>
      <w:r w:rsidR="00DE048F" w:rsidRPr="00417308">
        <w:rPr>
          <w:rFonts w:ascii="Times New Roman" w:eastAsia="Times New Roman" w:hAnsi="Times New Roman" w:cs="Times New Roman"/>
          <w:color w:val="000000" w:themeColor="text1"/>
          <w:sz w:val="24"/>
          <w:szCs w:val="24"/>
          <w:lang w:eastAsia="fr-FR"/>
        </w:rPr>
        <w:t xml:space="preserve"> </w:t>
      </w:r>
      <w:r w:rsidR="002A1529">
        <w:rPr>
          <w:rFonts w:ascii="Times New Roman" w:eastAsia="Times New Roman" w:hAnsi="Times New Roman" w:cs="Times New Roman"/>
          <w:color w:val="000000" w:themeColor="text1"/>
          <w:sz w:val="24"/>
          <w:szCs w:val="24"/>
          <w:lang w:eastAsia="fr-FR"/>
        </w:rPr>
        <w:t xml:space="preserve">contre </w:t>
      </w:r>
      <w:r w:rsidR="002A1529" w:rsidRPr="00417308">
        <w:rPr>
          <w:rFonts w:ascii="Times New Roman" w:eastAsia="Times New Roman" w:hAnsi="Times New Roman" w:cs="Times New Roman"/>
          <w:color w:val="000000" w:themeColor="text1"/>
          <w:sz w:val="24"/>
          <w:szCs w:val="24"/>
          <w:lang w:eastAsia="fr-FR"/>
        </w:rPr>
        <w:t>1</w:t>
      </w:r>
      <w:r w:rsidR="002A1529">
        <w:rPr>
          <w:rFonts w:ascii="Times New Roman" w:eastAsia="Times New Roman" w:hAnsi="Times New Roman" w:cs="Times New Roman"/>
          <w:color w:val="000000" w:themeColor="text1"/>
          <w:sz w:val="24"/>
          <w:szCs w:val="24"/>
          <w:lang w:eastAsia="fr-FR"/>
        </w:rPr>
        <w:t>6</w:t>
      </w:r>
      <w:r w:rsidR="002A1529" w:rsidRPr="00417308">
        <w:rPr>
          <w:rFonts w:ascii="Times New Roman" w:eastAsia="Times New Roman" w:hAnsi="Times New Roman" w:cs="Times New Roman"/>
          <w:color w:val="000000" w:themeColor="text1"/>
          <w:sz w:val="24"/>
          <w:szCs w:val="24"/>
          <w:lang w:eastAsia="fr-FR"/>
        </w:rPr>
        <w:t>,</w:t>
      </w:r>
      <w:r w:rsidR="002A1529">
        <w:rPr>
          <w:rFonts w:ascii="Times New Roman" w:eastAsia="Times New Roman" w:hAnsi="Times New Roman" w:cs="Times New Roman"/>
          <w:color w:val="000000" w:themeColor="text1"/>
          <w:sz w:val="24"/>
          <w:szCs w:val="24"/>
          <w:lang w:eastAsia="fr-FR"/>
        </w:rPr>
        <w:t>7</w:t>
      </w:r>
      <w:r w:rsidR="002A1529" w:rsidRPr="00417308">
        <w:rPr>
          <w:rFonts w:ascii="Times New Roman" w:eastAsia="Times New Roman" w:hAnsi="Times New Roman" w:cs="Times New Roman"/>
          <w:color w:val="000000" w:themeColor="text1"/>
          <w:sz w:val="24"/>
          <w:szCs w:val="24"/>
          <w:lang w:eastAsia="fr-FR"/>
        </w:rPr>
        <w:t xml:space="preserve">% </w:t>
      </w:r>
      <w:r w:rsidR="00DE048F" w:rsidRPr="00417308">
        <w:rPr>
          <w:rFonts w:ascii="Times New Roman" w:eastAsia="Times New Roman" w:hAnsi="Times New Roman" w:cs="Times New Roman"/>
          <w:color w:val="000000" w:themeColor="text1"/>
          <w:sz w:val="24"/>
          <w:szCs w:val="24"/>
          <w:lang w:eastAsia="fr-FR"/>
        </w:rPr>
        <w:t>des ménages</w:t>
      </w:r>
      <w:r w:rsidR="0071373B">
        <w:rPr>
          <w:rFonts w:ascii="Times New Roman" w:eastAsia="Times New Roman" w:hAnsi="Times New Roman" w:cs="Times New Roman"/>
          <w:color w:val="000000" w:themeColor="text1"/>
          <w:sz w:val="24"/>
          <w:szCs w:val="24"/>
          <w:lang w:eastAsia="fr-FR"/>
        </w:rPr>
        <w:t xml:space="preserve"> </w:t>
      </w:r>
      <w:r w:rsidR="004153FC">
        <w:rPr>
          <w:rFonts w:ascii="Times New Roman" w:eastAsia="Times New Roman" w:hAnsi="Times New Roman" w:cs="Times New Roman"/>
          <w:color w:val="000000" w:themeColor="text1"/>
          <w:sz w:val="24"/>
          <w:szCs w:val="24"/>
          <w:lang w:eastAsia="fr-FR"/>
        </w:rPr>
        <w:t xml:space="preserve">ne s’attendent pas à </w:t>
      </w:r>
      <w:r w:rsidR="00511C57" w:rsidRPr="00417308">
        <w:rPr>
          <w:rFonts w:ascii="Times New Roman" w:eastAsia="Times New Roman" w:hAnsi="Times New Roman" w:cs="Times New Roman"/>
          <w:color w:val="000000" w:themeColor="text1"/>
          <w:sz w:val="24"/>
          <w:szCs w:val="24"/>
          <w:lang w:eastAsia="fr-FR"/>
        </w:rPr>
        <w:t xml:space="preserve">épargner au cours des 12 prochains </w:t>
      </w:r>
      <w:r w:rsidR="0005706F" w:rsidRPr="00417308">
        <w:rPr>
          <w:rFonts w:ascii="Times New Roman" w:eastAsia="Times New Roman" w:hAnsi="Times New Roman" w:cs="Times New Roman"/>
          <w:color w:val="000000" w:themeColor="text1"/>
          <w:sz w:val="24"/>
          <w:szCs w:val="24"/>
          <w:lang w:eastAsia="fr-FR"/>
        </w:rPr>
        <w:t>mois</w:t>
      </w:r>
      <w:r w:rsidR="00507FF6" w:rsidRPr="00417308">
        <w:rPr>
          <w:rFonts w:ascii="Times New Roman" w:eastAsia="Times New Roman" w:hAnsi="Times New Roman" w:cs="Times New Roman"/>
          <w:color w:val="000000" w:themeColor="text1"/>
          <w:sz w:val="24"/>
          <w:szCs w:val="24"/>
          <w:lang w:eastAsia="fr-FR"/>
        </w:rPr>
        <w:t>.</w:t>
      </w:r>
      <w:r w:rsidR="004153FC">
        <w:rPr>
          <w:rFonts w:ascii="Times New Roman" w:eastAsia="Times New Roman" w:hAnsi="Times New Roman" w:cs="Times New Roman"/>
          <w:color w:val="000000" w:themeColor="text1"/>
          <w:sz w:val="24"/>
          <w:szCs w:val="24"/>
          <w:lang w:eastAsia="fr-FR"/>
        </w:rPr>
        <w:t xml:space="preserve"> Le </w:t>
      </w:r>
      <w:r w:rsidR="00EA79FB" w:rsidRPr="00EA79FB">
        <w:rPr>
          <w:rFonts w:ascii="Times New Roman" w:eastAsia="Times New Roman" w:hAnsi="Times New Roman" w:cs="Times New Roman"/>
          <w:color w:val="000000" w:themeColor="text1"/>
          <w:sz w:val="24"/>
          <w:szCs w:val="24"/>
          <w:lang w:eastAsia="fr-FR"/>
        </w:rPr>
        <w:t xml:space="preserve">solde d’opinion est resté </w:t>
      </w:r>
      <w:r w:rsidR="004153FC">
        <w:rPr>
          <w:rFonts w:ascii="Times New Roman" w:eastAsia="Times New Roman" w:hAnsi="Times New Roman" w:cs="Times New Roman"/>
          <w:color w:val="000000" w:themeColor="text1"/>
          <w:sz w:val="24"/>
          <w:szCs w:val="24"/>
          <w:lang w:eastAsia="fr-FR"/>
        </w:rPr>
        <w:t xml:space="preserve">ainsi </w:t>
      </w:r>
      <w:r w:rsidR="00EA79FB" w:rsidRPr="00EA79FB">
        <w:rPr>
          <w:rFonts w:ascii="Times New Roman" w:eastAsia="Times New Roman" w:hAnsi="Times New Roman" w:cs="Times New Roman"/>
          <w:color w:val="000000" w:themeColor="text1"/>
          <w:sz w:val="24"/>
          <w:szCs w:val="24"/>
          <w:lang w:eastAsia="fr-FR"/>
        </w:rPr>
        <w:t xml:space="preserve">négatif, à moins 66,6 points, après avoir été de moins 69,7 points le trimestre passé et de moins 67,4 points </w:t>
      </w:r>
      <w:r w:rsidR="004153FC">
        <w:rPr>
          <w:rFonts w:ascii="Times New Roman" w:eastAsia="Times New Roman" w:hAnsi="Times New Roman" w:cs="Times New Roman"/>
          <w:color w:val="000000" w:themeColor="text1"/>
          <w:sz w:val="24"/>
          <w:szCs w:val="24"/>
          <w:lang w:eastAsia="fr-FR"/>
        </w:rPr>
        <w:t>une année auparavant</w:t>
      </w:r>
      <w:r w:rsidR="00EA79FB" w:rsidRPr="00EA79FB">
        <w:rPr>
          <w:rFonts w:ascii="Times New Roman" w:eastAsia="Times New Roman" w:hAnsi="Times New Roman" w:cs="Times New Roman"/>
          <w:color w:val="000000" w:themeColor="text1"/>
          <w:sz w:val="24"/>
          <w:szCs w:val="24"/>
          <w:lang w:eastAsia="fr-FR"/>
        </w:rPr>
        <w:t>.</w:t>
      </w:r>
      <w:r w:rsidR="00BF4F5B" w:rsidRPr="00417308">
        <w:rPr>
          <w:rFonts w:ascii="Times New Roman" w:eastAsia="Times New Roman" w:hAnsi="Times New Roman" w:cs="Times New Roman"/>
          <w:color w:val="000000" w:themeColor="text1"/>
          <w:sz w:val="24"/>
          <w:szCs w:val="24"/>
          <w:lang w:eastAsia="fr-FR"/>
        </w:rPr>
        <w:t xml:space="preserve"> </w:t>
      </w:r>
    </w:p>
    <w:p w:rsidR="00047148" w:rsidRPr="00417308" w:rsidRDefault="00047148" w:rsidP="00972F22">
      <w:pPr>
        <w:pStyle w:val="Paragraphedeliste"/>
        <w:spacing w:before="240"/>
        <w:ind w:left="0"/>
        <w:jc w:val="both"/>
        <w:rPr>
          <w:rFonts w:ascii="Times New Roman" w:eastAsia="Times New Roman" w:hAnsi="Times New Roman" w:cs="Times New Roman"/>
          <w:color w:val="000000" w:themeColor="text1"/>
          <w:sz w:val="24"/>
          <w:szCs w:val="24"/>
          <w:lang w:eastAsia="fr-FR"/>
        </w:rPr>
      </w:pPr>
    </w:p>
    <w:p w:rsidR="00837999" w:rsidRPr="00417308" w:rsidRDefault="00C03391" w:rsidP="0071373B">
      <w:pPr>
        <w:pStyle w:val="Paragraphedeliste"/>
        <w:numPr>
          <w:ilvl w:val="0"/>
          <w:numId w:val="8"/>
        </w:numPr>
        <w:spacing w:before="240"/>
        <w:ind w:left="142" w:hanging="142"/>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0656CB" w:rsidRPr="00837999">
        <w:rPr>
          <w:rFonts w:ascii="Times New Roman" w:hAnsi="Times New Roman" w:cs="Times New Roman"/>
          <w:b/>
          <w:bCs/>
          <w:color w:val="000000" w:themeColor="text1"/>
          <w:sz w:val="24"/>
          <w:szCs w:val="24"/>
        </w:rPr>
        <w:t>Perception</w:t>
      </w:r>
      <w:r w:rsidR="00837999">
        <w:rPr>
          <w:rFonts w:ascii="Times New Roman" w:hAnsi="Times New Roman" w:cs="Times New Roman"/>
          <w:b/>
          <w:bCs/>
          <w:color w:val="000000" w:themeColor="text1"/>
          <w:sz w:val="24"/>
          <w:szCs w:val="24"/>
        </w:rPr>
        <w:t xml:space="preserve"> </w:t>
      </w:r>
      <w:r w:rsidR="00751780">
        <w:rPr>
          <w:rFonts w:ascii="Times New Roman" w:hAnsi="Times New Roman" w:cs="Times New Roman"/>
          <w:b/>
          <w:bCs/>
          <w:color w:val="000000" w:themeColor="text1"/>
          <w:sz w:val="24"/>
          <w:szCs w:val="24"/>
        </w:rPr>
        <w:t>d’une hausse</w:t>
      </w:r>
      <w:r w:rsidR="00837999">
        <w:rPr>
          <w:rFonts w:ascii="Times New Roman" w:hAnsi="Times New Roman" w:cs="Times New Roman"/>
          <w:b/>
          <w:bCs/>
          <w:color w:val="000000" w:themeColor="text1"/>
          <w:sz w:val="24"/>
          <w:szCs w:val="24"/>
        </w:rPr>
        <w:t xml:space="preserve"> des prix des produits alimentaires</w:t>
      </w:r>
    </w:p>
    <w:p w:rsidR="00EA79FB" w:rsidRPr="00EA79FB" w:rsidRDefault="00985AB3" w:rsidP="00B633E3">
      <w:pPr>
        <w:spacing w:before="240"/>
        <w:jc w:val="both"/>
        <w:rPr>
          <w:rFonts w:ascii="Times New Roman" w:hAnsi="Times New Roman" w:cs="Times New Roman"/>
          <w:color w:val="000000" w:themeColor="text1"/>
          <w:sz w:val="28"/>
          <w:szCs w:val="28"/>
        </w:rPr>
      </w:pPr>
      <w:r w:rsidRPr="00EA79FB">
        <w:rPr>
          <w:rFonts w:ascii="Times New Roman" w:hAnsi="Times New Roman" w:cs="Times New Roman"/>
          <w:color w:val="000000" w:themeColor="text1"/>
        </w:rPr>
        <w:t xml:space="preserve">Au </w:t>
      </w:r>
      <w:r w:rsidR="009E781A" w:rsidRPr="00EA79FB">
        <w:rPr>
          <w:rFonts w:ascii="Times New Roman" w:hAnsi="Times New Roman" w:cs="Times New Roman"/>
          <w:color w:val="000000" w:themeColor="text1"/>
        </w:rPr>
        <w:t>deuxième</w:t>
      </w:r>
      <w:r w:rsidR="00F430E6" w:rsidRPr="00EA79FB">
        <w:rPr>
          <w:rFonts w:ascii="Times New Roman" w:hAnsi="Times New Roman" w:cs="Times New Roman"/>
          <w:color w:val="000000" w:themeColor="text1"/>
        </w:rPr>
        <w:t xml:space="preserve"> trimestre</w:t>
      </w:r>
      <w:r w:rsidRPr="00EA79FB">
        <w:rPr>
          <w:rFonts w:ascii="Times New Roman" w:hAnsi="Times New Roman" w:cs="Times New Roman"/>
          <w:color w:val="000000" w:themeColor="text1"/>
        </w:rPr>
        <w:t xml:space="preserve">, </w:t>
      </w:r>
      <w:r w:rsidR="002364B4" w:rsidRPr="00EA79FB">
        <w:rPr>
          <w:rFonts w:ascii="Times New Roman" w:hAnsi="Times New Roman" w:cs="Times New Roman"/>
          <w:color w:val="000000" w:themeColor="text1"/>
        </w:rPr>
        <w:t>8</w:t>
      </w:r>
      <w:r w:rsidR="00BE1B70" w:rsidRPr="00EA79FB">
        <w:rPr>
          <w:rFonts w:ascii="Times New Roman" w:hAnsi="Times New Roman" w:cs="Times New Roman"/>
          <w:color w:val="000000" w:themeColor="text1"/>
        </w:rPr>
        <w:t>8</w:t>
      </w:r>
      <w:r w:rsidR="002364B4" w:rsidRPr="00EA79FB">
        <w:rPr>
          <w:rFonts w:ascii="Times New Roman" w:hAnsi="Times New Roman" w:cs="Times New Roman"/>
          <w:color w:val="000000" w:themeColor="text1"/>
        </w:rPr>
        <w:t>,</w:t>
      </w:r>
      <w:r w:rsidR="00BE1B70" w:rsidRPr="00EA79FB">
        <w:rPr>
          <w:rFonts w:ascii="Times New Roman" w:hAnsi="Times New Roman" w:cs="Times New Roman"/>
          <w:color w:val="000000" w:themeColor="text1"/>
        </w:rPr>
        <w:t>5</w:t>
      </w:r>
      <w:r w:rsidR="00563170" w:rsidRPr="00EA79FB">
        <w:rPr>
          <w:rFonts w:ascii="Times New Roman" w:hAnsi="Times New Roman" w:cs="Times New Roman"/>
          <w:color w:val="000000" w:themeColor="text1"/>
        </w:rPr>
        <w:t>%</w:t>
      </w:r>
      <w:r w:rsidR="00742AC3" w:rsidRPr="00EA79FB">
        <w:rPr>
          <w:rFonts w:ascii="Times New Roman" w:hAnsi="Times New Roman" w:cs="Times New Roman"/>
          <w:color w:val="000000" w:themeColor="text1"/>
        </w:rPr>
        <w:t xml:space="preserve"> </w:t>
      </w:r>
      <w:r w:rsidR="002A1529" w:rsidRPr="00EA79FB">
        <w:rPr>
          <w:rFonts w:ascii="Times New Roman" w:hAnsi="Times New Roman" w:cs="Times New Roman"/>
          <w:color w:val="000000" w:themeColor="text1"/>
        </w:rPr>
        <w:t xml:space="preserve">contre 0,6 % </w:t>
      </w:r>
      <w:r w:rsidR="00742AC3" w:rsidRPr="00EA79FB">
        <w:rPr>
          <w:rFonts w:ascii="Times New Roman" w:hAnsi="Times New Roman" w:cs="Times New Roman"/>
          <w:color w:val="000000" w:themeColor="text1"/>
        </w:rPr>
        <w:t>des ménages</w:t>
      </w:r>
      <w:r w:rsidR="00EA0137" w:rsidRPr="00EA79FB">
        <w:rPr>
          <w:rFonts w:ascii="Times New Roman" w:hAnsi="Times New Roman" w:cs="Times New Roman"/>
          <w:color w:val="000000" w:themeColor="text1"/>
        </w:rPr>
        <w:t xml:space="preserve"> estiment</w:t>
      </w:r>
      <w:r w:rsidR="00F656E6" w:rsidRPr="00EA79FB">
        <w:rPr>
          <w:rFonts w:ascii="Times New Roman" w:hAnsi="Times New Roman" w:cs="Times New Roman"/>
          <w:color w:val="000000" w:themeColor="text1"/>
        </w:rPr>
        <w:t xml:space="preserve"> </w:t>
      </w:r>
      <w:r w:rsidR="00A644C5" w:rsidRPr="00EA79FB">
        <w:rPr>
          <w:rFonts w:ascii="Times New Roman" w:hAnsi="Times New Roman" w:cs="Times New Roman"/>
          <w:color w:val="000000" w:themeColor="text1"/>
        </w:rPr>
        <w:t>que les prix des produits alimentaires ont augmenté</w:t>
      </w:r>
      <w:r w:rsidR="00DC1E47" w:rsidRPr="00EA79FB">
        <w:rPr>
          <w:rFonts w:ascii="Times New Roman" w:hAnsi="Times New Roman" w:cs="Times New Roman" w:hint="cs"/>
          <w:color w:val="000000" w:themeColor="text1"/>
          <w:rtl/>
        </w:rPr>
        <w:t xml:space="preserve"> </w:t>
      </w:r>
      <w:r w:rsidR="00EA0137" w:rsidRPr="00EA79FB">
        <w:rPr>
          <w:rFonts w:ascii="Times New Roman" w:hAnsi="Times New Roman" w:cs="Times New Roman"/>
          <w:color w:val="000000" w:themeColor="text1"/>
        </w:rPr>
        <w:t xml:space="preserve">au cours des </w:t>
      </w:r>
      <w:r w:rsidR="00E009EE" w:rsidRPr="00EA79FB">
        <w:rPr>
          <w:rFonts w:ascii="Times New Roman" w:hAnsi="Times New Roman" w:cs="Times New Roman"/>
          <w:color w:val="000000" w:themeColor="text1"/>
        </w:rPr>
        <w:t>12 derniers mois</w:t>
      </w:r>
      <w:r w:rsidR="00D77F27" w:rsidRPr="00EA79FB">
        <w:rPr>
          <w:rFonts w:ascii="Times New Roman" w:hAnsi="Times New Roman" w:cs="Times New Roman"/>
          <w:color w:val="000000" w:themeColor="text1"/>
        </w:rPr>
        <w:t xml:space="preserve">. </w:t>
      </w:r>
      <w:r w:rsidR="00EA79FB" w:rsidRPr="00EA79FB">
        <w:rPr>
          <w:rFonts w:ascii="Times New Roman" w:hAnsi="Times New Roman" w:cs="Times New Roman"/>
          <w:color w:val="000000" w:themeColor="text1"/>
        </w:rPr>
        <w:t>Le solde d’opinion</w:t>
      </w:r>
      <w:r w:rsidR="00C25F02">
        <w:rPr>
          <w:rFonts w:ascii="Times New Roman" w:hAnsi="Times New Roman" w:cs="Times New Roman"/>
          <w:color w:val="000000" w:themeColor="text1"/>
        </w:rPr>
        <w:t xml:space="preserve"> </w:t>
      </w:r>
      <w:r w:rsidR="00540BE7">
        <w:rPr>
          <w:rFonts w:ascii="Times New Roman" w:hAnsi="Times New Roman" w:cs="Times New Roman"/>
          <w:color w:val="000000" w:themeColor="text1"/>
        </w:rPr>
        <w:t xml:space="preserve">est </w:t>
      </w:r>
      <w:r w:rsidR="00807B58">
        <w:rPr>
          <w:rFonts w:ascii="Times New Roman" w:hAnsi="Times New Roman" w:cs="Times New Roman"/>
          <w:color w:val="000000" w:themeColor="text1"/>
        </w:rPr>
        <w:t xml:space="preserve">ainsi </w:t>
      </w:r>
      <w:r w:rsidR="004153FC">
        <w:rPr>
          <w:rFonts w:ascii="Times New Roman" w:hAnsi="Times New Roman" w:cs="Times New Roman"/>
          <w:color w:val="000000" w:themeColor="text1"/>
        </w:rPr>
        <w:t xml:space="preserve">resté </w:t>
      </w:r>
      <w:r w:rsidR="00540BE7">
        <w:rPr>
          <w:rFonts w:ascii="Times New Roman" w:hAnsi="Times New Roman" w:cs="Times New Roman"/>
          <w:color w:val="000000" w:themeColor="text1"/>
        </w:rPr>
        <w:t xml:space="preserve">toujours négatif, </w:t>
      </w:r>
      <w:r w:rsidR="00EA79FB" w:rsidRPr="00EA79FB">
        <w:rPr>
          <w:rFonts w:ascii="Times New Roman" w:hAnsi="Times New Roman" w:cs="Times New Roman"/>
          <w:color w:val="000000" w:themeColor="text1"/>
        </w:rPr>
        <w:t xml:space="preserve">à moins 87,9 points, après avoir été </w:t>
      </w:r>
      <w:r w:rsidR="00B633E3">
        <w:rPr>
          <w:rFonts w:ascii="Times New Roman" w:hAnsi="Times New Roman" w:cs="Times New Roman"/>
          <w:color w:val="000000" w:themeColor="text1"/>
        </w:rPr>
        <w:t>de</w:t>
      </w:r>
      <w:r w:rsidR="00EA79FB" w:rsidRPr="00EA79FB">
        <w:rPr>
          <w:rFonts w:ascii="Times New Roman" w:hAnsi="Times New Roman" w:cs="Times New Roman"/>
          <w:color w:val="000000" w:themeColor="text1"/>
        </w:rPr>
        <w:t xml:space="preserve"> moins 85,5 points le trimestre précédent et </w:t>
      </w:r>
      <w:r w:rsidR="00B633E3">
        <w:rPr>
          <w:rFonts w:ascii="Times New Roman" w:hAnsi="Times New Roman" w:cs="Times New Roman"/>
          <w:color w:val="000000" w:themeColor="text1"/>
        </w:rPr>
        <w:t>de</w:t>
      </w:r>
      <w:r w:rsidR="00EA79FB" w:rsidRPr="00EA79FB">
        <w:rPr>
          <w:rFonts w:ascii="Times New Roman" w:hAnsi="Times New Roman" w:cs="Times New Roman"/>
          <w:color w:val="000000" w:themeColor="text1"/>
        </w:rPr>
        <w:t xml:space="preserve"> moins 85,3 points une année auparavant.</w:t>
      </w:r>
    </w:p>
    <w:p w:rsidR="00BC5D13" w:rsidRPr="00B85F7C" w:rsidRDefault="004153FC" w:rsidP="00EC0C5E">
      <w:pPr>
        <w:spacing w:before="240"/>
        <w:jc w:val="both"/>
        <w:rPr>
          <w:rFonts w:ascii="Times New Roman" w:hAnsi="Times New Roman" w:cs="Times New Roman"/>
          <w:color w:val="000000" w:themeColor="text1"/>
        </w:rPr>
      </w:pPr>
      <w:r>
        <w:rPr>
          <w:rFonts w:ascii="Times New Roman" w:hAnsi="Times New Roman" w:cs="Times New Roman"/>
          <w:color w:val="000000" w:themeColor="text1"/>
        </w:rPr>
        <w:t xml:space="preserve">Au cours des 12 prochains mois, </w:t>
      </w:r>
      <w:r w:rsidR="00B633E3">
        <w:rPr>
          <w:rFonts w:ascii="Times New Roman" w:hAnsi="Times New Roman" w:cs="Times New Roman"/>
          <w:color w:val="000000" w:themeColor="text1"/>
        </w:rPr>
        <w:t>l</w:t>
      </w:r>
      <w:r>
        <w:rPr>
          <w:rFonts w:ascii="Times New Roman" w:hAnsi="Times New Roman" w:cs="Times New Roman"/>
          <w:color w:val="000000" w:themeColor="text1"/>
        </w:rPr>
        <w:t xml:space="preserve">es prix </w:t>
      </w:r>
      <w:r w:rsidR="00B633E3">
        <w:rPr>
          <w:rFonts w:ascii="Times New Roman" w:hAnsi="Times New Roman" w:cs="Times New Roman"/>
          <w:color w:val="000000" w:themeColor="text1"/>
        </w:rPr>
        <w:t xml:space="preserve">des produits alimentaires </w:t>
      </w:r>
      <w:r>
        <w:rPr>
          <w:rFonts w:ascii="Times New Roman" w:hAnsi="Times New Roman" w:cs="Times New Roman"/>
          <w:color w:val="000000" w:themeColor="text1"/>
        </w:rPr>
        <w:t xml:space="preserve">devraient continuer à augmenter selon </w:t>
      </w:r>
      <w:r w:rsidR="007516A5" w:rsidRPr="00B85F7C">
        <w:rPr>
          <w:rFonts w:ascii="Times New Roman" w:hAnsi="Times New Roman" w:cs="Times New Roman"/>
          <w:color w:val="000000" w:themeColor="text1"/>
        </w:rPr>
        <w:t>78,</w:t>
      </w:r>
      <w:r w:rsidR="001864E5">
        <w:rPr>
          <w:rFonts w:ascii="Times New Roman" w:hAnsi="Times New Roman" w:cs="Times New Roman"/>
          <w:color w:val="000000" w:themeColor="text1"/>
        </w:rPr>
        <w:t>3</w:t>
      </w:r>
      <w:r w:rsidR="002A7E5D" w:rsidRPr="00B85F7C">
        <w:rPr>
          <w:rFonts w:ascii="Times New Roman" w:hAnsi="Times New Roman" w:cs="Times New Roman"/>
          <w:color w:val="000000" w:themeColor="text1"/>
        </w:rPr>
        <w:t>%</w:t>
      </w:r>
      <w:r w:rsidR="002A1C56" w:rsidRPr="00B85F7C">
        <w:rPr>
          <w:rFonts w:ascii="Times New Roman" w:hAnsi="Times New Roman" w:cs="Times New Roman"/>
          <w:color w:val="000000" w:themeColor="text1"/>
        </w:rPr>
        <w:t xml:space="preserve"> </w:t>
      </w:r>
      <w:r w:rsidR="002A7E5D" w:rsidRPr="00B85F7C">
        <w:rPr>
          <w:rFonts w:ascii="Times New Roman" w:hAnsi="Times New Roman" w:cs="Times New Roman"/>
          <w:color w:val="000000" w:themeColor="text1"/>
        </w:rPr>
        <w:t>des ménages</w:t>
      </w:r>
      <w:r w:rsidR="00B633E3">
        <w:rPr>
          <w:rFonts w:ascii="Times New Roman" w:hAnsi="Times New Roman" w:cs="Times New Roman"/>
          <w:color w:val="000000" w:themeColor="text1"/>
        </w:rPr>
        <w:t xml:space="preserve">. Ils </w:t>
      </w:r>
      <w:r>
        <w:rPr>
          <w:rFonts w:ascii="Times New Roman" w:hAnsi="Times New Roman" w:cs="Times New Roman"/>
          <w:color w:val="000000" w:themeColor="text1"/>
        </w:rPr>
        <w:t xml:space="preserve">resteraient au même niveau selon </w:t>
      </w:r>
      <w:r w:rsidR="007516A5" w:rsidRPr="00B85F7C">
        <w:rPr>
          <w:rFonts w:ascii="Times New Roman" w:hAnsi="Times New Roman" w:cs="Times New Roman"/>
          <w:color w:val="000000" w:themeColor="text1"/>
        </w:rPr>
        <w:t>20,</w:t>
      </w:r>
      <w:r w:rsidR="00EC0C5E">
        <w:rPr>
          <w:rFonts w:ascii="Times New Roman" w:hAnsi="Times New Roman" w:cs="Times New Roman"/>
          <w:color w:val="000000" w:themeColor="text1"/>
        </w:rPr>
        <w:t>7</w:t>
      </w:r>
      <w:r w:rsidR="00985AB3" w:rsidRPr="00B85F7C">
        <w:rPr>
          <w:rFonts w:ascii="Times New Roman" w:hAnsi="Times New Roman" w:cs="Times New Roman"/>
          <w:color w:val="000000" w:themeColor="text1"/>
        </w:rPr>
        <w:t>%</w:t>
      </w:r>
      <w:r w:rsidR="00B633E3">
        <w:rPr>
          <w:rFonts w:ascii="Times New Roman" w:hAnsi="Times New Roman" w:cs="Times New Roman"/>
          <w:color w:val="000000" w:themeColor="text1"/>
        </w:rPr>
        <w:t xml:space="preserve"> et devraient plutôt baisser pour 1%</w:t>
      </w:r>
      <w:r w:rsidR="008D3987" w:rsidRPr="00B85F7C">
        <w:rPr>
          <w:rFonts w:ascii="Times New Roman" w:hAnsi="Times New Roman" w:cs="Times New Roman"/>
          <w:color w:val="000000" w:themeColor="text1"/>
        </w:rPr>
        <w:t xml:space="preserve">. </w:t>
      </w:r>
      <w:r w:rsidR="00540BE7">
        <w:rPr>
          <w:rFonts w:ascii="Times New Roman" w:hAnsi="Times New Roman" w:cs="Times New Roman"/>
          <w:color w:val="000000" w:themeColor="text1"/>
        </w:rPr>
        <w:t>L</w:t>
      </w:r>
      <w:r w:rsidR="00376AC0" w:rsidRPr="00B85F7C">
        <w:rPr>
          <w:rFonts w:ascii="Times New Roman" w:hAnsi="Times New Roman" w:cs="Times New Roman"/>
          <w:color w:val="000000" w:themeColor="text1"/>
        </w:rPr>
        <w:t xml:space="preserve">e </w:t>
      </w:r>
      <w:r w:rsidR="00EA0137" w:rsidRPr="00B85F7C">
        <w:rPr>
          <w:rFonts w:ascii="Times New Roman" w:hAnsi="Times New Roman" w:cs="Times New Roman"/>
          <w:color w:val="000000" w:themeColor="text1"/>
        </w:rPr>
        <w:t>solde d’opinion</w:t>
      </w:r>
      <w:r w:rsidR="00851DBD" w:rsidRPr="00B85F7C">
        <w:rPr>
          <w:rFonts w:ascii="Times New Roman" w:hAnsi="Times New Roman" w:cs="Times New Roman"/>
          <w:color w:val="000000" w:themeColor="text1"/>
        </w:rPr>
        <w:t xml:space="preserve"> </w:t>
      </w:r>
      <w:r w:rsidR="002A1529" w:rsidRPr="00B85F7C">
        <w:rPr>
          <w:rFonts w:ascii="Times New Roman" w:hAnsi="Times New Roman" w:cs="Times New Roman"/>
          <w:color w:val="000000" w:themeColor="text1"/>
        </w:rPr>
        <w:t xml:space="preserve">est </w:t>
      </w:r>
      <w:r w:rsidR="00807B58">
        <w:rPr>
          <w:rFonts w:ascii="Times New Roman" w:hAnsi="Times New Roman" w:cs="Times New Roman"/>
          <w:color w:val="000000" w:themeColor="text1"/>
        </w:rPr>
        <w:t>ainsi</w:t>
      </w:r>
      <w:r w:rsidR="00807B58" w:rsidRPr="00B85F7C">
        <w:rPr>
          <w:rFonts w:ascii="Times New Roman" w:hAnsi="Times New Roman" w:cs="Times New Roman"/>
          <w:color w:val="000000" w:themeColor="text1"/>
        </w:rPr>
        <w:t xml:space="preserve"> </w:t>
      </w:r>
      <w:r w:rsidR="002A1529" w:rsidRPr="00B85F7C">
        <w:rPr>
          <w:rFonts w:ascii="Times New Roman" w:hAnsi="Times New Roman" w:cs="Times New Roman"/>
          <w:color w:val="000000" w:themeColor="text1"/>
        </w:rPr>
        <w:t>resté</w:t>
      </w:r>
      <w:r w:rsidR="00807B58">
        <w:rPr>
          <w:rFonts w:ascii="Times New Roman" w:hAnsi="Times New Roman" w:cs="Times New Roman"/>
          <w:color w:val="000000" w:themeColor="text1"/>
        </w:rPr>
        <w:t xml:space="preserve"> </w:t>
      </w:r>
      <w:r w:rsidR="002A1529" w:rsidRPr="00B85F7C">
        <w:rPr>
          <w:rFonts w:ascii="Times New Roman" w:hAnsi="Times New Roman" w:cs="Times New Roman"/>
          <w:color w:val="000000" w:themeColor="text1"/>
        </w:rPr>
        <w:t>négatif, à</w:t>
      </w:r>
      <w:r w:rsidR="00EA79FB">
        <w:rPr>
          <w:rFonts w:ascii="Times New Roman" w:hAnsi="Times New Roman" w:cs="Times New Roman"/>
          <w:color w:val="000000" w:themeColor="text1"/>
        </w:rPr>
        <w:t xml:space="preserve"> moins </w:t>
      </w:r>
      <w:r w:rsidR="00DF62C2" w:rsidRPr="00B85F7C">
        <w:rPr>
          <w:rFonts w:ascii="Times New Roman" w:hAnsi="Times New Roman" w:cs="Times New Roman"/>
          <w:color w:val="000000" w:themeColor="text1"/>
        </w:rPr>
        <w:t>7</w:t>
      </w:r>
      <w:r w:rsidR="00593133">
        <w:rPr>
          <w:rFonts w:ascii="Times New Roman" w:hAnsi="Times New Roman" w:cs="Times New Roman"/>
          <w:color w:val="000000" w:themeColor="text1"/>
        </w:rPr>
        <w:t>7</w:t>
      </w:r>
      <w:r w:rsidR="00837999" w:rsidRPr="00B85F7C">
        <w:rPr>
          <w:rFonts w:ascii="Times New Roman" w:hAnsi="Times New Roman" w:cs="Times New Roman"/>
          <w:color w:val="000000" w:themeColor="text1"/>
        </w:rPr>
        <w:t>,</w:t>
      </w:r>
      <w:r w:rsidR="00593133">
        <w:rPr>
          <w:rFonts w:ascii="Times New Roman" w:hAnsi="Times New Roman" w:cs="Times New Roman"/>
          <w:color w:val="000000" w:themeColor="text1"/>
        </w:rPr>
        <w:t>3</w:t>
      </w:r>
      <w:r w:rsidR="00511BC9" w:rsidRPr="00B85F7C">
        <w:rPr>
          <w:rFonts w:ascii="Times New Roman" w:hAnsi="Times New Roman" w:cs="Times New Roman"/>
          <w:color w:val="000000" w:themeColor="text1"/>
        </w:rPr>
        <w:t xml:space="preserve"> points</w:t>
      </w:r>
      <w:r w:rsidR="00540BE7">
        <w:rPr>
          <w:rFonts w:ascii="Times New Roman" w:hAnsi="Times New Roman" w:cs="Times New Roman"/>
          <w:color w:val="000000" w:themeColor="text1"/>
        </w:rPr>
        <w:t>, se situant toujours en d</w:t>
      </w:r>
      <w:r w:rsidR="00B633E3">
        <w:rPr>
          <w:rFonts w:ascii="Times New Roman" w:hAnsi="Times New Roman" w:cs="Times New Roman"/>
          <w:color w:val="000000" w:themeColor="text1"/>
        </w:rPr>
        <w:t>eçà</w:t>
      </w:r>
      <w:r w:rsidR="00540BE7">
        <w:rPr>
          <w:rFonts w:ascii="Times New Roman" w:hAnsi="Times New Roman" w:cs="Times New Roman"/>
          <w:color w:val="000000" w:themeColor="text1"/>
        </w:rPr>
        <w:t xml:space="preserve"> de</w:t>
      </w:r>
      <w:r>
        <w:rPr>
          <w:rFonts w:ascii="Times New Roman" w:hAnsi="Times New Roman" w:cs="Times New Roman"/>
          <w:color w:val="000000" w:themeColor="text1"/>
        </w:rPr>
        <w:t>s</w:t>
      </w:r>
      <w:r w:rsidR="00540BE7" w:rsidRPr="00B85F7C">
        <w:rPr>
          <w:rFonts w:ascii="Times New Roman" w:hAnsi="Times New Roman" w:cs="Times New Roman"/>
          <w:color w:val="000000" w:themeColor="text1"/>
        </w:rPr>
        <w:t xml:space="preserve"> </w:t>
      </w:r>
      <w:r w:rsidR="00540BE7">
        <w:rPr>
          <w:rFonts w:ascii="Times New Roman" w:hAnsi="Times New Roman" w:cs="Times New Roman"/>
          <w:color w:val="000000" w:themeColor="text1"/>
        </w:rPr>
        <w:t xml:space="preserve">moins </w:t>
      </w:r>
      <w:r w:rsidR="00540BE7" w:rsidRPr="00B85F7C">
        <w:rPr>
          <w:rFonts w:ascii="Times New Roman" w:hAnsi="Times New Roman" w:cs="Times New Roman"/>
          <w:color w:val="000000" w:themeColor="text1"/>
        </w:rPr>
        <w:t>7</w:t>
      </w:r>
      <w:r w:rsidR="00593133">
        <w:rPr>
          <w:rFonts w:ascii="Times New Roman" w:hAnsi="Times New Roman" w:cs="Times New Roman"/>
          <w:color w:val="000000" w:themeColor="text1"/>
        </w:rPr>
        <w:t>5</w:t>
      </w:r>
      <w:r w:rsidR="00540BE7" w:rsidRPr="00B85F7C">
        <w:rPr>
          <w:rFonts w:ascii="Times New Roman" w:hAnsi="Times New Roman" w:cs="Times New Roman"/>
          <w:color w:val="000000" w:themeColor="text1"/>
        </w:rPr>
        <w:t>,</w:t>
      </w:r>
      <w:r w:rsidR="00593133">
        <w:rPr>
          <w:rFonts w:ascii="Times New Roman" w:hAnsi="Times New Roman" w:cs="Times New Roman"/>
          <w:color w:val="000000" w:themeColor="text1"/>
        </w:rPr>
        <w:t>6</w:t>
      </w:r>
      <w:r w:rsidR="00540BE7" w:rsidRPr="00B85F7C">
        <w:rPr>
          <w:rFonts w:ascii="Times New Roman" w:hAnsi="Times New Roman" w:cs="Times New Roman"/>
          <w:color w:val="000000" w:themeColor="text1"/>
        </w:rPr>
        <w:t xml:space="preserve"> points </w:t>
      </w:r>
      <w:r w:rsidR="00540BE7">
        <w:rPr>
          <w:rFonts w:ascii="Times New Roman" w:hAnsi="Times New Roman" w:cs="Times New Roman"/>
          <w:color w:val="000000" w:themeColor="text1"/>
        </w:rPr>
        <w:t>enregistré</w:t>
      </w:r>
      <w:r>
        <w:rPr>
          <w:rFonts w:ascii="Times New Roman" w:hAnsi="Times New Roman" w:cs="Times New Roman"/>
          <w:color w:val="000000" w:themeColor="text1"/>
        </w:rPr>
        <w:t>s</w:t>
      </w:r>
      <w:r w:rsidR="002A1529" w:rsidRPr="00B85F7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une année </w:t>
      </w:r>
      <w:r w:rsidR="00FA52FF">
        <w:rPr>
          <w:rFonts w:ascii="Times New Roman" w:hAnsi="Times New Roman" w:cs="Times New Roman"/>
          <w:color w:val="000000" w:themeColor="text1"/>
        </w:rPr>
        <w:t>auparavant</w:t>
      </w:r>
      <w:r w:rsidR="00540BE7">
        <w:rPr>
          <w:rFonts w:ascii="Times New Roman" w:hAnsi="Times New Roman" w:cs="Times New Roman"/>
          <w:color w:val="000000" w:themeColor="text1"/>
        </w:rPr>
        <w:t>.</w:t>
      </w:r>
      <w:r w:rsidR="00851DBD" w:rsidRPr="00B85F7C">
        <w:rPr>
          <w:rFonts w:ascii="Times New Roman" w:hAnsi="Times New Roman" w:cs="Times New Roman"/>
          <w:color w:val="000000" w:themeColor="text1"/>
        </w:rPr>
        <w:t xml:space="preserve"> </w:t>
      </w:r>
    </w:p>
    <w:p w:rsidR="00DF62C2" w:rsidRPr="005D0680" w:rsidRDefault="0069760B" w:rsidP="00047148">
      <w:pPr>
        <w:widowControl/>
        <w:spacing w:line="360" w:lineRule="auto"/>
        <w:jc w:val="both"/>
        <w:rPr>
          <w:rFonts w:ascii="Times New Roman" w:hAnsi="Times New Roman" w:cs="Times New Roman"/>
          <w:color w:val="000000" w:themeColor="text1"/>
        </w:rPr>
      </w:pPr>
      <w:r w:rsidRPr="005D0680">
        <w:rPr>
          <w:rFonts w:ascii="Times New Roman" w:hAnsi="Times New Roman" w:cs="Times New Roman"/>
          <w:b/>
          <w:bCs/>
          <w:color w:val="000000" w:themeColor="text1"/>
        </w:rPr>
        <w:t xml:space="preserve"> </w:t>
      </w:r>
      <w:r w:rsidR="00B57ECB" w:rsidRPr="005D0680">
        <w:rPr>
          <w:rFonts w:ascii="Times New Roman" w:hAnsi="Times New Roman" w:cs="Times New Roman"/>
          <w:color w:val="000000" w:themeColor="text1"/>
        </w:rPr>
        <w:t xml:space="preserve">              </w:t>
      </w:r>
      <w:r w:rsidRPr="005D0680">
        <w:rPr>
          <w:rFonts w:ascii="Times New Roman" w:hAnsi="Times New Roman" w:cs="Times New Roman"/>
          <w:color w:val="000000" w:themeColor="text1"/>
        </w:rPr>
        <w:t xml:space="preserve"> </w:t>
      </w:r>
      <w:r w:rsidR="00B57ECB" w:rsidRPr="005D0680">
        <w:rPr>
          <w:rFonts w:ascii="Times New Roman" w:hAnsi="Times New Roman" w:cs="Times New Roman"/>
          <w:color w:val="000000" w:themeColor="text1"/>
        </w:rPr>
        <w:t xml:space="preserve">   </w:t>
      </w:r>
    </w:p>
    <w:p w:rsidR="006013E0" w:rsidRDefault="009141A8" w:rsidP="00B57EC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br w:type="textWrapping" w:clear="all"/>
      </w:r>
      <w:r w:rsidRPr="009141A8">
        <w:rPr>
          <w:rFonts w:ascii="Times New Roman" w:hAnsi="Times New Roman" w:cs="Times New Roman"/>
          <w:noProof/>
          <w:color w:val="000000" w:themeColor="text1"/>
        </w:rPr>
        <w:lastRenderedPageBreak/>
        <w:drawing>
          <wp:inline distT="0" distB="0" distL="0" distR="0">
            <wp:extent cx="5972810" cy="2990850"/>
            <wp:effectExtent l="19050" t="0" r="2794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2318" w:rsidRPr="00C706A5" w:rsidRDefault="00C72318" w:rsidP="00B57ECB">
      <w:pPr>
        <w:spacing w:line="360" w:lineRule="auto"/>
        <w:rPr>
          <w:rFonts w:ascii="Times New Roman" w:hAnsi="Times New Roman" w:cs="Times New Roman"/>
          <w:color w:val="000000" w:themeColor="text1"/>
        </w:rPr>
      </w:pPr>
      <w:r w:rsidRPr="00C706A5">
        <w:rPr>
          <w:rFonts w:ascii="Times New Roman" w:hAnsi="Times New Roman" w:cs="Times New Roman"/>
          <w:color w:val="000000" w:themeColor="text1"/>
        </w:rPr>
        <w:t>Ci-joint  les détails des différents indicateurs et un rappel des principaux concepts.</w:t>
      </w:r>
    </w:p>
    <w:p w:rsidR="003A0725" w:rsidRPr="00C706A5" w:rsidRDefault="003A0725" w:rsidP="003A0725">
      <w:pPr>
        <w:spacing w:line="360" w:lineRule="auto"/>
        <w:jc w:val="both"/>
        <w:rPr>
          <w:rFonts w:ascii="Times New Roman" w:hAnsi="Times New Roman" w:cs="Times New Roman"/>
          <w:color w:val="000000" w:themeColor="text1"/>
        </w:rPr>
      </w:pPr>
    </w:p>
    <w:tbl>
      <w:tblPr>
        <w:tblpPr w:leftFromText="141" w:rightFromText="141" w:vertAnchor="text" w:horzAnchor="margin" w:tblpY="289"/>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02"/>
      </w:tblGrid>
      <w:tr w:rsidR="003A0725" w:rsidRPr="00C706A5" w:rsidTr="003A0725">
        <w:trPr>
          <w:trHeight w:val="6662"/>
        </w:trPr>
        <w:tc>
          <w:tcPr>
            <w:tcW w:w="9802" w:type="dxa"/>
          </w:tcPr>
          <w:p w:rsidR="00C51B7C" w:rsidRPr="00C51B7C" w:rsidRDefault="00C51B7C" w:rsidP="00C51B7C">
            <w:pPr>
              <w:pStyle w:val="Paragraphedeliste"/>
              <w:jc w:val="both"/>
              <w:rPr>
                <w:rFonts w:ascii="Book Antiqua" w:hAnsi="Book Antiqua" w:cs="Times New Roman"/>
                <w:color w:val="000000" w:themeColor="text1"/>
                <w:sz w:val="20"/>
                <w:szCs w:val="20"/>
              </w:rPr>
            </w:pPr>
          </w:p>
          <w:p w:rsidR="00C51B7C" w:rsidRPr="00C51B7C" w:rsidRDefault="00C51B7C" w:rsidP="00C51B7C">
            <w:pPr>
              <w:pStyle w:val="Paragraphedeliste"/>
              <w:numPr>
                <w:ilvl w:val="0"/>
                <w:numId w:val="20"/>
              </w:numPr>
              <w:jc w:val="both"/>
              <w:rPr>
                <w:rFonts w:ascii="Book Antiqua" w:hAnsi="Book Antiqua" w:cs="Times New Roman"/>
                <w:color w:val="000000" w:themeColor="text1"/>
                <w:sz w:val="20"/>
                <w:szCs w:val="20"/>
              </w:rPr>
            </w:pPr>
            <w:r w:rsidRPr="00C51B7C">
              <w:rPr>
                <w:rFonts w:ascii="Book Antiqua" w:hAnsi="Book Antiqua" w:cs="Times New Roman"/>
                <w:color w:val="000000" w:themeColor="text1"/>
                <w:sz w:val="20"/>
                <w:szCs w:val="20"/>
              </w:rPr>
              <w:t>Les évolutions des composantes de l’ICM et des autres indicateurs de l’enquête</w:t>
            </w:r>
            <w:r>
              <w:rPr>
                <w:rFonts w:ascii="Book Antiqua" w:hAnsi="Book Antiqua" w:cs="Times New Roman"/>
                <w:color w:val="000000" w:themeColor="text1"/>
                <w:sz w:val="20"/>
                <w:szCs w:val="20"/>
              </w:rPr>
              <w:t>,</w:t>
            </w:r>
            <w:r w:rsidRPr="00C51B7C">
              <w:rPr>
                <w:rFonts w:ascii="Book Antiqua" w:hAnsi="Book Antiqua" w:cs="Times New Roman"/>
                <w:color w:val="000000" w:themeColor="text1"/>
                <w:sz w:val="20"/>
                <w:szCs w:val="20"/>
              </w:rPr>
              <w:t xml:space="preserve"> illustrées dans les graphiques</w:t>
            </w:r>
            <w:r>
              <w:rPr>
                <w:rFonts w:ascii="Book Antiqua" w:hAnsi="Book Antiqua" w:cs="Times New Roman"/>
                <w:color w:val="000000" w:themeColor="text1"/>
                <w:sz w:val="20"/>
                <w:szCs w:val="20"/>
              </w:rPr>
              <w:t>,</w:t>
            </w:r>
            <w:r w:rsidRPr="00C51B7C">
              <w:rPr>
                <w:rFonts w:ascii="Book Antiqua" w:hAnsi="Book Antiqua" w:cs="Times New Roman"/>
                <w:color w:val="000000" w:themeColor="text1"/>
                <w:sz w:val="20"/>
                <w:szCs w:val="20"/>
              </w:rPr>
              <w:t xml:space="preserve"> sont exprimées en termes de soldes d'opinions</w:t>
            </w:r>
          </w:p>
          <w:p w:rsidR="003A0725" w:rsidRPr="00C706A5" w:rsidRDefault="003A0725" w:rsidP="003C1653">
            <w:pPr>
              <w:spacing w:line="276" w:lineRule="auto"/>
              <w:jc w:val="both"/>
              <w:rPr>
                <w:rFonts w:ascii="Book Antiqua" w:hAnsi="Book Antiqua" w:cs="Times New Roman"/>
                <w:color w:val="000000" w:themeColor="text1"/>
                <w:sz w:val="20"/>
                <w:szCs w:val="20"/>
              </w:rPr>
            </w:pPr>
            <w:r w:rsidRPr="00C706A5">
              <w:rPr>
                <w:rFonts w:ascii="Times New Roman" w:hAnsi="Times New Roman" w:cs="Times New Roman"/>
                <w:color w:val="000000" w:themeColor="text1"/>
              </w:rPr>
              <w:br w:type="page"/>
            </w:r>
            <w:r w:rsidRPr="00C706A5">
              <w:rPr>
                <w:rFonts w:ascii="Book Antiqua" w:hAnsi="Book Antiqua" w:cs="Times New Roman"/>
                <w:color w:val="000000" w:themeColor="text1"/>
                <w:sz w:val="20"/>
                <w:szCs w:val="20"/>
              </w:rPr>
              <w:t xml:space="preserve"> Rappelons</w:t>
            </w:r>
            <w:r w:rsidR="00C51B7C">
              <w:rPr>
                <w:rFonts w:ascii="Book Antiqua" w:hAnsi="Book Antiqua" w:cs="Times New Roman"/>
                <w:color w:val="000000" w:themeColor="text1"/>
                <w:sz w:val="20"/>
                <w:szCs w:val="20"/>
              </w:rPr>
              <w:t xml:space="preserve">, par ailleurs, </w:t>
            </w:r>
            <w:r w:rsidRPr="00C706A5">
              <w:rPr>
                <w:rFonts w:ascii="Book Antiqua" w:hAnsi="Book Antiqua" w:cs="Times New Roman"/>
                <w:color w:val="000000" w:themeColor="text1"/>
                <w:sz w:val="20"/>
                <w:szCs w:val="20"/>
              </w:rPr>
              <w:t xml:space="preserve"> que :</w:t>
            </w:r>
          </w:p>
          <w:p w:rsidR="003A0725" w:rsidRPr="00C706A5" w:rsidRDefault="003A0725" w:rsidP="003C1653">
            <w:pPr>
              <w:pStyle w:val="Paragraphedeliste"/>
              <w:numPr>
                <w:ilvl w:val="0"/>
                <w:numId w:val="1"/>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 xml:space="preserve">les questions abordées sont qualitatives à 3 modalités (amélioration, stagnation, détérioration). Les  évolutions se réfèrent à une période de 12 mois. Les résultats sont présentés sous forme  de soldes (différence entre les pourcentages des réponses « amélioration » et  des réponses «détérioration»). Le niveau des soldes n’est pas directement interprétable, c’est leur évolution qui est analysée. </w:t>
            </w:r>
          </w:p>
          <w:p w:rsidR="003A0725" w:rsidRPr="00C706A5" w:rsidRDefault="003A0725" w:rsidP="003C1653">
            <w:pPr>
              <w:pStyle w:val="Paragraphedeliste"/>
              <w:numPr>
                <w:ilvl w:val="0"/>
                <w:numId w:val="1"/>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L’Indice de Confiance des Ménages (ICM) est calculé sur la base de sept indicateurs, quatre relatifs à la situation générale et trois à la situation propre du ménage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passée du niveau de vie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perspective d'évolution du niveau de vie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perspective d'évolution du nombre de chômeurs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opportunité d'achat de biens durables;</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situation financière actuelle des ménages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passée de la situation financière des ménages ;</w:t>
            </w:r>
          </w:p>
          <w:p w:rsidR="003A0725" w:rsidRPr="00C706A5" w:rsidRDefault="003A0725" w:rsidP="003C1653">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future de la situation financière des ménages.</w:t>
            </w:r>
          </w:p>
          <w:p w:rsidR="003A0725" w:rsidRPr="00C706A5" w:rsidRDefault="003A0725" w:rsidP="003C1653">
            <w:pPr>
              <w:pStyle w:val="Paragraphedeliste"/>
              <w:numPr>
                <w:ilvl w:val="0"/>
                <w:numId w:val="2"/>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L’ICM est la  moyenne arithmétique simple des  soldes des 7 indicateurs, augmentée de 100, sa valeur varie ainsi de 0 à 200.</w:t>
            </w:r>
          </w:p>
          <w:p w:rsidR="003A0725" w:rsidRDefault="003A0725" w:rsidP="00837999">
            <w:pPr>
              <w:pStyle w:val="Paragraphedeliste"/>
              <w:numPr>
                <w:ilvl w:val="0"/>
                <w:numId w:val="2"/>
              </w:numPr>
              <w:jc w:val="both"/>
              <w:rPr>
                <w:rFonts w:ascii="Book Antiqua" w:hAnsi="Book Antiqua" w:cs="Times New Roman"/>
                <w:color w:val="000000" w:themeColor="text1"/>
                <w:sz w:val="20"/>
                <w:szCs w:val="20"/>
              </w:rPr>
            </w:pPr>
            <w:r w:rsidRPr="00DA3867">
              <w:rPr>
                <w:rFonts w:ascii="Book Antiqua" w:hAnsi="Book Antiqua" w:cs="Times New Roman"/>
                <w:color w:val="000000" w:themeColor="text1"/>
                <w:sz w:val="20"/>
                <w:szCs w:val="20"/>
              </w:rPr>
              <w:t xml:space="preserve">Des tests statistiques de Fisher </w:t>
            </w:r>
            <w:r>
              <w:rPr>
                <w:rFonts w:ascii="Book Antiqua" w:hAnsi="Book Antiqua" w:cs="Times New Roman"/>
                <w:color w:val="000000" w:themeColor="text1"/>
                <w:sz w:val="20"/>
                <w:szCs w:val="20"/>
              </w:rPr>
              <w:t>sur l</w:t>
            </w:r>
            <w:r w:rsidRPr="0074699A">
              <w:rPr>
                <w:rFonts w:ascii="Book Antiqua" w:hAnsi="Book Antiqua" w:cs="Times New Roman"/>
                <w:color w:val="000000" w:themeColor="text1"/>
                <w:sz w:val="20"/>
                <w:szCs w:val="20"/>
              </w:rPr>
              <w:t>a série de l’indice de confiance des ménages</w:t>
            </w:r>
            <w:r>
              <w:rPr>
                <w:rFonts w:ascii="Book Antiqua" w:hAnsi="Book Antiqua" w:cs="Times New Roman"/>
                <w:color w:val="000000" w:themeColor="text1"/>
                <w:sz w:val="20"/>
                <w:szCs w:val="20"/>
              </w:rPr>
              <w:t xml:space="preserve"> durant </w:t>
            </w:r>
            <w:r w:rsidRPr="0074699A">
              <w:rPr>
                <w:rFonts w:ascii="Book Antiqua" w:hAnsi="Book Antiqua" w:cs="Times New Roman"/>
                <w:color w:val="000000" w:themeColor="text1"/>
                <w:sz w:val="20"/>
                <w:szCs w:val="20"/>
              </w:rPr>
              <w:t xml:space="preserve"> la période allant de 2008 à 201</w:t>
            </w:r>
            <w:r w:rsidR="00837999">
              <w:rPr>
                <w:rFonts w:ascii="Book Antiqua" w:hAnsi="Book Antiqua" w:cs="Times New Roman"/>
                <w:color w:val="000000" w:themeColor="text1"/>
                <w:sz w:val="20"/>
                <w:szCs w:val="20"/>
              </w:rPr>
              <w:t>5</w:t>
            </w:r>
            <w:r w:rsidRPr="0074699A">
              <w:rPr>
                <w:rFonts w:ascii="Book Antiqua" w:hAnsi="Book Antiqua" w:cs="Times New Roman"/>
                <w:color w:val="000000" w:themeColor="text1"/>
                <w:sz w:val="20"/>
                <w:szCs w:val="20"/>
              </w:rPr>
              <w:t>, ont confirmé l’absence des variations saisonnières stables et mobiles</w:t>
            </w:r>
            <w:r>
              <w:rPr>
                <w:rFonts w:ascii="Book Antiqua" w:hAnsi="Book Antiqua" w:cs="Times New Roman"/>
                <w:color w:val="000000" w:themeColor="text1"/>
                <w:sz w:val="20"/>
                <w:szCs w:val="20"/>
              </w:rPr>
              <w:t>.</w:t>
            </w:r>
            <w:r w:rsidRPr="0074699A">
              <w:rPr>
                <w:rFonts w:ascii="Book Antiqua" w:hAnsi="Book Antiqua" w:cs="Times New Roman"/>
                <w:color w:val="000000" w:themeColor="text1"/>
                <w:sz w:val="20"/>
                <w:szCs w:val="20"/>
              </w:rPr>
              <w:t xml:space="preserve"> </w:t>
            </w:r>
          </w:p>
          <w:p w:rsidR="003A0725" w:rsidRPr="00C51B7C" w:rsidRDefault="003A0725" w:rsidP="00C51B7C">
            <w:pPr>
              <w:ind w:left="360"/>
              <w:jc w:val="both"/>
              <w:rPr>
                <w:rFonts w:ascii="Book Antiqua" w:hAnsi="Book Antiqua" w:cs="Times New Roman"/>
                <w:b/>
                <w:bCs/>
                <w:color w:val="000000" w:themeColor="text1"/>
              </w:rPr>
            </w:pPr>
            <w:r w:rsidRPr="00C51B7C">
              <w:rPr>
                <w:rFonts w:ascii="Book Antiqua" w:hAnsi="Book Antiqua" w:cs="Times New Roman"/>
                <w:color w:val="000000" w:themeColor="text1"/>
                <w:sz w:val="20"/>
                <w:szCs w:val="20"/>
              </w:rPr>
              <w:t xml:space="preserve">Pour plus d’informations sur les aspects méthodologiques de cette enquête, consulter le site web du HCP au  </w:t>
            </w:r>
            <w:hyperlink r:id="rId14" w:history="1">
              <w:r w:rsidRPr="00C51B7C">
                <w:rPr>
                  <w:rStyle w:val="Lienhypertexte"/>
                  <w:rFonts w:ascii="Book Antiqua" w:hAnsi="Book Antiqua" w:cs="Times New Roman"/>
                  <w:color w:val="000000" w:themeColor="text1"/>
                  <w:sz w:val="20"/>
                  <w:szCs w:val="20"/>
                </w:rPr>
                <w:t>www.hcp.ma</w:t>
              </w:r>
            </w:hyperlink>
            <w:r w:rsidRPr="00C51B7C">
              <w:rPr>
                <w:rFonts w:ascii="Book Antiqua" w:hAnsi="Book Antiqua" w:cs="Times New Roman"/>
                <w:color w:val="000000" w:themeColor="text1"/>
                <w:sz w:val="20"/>
                <w:szCs w:val="20"/>
              </w:rPr>
              <w:t xml:space="preserve"> </w:t>
            </w:r>
          </w:p>
        </w:tc>
      </w:tr>
    </w:tbl>
    <w:p w:rsidR="001F5970" w:rsidRDefault="001F5970" w:rsidP="009E682C">
      <w:pPr>
        <w:spacing w:line="360" w:lineRule="auto"/>
        <w:ind w:left="-142"/>
        <w:jc w:val="center"/>
        <w:rPr>
          <w:rFonts w:ascii="Times New Roman" w:hAnsi="Times New Roman" w:cs="Times New Roman"/>
          <w:b/>
          <w:color w:val="000000" w:themeColor="text1"/>
          <w:sz w:val="28"/>
          <w:szCs w:val="28"/>
        </w:rPr>
      </w:pPr>
    </w:p>
    <w:p w:rsidR="001F5970" w:rsidRDefault="001F5970" w:rsidP="009E682C">
      <w:pPr>
        <w:spacing w:line="360" w:lineRule="auto"/>
        <w:ind w:left="-142"/>
        <w:jc w:val="center"/>
        <w:rPr>
          <w:rFonts w:ascii="Times New Roman" w:hAnsi="Times New Roman" w:cs="Times New Roman"/>
          <w:b/>
          <w:color w:val="000000" w:themeColor="text1"/>
          <w:sz w:val="28"/>
          <w:szCs w:val="28"/>
        </w:rPr>
      </w:pPr>
    </w:p>
    <w:p w:rsidR="001F5970" w:rsidRDefault="001F5970" w:rsidP="009E682C">
      <w:pPr>
        <w:spacing w:line="360" w:lineRule="auto"/>
        <w:ind w:left="-142"/>
        <w:jc w:val="center"/>
        <w:rPr>
          <w:rFonts w:ascii="Times New Roman" w:hAnsi="Times New Roman" w:cs="Times New Roman"/>
          <w:b/>
          <w:color w:val="000000" w:themeColor="text1"/>
          <w:sz w:val="28"/>
          <w:szCs w:val="28"/>
        </w:rPr>
      </w:pPr>
    </w:p>
    <w:p w:rsidR="001F5970" w:rsidRPr="00C706A5" w:rsidRDefault="001F5970" w:rsidP="009E682C">
      <w:pPr>
        <w:spacing w:line="360" w:lineRule="auto"/>
        <w:ind w:left="-142"/>
        <w:jc w:val="center"/>
        <w:rPr>
          <w:rFonts w:ascii="Times New Roman" w:hAnsi="Times New Roman" w:cs="Times New Roman"/>
          <w:b/>
          <w:color w:val="000000" w:themeColor="text1"/>
          <w:sz w:val="28"/>
          <w:szCs w:val="28"/>
        </w:rPr>
        <w:sectPr w:rsidR="001F5970" w:rsidRPr="00C706A5" w:rsidSect="005B1014">
          <w:footerReference w:type="default" r:id="rId15"/>
          <w:pgSz w:w="11906" w:h="16838" w:code="9"/>
          <w:pgMar w:top="1134" w:right="720" w:bottom="720" w:left="1077" w:header="709" w:footer="709" w:gutter="0"/>
          <w:cols w:space="708"/>
          <w:docGrid w:linePitch="360"/>
        </w:sectPr>
      </w:pPr>
    </w:p>
    <w:p w:rsidR="00422ACC" w:rsidRPr="00A160AD" w:rsidRDefault="005D5B33" w:rsidP="002F5E45">
      <w:pPr>
        <w:spacing w:line="360" w:lineRule="auto"/>
        <w:ind w:left="-142"/>
        <w:jc w:val="center"/>
        <w:rPr>
          <w:rFonts w:ascii="Arial" w:hAnsi="Arial" w:cs="Arial"/>
          <w:b/>
          <w:bCs/>
          <w:color w:val="000000" w:themeColor="text1"/>
          <w:sz w:val="22"/>
          <w:szCs w:val="22"/>
        </w:rPr>
      </w:pPr>
      <w:r w:rsidRPr="00A160AD">
        <w:rPr>
          <w:rFonts w:ascii="Arial" w:hAnsi="Arial" w:cs="Arial"/>
          <w:b/>
          <w:bCs/>
          <w:color w:val="000000" w:themeColor="text1"/>
          <w:sz w:val="22"/>
          <w:szCs w:val="22"/>
        </w:rPr>
        <w:lastRenderedPageBreak/>
        <w:t>Evolution de l’I</w:t>
      </w:r>
      <w:r w:rsidR="00C35BF2" w:rsidRPr="00A160AD">
        <w:rPr>
          <w:rFonts w:ascii="Arial" w:hAnsi="Arial" w:cs="Arial"/>
          <w:b/>
          <w:bCs/>
          <w:color w:val="000000" w:themeColor="text1"/>
          <w:sz w:val="22"/>
          <w:szCs w:val="22"/>
        </w:rPr>
        <w:t xml:space="preserve">ndice de </w:t>
      </w:r>
      <w:r w:rsidRPr="00A160AD">
        <w:rPr>
          <w:rFonts w:ascii="Arial" w:hAnsi="Arial" w:cs="Arial"/>
          <w:b/>
          <w:bCs/>
          <w:color w:val="000000" w:themeColor="text1"/>
          <w:sz w:val="22"/>
          <w:szCs w:val="22"/>
        </w:rPr>
        <w:t>C</w:t>
      </w:r>
      <w:r w:rsidR="00C35BF2" w:rsidRPr="00A160AD">
        <w:rPr>
          <w:rFonts w:ascii="Arial" w:hAnsi="Arial" w:cs="Arial"/>
          <w:b/>
          <w:bCs/>
          <w:color w:val="000000" w:themeColor="text1"/>
          <w:sz w:val="22"/>
          <w:szCs w:val="22"/>
        </w:rPr>
        <w:t xml:space="preserve">onfiance des </w:t>
      </w:r>
      <w:r w:rsidRPr="00A160AD">
        <w:rPr>
          <w:rFonts w:ascii="Arial" w:hAnsi="Arial" w:cs="Arial"/>
          <w:b/>
          <w:bCs/>
          <w:color w:val="000000" w:themeColor="text1"/>
          <w:sz w:val="22"/>
          <w:szCs w:val="22"/>
        </w:rPr>
        <w:t>M</w:t>
      </w:r>
      <w:r w:rsidR="00C35BF2" w:rsidRPr="00A160AD">
        <w:rPr>
          <w:rFonts w:ascii="Arial" w:hAnsi="Arial" w:cs="Arial"/>
          <w:b/>
          <w:bCs/>
          <w:color w:val="000000" w:themeColor="text1"/>
          <w:sz w:val="22"/>
          <w:szCs w:val="22"/>
        </w:rPr>
        <w:t xml:space="preserve">énages  (ICM) </w:t>
      </w:r>
      <w:r w:rsidRPr="00A160AD">
        <w:rPr>
          <w:rFonts w:ascii="Arial" w:hAnsi="Arial" w:cs="Arial"/>
          <w:b/>
          <w:bCs/>
          <w:color w:val="000000" w:themeColor="text1"/>
          <w:sz w:val="22"/>
          <w:szCs w:val="22"/>
        </w:rPr>
        <w:t>et de ses composantes</w:t>
      </w:r>
    </w:p>
    <w:tbl>
      <w:tblPr>
        <w:tblW w:w="4652" w:type="pct"/>
        <w:jc w:val="center"/>
        <w:tblCellMar>
          <w:left w:w="70" w:type="dxa"/>
          <w:right w:w="70" w:type="dxa"/>
        </w:tblCellMar>
        <w:tblLook w:val="04A0"/>
      </w:tblPr>
      <w:tblGrid>
        <w:gridCol w:w="6316"/>
        <w:gridCol w:w="546"/>
        <w:gridCol w:w="546"/>
        <w:gridCol w:w="546"/>
        <w:gridCol w:w="564"/>
        <w:gridCol w:w="538"/>
        <w:gridCol w:w="538"/>
        <w:gridCol w:w="538"/>
        <w:gridCol w:w="552"/>
        <w:gridCol w:w="572"/>
        <w:gridCol w:w="535"/>
        <w:gridCol w:w="538"/>
        <w:gridCol w:w="656"/>
        <w:gridCol w:w="694"/>
        <w:gridCol w:w="107"/>
        <w:gridCol w:w="671"/>
      </w:tblGrid>
      <w:tr w:rsidR="00DA380F" w:rsidRPr="0069760B" w:rsidTr="00DA380F">
        <w:trPr>
          <w:trHeight w:val="777"/>
          <w:jc w:val="center"/>
        </w:trPr>
        <w:tc>
          <w:tcPr>
            <w:tcW w:w="2184" w:type="pct"/>
            <w:vMerge w:val="restart"/>
            <w:tcBorders>
              <w:top w:val="single" w:sz="4" w:space="0" w:color="auto"/>
              <w:left w:val="single" w:sz="4" w:space="0" w:color="auto"/>
              <w:bottom w:val="single" w:sz="4" w:space="0" w:color="auto"/>
              <w:right w:val="single" w:sz="4" w:space="0" w:color="auto"/>
            </w:tcBorders>
            <w:vAlign w:val="center"/>
            <w:hideMark/>
          </w:tcPr>
          <w:p w:rsidR="00DA380F" w:rsidRPr="0069760B" w:rsidRDefault="00DA380F" w:rsidP="002B79DC">
            <w:pPr>
              <w:widowControl/>
              <w:autoSpaceDE/>
              <w:autoSpaceDN/>
              <w:adjustRightInd/>
              <w:ind w:left="156"/>
              <w:jc w:val="center"/>
              <w:rPr>
                <w:rFonts w:ascii="Times New Roman" w:hAnsi="Times New Roman" w:cs="Times New Roman"/>
                <w:b/>
                <w:bCs/>
                <w:sz w:val="18"/>
                <w:szCs w:val="18"/>
              </w:rPr>
            </w:pPr>
            <w:r w:rsidRPr="0069760B">
              <w:rPr>
                <w:rFonts w:ascii="Times New Roman" w:hAnsi="Times New Roman" w:cs="Times New Roman"/>
                <w:b/>
                <w:bCs/>
                <w:sz w:val="18"/>
                <w:szCs w:val="18"/>
              </w:rPr>
              <w:t>Indicateur</w:t>
            </w:r>
          </w:p>
        </w:tc>
        <w:tc>
          <w:tcPr>
            <w:tcW w:w="762" w:type="pct"/>
            <w:gridSpan w:val="4"/>
            <w:tcBorders>
              <w:top w:val="single" w:sz="4" w:space="0" w:color="auto"/>
              <w:left w:val="nil"/>
              <w:bottom w:val="single" w:sz="4" w:space="0" w:color="auto"/>
              <w:right w:val="single" w:sz="4" w:space="0" w:color="auto"/>
            </w:tcBorders>
            <w:shd w:val="clear" w:color="auto" w:fill="auto"/>
            <w:vAlign w:val="center"/>
          </w:tcPr>
          <w:p w:rsidR="00DA380F" w:rsidRDefault="00DA380F" w:rsidP="000656CB">
            <w:pPr>
              <w:widowControl/>
              <w:autoSpaceDE/>
              <w:autoSpaceDN/>
              <w:adjustRightInd/>
              <w:jc w:val="center"/>
              <w:rPr>
                <w:rFonts w:ascii="Times New Roman" w:hAnsi="Times New Roman" w:cs="Times New Roman"/>
                <w:b/>
                <w:bCs/>
                <w:color w:val="000000" w:themeColor="text1"/>
                <w:sz w:val="16"/>
                <w:szCs w:val="16"/>
              </w:rPr>
            </w:pPr>
            <w:r>
              <w:rPr>
                <w:rFonts w:ascii="Times New Roman" w:hAnsi="Times New Roman" w:cs="Times New Roman"/>
                <w:b/>
                <w:bCs/>
                <w:sz w:val="16"/>
                <w:szCs w:val="16"/>
              </w:rPr>
              <w:t>2013</w:t>
            </w:r>
          </w:p>
        </w:tc>
        <w:tc>
          <w:tcPr>
            <w:tcW w:w="749" w:type="pct"/>
            <w:gridSpan w:val="4"/>
            <w:tcBorders>
              <w:top w:val="single" w:sz="4" w:space="0" w:color="auto"/>
              <w:left w:val="nil"/>
              <w:bottom w:val="single" w:sz="4" w:space="0" w:color="auto"/>
              <w:right w:val="single" w:sz="4" w:space="0" w:color="auto"/>
            </w:tcBorders>
            <w:shd w:val="clear" w:color="auto" w:fill="auto"/>
            <w:vAlign w:val="center"/>
          </w:tcPr>
          <w:p w:rsidR="00DA380F" w:rsidRDefault="00DA380F" w:rsidP="000656CB">
            <w:pPr>
              <w:jc w:val="center"/>
              <w:rPr>
                <w:rFonts w:ascii="Times New Roman" w:hAnsi="Times New Roman" w:cs="Times New Roman"/>
                <w:b/>
                <w:bCs/>
                <w:color w:val="000000" w:themeColor="text1"/>
                <w:sz w:val="16"/>
                <w:szCs w:val="16"/>
              </w:rPr>
            </w:pPr>
            <w:r>
              <w:rPr>
                <w:rFonts w:ascii="Times New Roman" w:hAnsi="Times New Roman" w:cs="Times New Roman"/>
                <w:b/>
                <w:bCs/>
                <w:sz w:val="16"/>
                <w:szCs w:val="16"/>
              </w:rPr>
              <w:t>2014</w:t>
            </w:r>
          </w:p>
        </w:tc>
        <w:tc>
          <w:tcPr>
            <w:tcW w:w="796" w:type="pct"/>
            <w:gridSpan w:val="4"/>
            <w:tcBorders>
              <w:top w:val="single" w:sz="4" w:space="0" w:color="auto"/>
              <w:left w:val="nil"/>
              <w:bottom w:val="single" w:sz="4" w:space="0" w:color="auto"/>
              <w:right w:val="single" w:sz="4" w:space="0" w:color="auto"/>
            </w:tcBorders>
            <w:shd w:val="clear" w:color="auto" w:fill="auto"/>
            <w:vAlign w:val="center"/>
          </w:tcPr>
          <w:p w:rsidR="00DA380F" w:rsidRDefault="00DA380F" w:rsidP="000656CB">
            <w:pPr>
              <w:widowControl/>
              <w:autoSpaceDE/>
              <w:autoSpaceDN/>
              <w:adjustRightInd/>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2015</w:t>
            </w:r>
          </w:p>
        </w:tc>
        <w:tc>
          <w:tcPr>
            <w:tcW w:w="509" w:type="pct"/>
            <w:gridSpan w:val="3"/>
            <w:tcBorders>
              <w:top w:val="single" w:sz="4" w:space="0" w:color="auto"/>
              <w:left w:val="nil"/>
              <w:bottom w:val="single" w:sz="4" w:space="0" w:color="auto"/>
              <w:right w:val="single" w:sz="4" w:space="0" w:color="auto"/>
            </w:tcBorders>
            <w:vAlign w:val="center"/>
          </w:tcPr>
          <w:p w:rsidR="00DA380F" w:rsidRDefault="00DA380F" w:rsidP="00B92516">
            <w:pPr>
              <w:widowControl/>
              <w:autoSpaceDE/>
              <w:autoSpaceDN/>
              <w:adjustRightInd/>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2016</w:t>
            </w:r>
          </w:p>
        </w:tc>
      </w:tr>
      <w:tr w:rsidR="00DA380F" w:rsidRPr="0069760B" w:rsidTr="00DA380F">
        <w:trPr>
          <w:trHeight w:val="594"/>
          <w:jc w:val="center"/>
        </w:trPr>
        <w:tc>
          <w:tcPr>
            <w:tcW w:w="2184" w:type="pct"/>
            <w:vMerge/>
            <w:tcBorders>
              <w:top w:val="single" w:sz="4" w:space="0" w:color="auto"/>
              <w:left w:val="single" w:sz="4" w:space="0" w:color="auto"/>
              <w:bottom w:val="single" w:sz="4" w:space="0" w:color="auto"/>
              <w:right w:val="single" w:sz="4" w:space="0" w:color="auto"/>
            </w:tcBorders>
            <w:vAlign w:val="center"/>
            <w:hideMark/>
          </w:tcPr>
          <w:p w:rsidR="00DA380F" w:rsidRPr="0069760B" w:rsidRDefault="00DA380F" w:rsidP="002B79DC">
            <w:pPr>
              <w:widowControl/>
              <w:autoSpaceDE/>
              <w:autoSpaceDN/>
              <w:adjustRightInd/>
              <w:ind w:left="156"/>
              <w:rPr>
                <w:rFonts w:ascii="Times New Roman" w:hAnsi="Times New Roman" w:cs="Times New Roman"/>
                <w:b/>
                <w:bCs/>
                <w:sz w:val="18"/>
                <w:szCs w:val="18"/>
              </w:rPr>
            </w:pPr>
          </w:p>
        </w:tc>
        <w:tc>
          <w:tcPr>
            <w:tcW w:w="189"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T1/13</w:t>
            </w:r>
          </w:p>
        </w:tc>
        <w:tc>
          <w:tcPr>
            <w:tcW w:w="189"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T2/13</w:t>
            </w:r>
          </w:p>
        </w:tc>
        <w:tc>
          <w:tcPr>
            <w:tcW w:w="189"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T3/13</w:t>
            </w:r>
          </w:p>
        </w:tc>
        <w:tc>
          <w:tcPr>
            <w:tcW w:w="195"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T4/13</w:t>
            </w:r>
          </w:p>
        </w:tc>
        <w:tc>
          <w:tcPr>
            <w:tcW w:w="186"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T1/14</w:t>
            </w:r>
          </w:p>
        </w:tc>
        <w:tc>
          <w:tcPr>
            <w:tcW w:w="186"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T2/14</w:t>
            </w:r>
          </w:p>
        </w:tc>
        <w:tc>
          <w:tcPr>
            <w:tcW w:w="186" w:type="pct"/>
            <w:tcBorders>
              <w:top w:val="nil"/>
              <w:left w:val="nil"/>
              <w:bottom w:val="single" w:sz="4" w:space="0" w:color="auto"/>
              <w:right w:val="single" w:sz="4" w:space="0" w:color="auto"/>
            </w:tcBorders>
            <w:shd w:val="clear" w:color="auto" w:fill="auto"/>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T3/14</w:t>
            </w:r>
          </w:p>
        </w:tc>
        <w:tc>
          <w:tcPr>
            <w:tcW w:w="191" w:type="pct"/>
            <w:tcBorders>
              <w:top w:val="nil"/>
              <w:left w:val="nil"/>
              <w:bottom w:val="single" w:sz="4" w:space="0" w:color="auto"/>
              <w:right w:val="single" w:sz="4" w:space="0" w:color="auto"/>
            </w:tcBorders>
            <w:shd w:val="clear" w:color="auto" w:fill="auto"/>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sz w:val="11"/>
                <w:szCs w:val="11"/>
              </w:rPr>
            </w:pPr>
            <w:r w:rsidRPr="00A160AD">
              <w:rPr>
                <w:rFonts w:ascii="Times New Roman" w:hAnsi="Times New Roman" w:cs="Times New Roman"/>
                <w:b/>
                <w:bCs/>
                <w:sz w:val="11"/>
                <w:szCs w:val="11"/>
              </w:rPr>
              <w:t>T4/14</w:t>
            </w:r>
          </w:p>
        </w:tc>
        <w:tc>
          <w:tcPr>
            <w:tcW w:w="198"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rPr>
                <w:rFonts w:ascii="Times New Roman" w:hAnsi="Times New Roman" w:cs="Times New Roman"/>
                <w:b/>
                <w:bCs/>
                <w:color w:val="000000" w:themeColor="text1"/>
                <w:sz w:val="11"/>
                <w:szCs w:val="11"/>
              </w:rPr>
            </w:pPr>
            <w:r w:rsidRPr="00A160AD">
              <w:rPr>
                <w:rFonts w:ascii="Times New Roman" w:hAnsi="Times New Roman" w:cs="Times New Roman"/>
                <w:b/>
                <w:bCs/>
                <w:color w:val="000000" w:themeColor="text1"/>
                <w:sz w:val="11"/>
                <w:szCs w:val="11"/>
              </w:rPr>
              <w:t>T1/15</w:t>
            </w:r>
          </w:p>
        </w:tc>
        <w:tc>
          <w:tcPr>
            <w:tcW w:w="185"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color w:val="000000" w:themeColor="text1"/>
                <w:sz w:val="11"/>
                <w:szCs w:val="11"/>
              </w:rPr>
            </w:pPr>
            <w:r w:rsidRPr="00A160AD">
              <w:rPr>
                <w:rFonts w:ascii="Times New Roman" w:hAnsi="Times New Roman" w:cs="Times New Roman"/>
                <w:b/>
                <w:bCs/>
                <w:color w:val="000000" w:themeColor="text1"/>
                <w:sz w:val="11"/>
                <w:szCs w:val="11"/>
              </w:rPr>
              <w:t>T2/15</w:t>
            </w:r>
          </w:p>
        </w:tc>
        <w:tc>
          <w:tcPr>
            <w:tcW w:w="186"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0656CB">
            <w:pPr>
              <w:widowControl/>
              <w:autoSpaceDE/>
              <w:autoSpaceDN/>
              <w:adjustRightInd/>
              <w:ind w:left="-68"/>
              <w:jc w:val="center"/>
              <w:rPr>
                <w:rFonts w:ascii="Times New Roman" w:hAnsi="Times New Roman" w:cs="Times New Roman"/>
                <w:b/>
                <w:bCs/>
                <w:color w:val="000000" w:themeColor="text1"/>
                <w:sz w:val="11"/>
                <w:szCs w:val="11"/>
              </w:rPr>
            </w:pPr>
            <w:r w:rsidRPr="00A160AD">
              <w:rPr>
                <w:rFonts w:ascii="Times New Roman" w:hAnsi="Times New Roman" w:cs="Times New Roman"/>
                <w:b/>
                <w:bCs/>
                <w:color w:val="000000" w:themeColor="text1"/>
                <w:sz w:val="11"/>
                <w:szCs w:val="11"/>
              </w:rPr>
              <w:t>T3/15</w:t>
            </w:r>
          </w:p>
        </w:tc>
        <w:tc>
          <w:tcPr>
            <w:tcW w:w="227" w:type="pct"/>
            <w:tcBorders>
              <w:top w:val="nil"/>
              <w:left w:val="nil"/>
              <w:bottom w:val="single" w:sz="4" w:space="0" w:color="auto"/>
              <w:right w:val="single" w:sz="4" w:space="0" w:color="auto"/>
            </w:tcBorders>
            <w:shd w:val="clear" w:color="auto" w:fill="auto"/>
            <w:noWrap/>
            <w:vAlign w:val="center"/>
            <w:hideMark/>
          </w:tcPr>
          <w:p w:rsidR="00DA380F" w:rsidRPr="00A160AD" w:rsidRDefault="00DA380F" w:rsidP="002B79DC">
            <w:pPr>
              <w:widowControl/>
              <w:autoSpaceDE/>
              <w:autoSpaceDN/>
              <w:adjustRightInd/>
              <w:ind w:left="-68"/>
              <w:jc w:val="center"/>
              <w:rPr>
                <w:rFonts w:ascii="Times New Roman" w:hAnsi="Times New Roman" w:cs="Times New Roman"/>
                <w:b/>
                <w:bCs/>
                <w:sz w:val="11"/>
                <w:szCs w:val="11"/>
              </w:rPr>
            </w:pPr>
            <w:r>
              <w:rPr>
                <w:rFonts w:ascii="Times New Roman" w:hAnsi="Times New Roman" w:cs="Times New Roman"/>
                <w:b/>
                <w:bCs/>
                <w:sz w:val="11"/>
                <w:szCs w:val="11"/>
              </w:rPr>
              <w:t>T4/15</w:t>
            </w:r>
          </w:p>
        </w:tc>
        <w:tc>
          <w:tcPr>
            <w:tcW w:w="240" w:type="pct"/>
            <w:tcBorders>
              <w:top w:val="nil"/>
              <w:left w:val="nil"/>
              <w:bottom w:val="single" w:sz="4" w:space="0" w:color="auto"/>
              <w:right w:val="single" w:sz="4" w:space="0" w:color="auto"/>
            </w:tcBorders>
            <w:vAlign w:val="center"/>
          </w:tcPr>
          <w:p w:rsidR="00DA380F" w:rsidRDefault="00DA380F" w:rsidP="00B92516">
            <w:pPr>
              <w:widowControl/>
              <w:autoSpaceDE/>
              <w:autoSpaceDN/>
              <w:adjustRightInd/>
              <w:ind w:left="-68"/>
              <w:jc w:val="center"/>
              <w:rPr>
                <w:rFonts w:ascii="Times New Roman" w:hAnsi="Times New Roman" w:cs="Times New Roman"/>
                <w:b/>
                <w:bCs/>
                <w:sz w:val="11"/>
                <w:szCs w:val="11"/>
              </w:rPr>
            </w:pPr>
            <w:r>
              <w:rPr>
                <w:rFonts w:ascii="Times New Roman" w:hAnsi="Times New Roman" w:cs="Times New Roman"/>
                <w:b/>
                <w:bCs/>
                <w:sz w:val="11"/>
                <w:szCs w:val="11"/>
              </w:rPr>
              <w:t>T1/16</w:t>
            </w:r>
          </w:p>
        </w:tc>
        <w:tc>
          <w:tcPr>
            <w:tcW w:w="269" w:type="pct"/>
            <w:gridSpan w:val="2"/>
            <w:tcBorders>
              <w:top w:val="nil"/>
              <w:left w:val="nil"/>
              <w:bottom w:val="single" w:sz="4" w:space="0" w:color="auto"/>
              <w:right w:val="single" w:sz="4" w:space="0" w:color="auto"/>
            </w:tcBorders>
            <w:vAlign w:val="center"/>
          </w:tcPr>
          <w:p w:rsidR="00DA380F" w:rsidRDefault="00DA380F" w:rsidP="00B92516">
            <w:pPr>
              <w:widowControl/>
              <w:autoSpaceDE/>
              <w:autoSpaceDN/>
              <w:adjustRightInd/>
              <w:ind w:left="-68"/>
              <w:jc w:val="center"/>
              <w:rPr>
                <w:rFonts w:ascii="Times New Roman" w:hAnsi="Times New Roman" w:cs="Times New Roman"/>
                <w:b/>
                <w:bCs/>
                <w:sz w:val="11"/>
                <w:szCs w:val="11"/>
              </w:rPr>
            </w:pPr>
            <w:r>
              <w:rPr>
                <w:rFonts w:ascii="Times New Roman" w:hAnsi="Times New Roman" w:cs="Times New Roman"/>
                <w:b/>
                <w:bCs/>
                <w:sz w:val="11"/>
                <w:szCs w:val="11"/>
              </w:rPr>
              <w:t>T2/16</w:t>
            </w:r>
          </w:p>
        </w:tc>
      </w:tr>
      <w:tr w:rsidR="00DA380F" w:rsidRPr="008325DA"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b/>
                <w:bCs/>
                <w:sz w:val="18"/>
                <w:szCs w:val="18"/>
              </w:rPr>
            </w:pPr>
            <w:r w:rsidRPr="0069760B">
              <w:rPr>
                <w:rFonts w:ascii="Times New Roman" w:hAnsi="Times New Roman" w:cs="Times New Roman"/>
                <w:b/>
                <w:bCs/>
                <w:sz w:val="18"/>
                <w:szCs w:val="18"/>
              </w:rPr>
              <w:t>Indice de Confiance des Ménages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75,8</w:t>
            </w:r>
          </w:p>
        </w:tc>
        <w:tc>
          <w:tcPr>
            <w:tcW w:w="189" w:type="pct"/>
            <w:tcBorders>
              <w:top w:val="nil"/>
              <w:left w:val="nil"/>
              <w:bottom w:val="single" w:sz="4" w:space="0" w:color="auto"/>
              <w:right w:val="single" w:sz="4" w:space="0" w:color="auto"/>
            </w:tcBorders>
            <w:shd w:val="clear" w:color="auto" w:fill="auto"/>
            <w:noWrap/>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74,3</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75,4</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74,2</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74,1</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Calibri" w:hAnsi="Calibri"/>
                <w:b/>
                <w:bCs/>
                <w:sz w:val="13"/>
                <w:szCs w:val="13"/>
              </w:rPr>
            </w:pPr>
            <w:r w:rsidRPr="002B79DC">
              <w:rPr>
                <w:rFonts w:ascii="Calibri" w:hAnsi="Calibri"/>
                <w:b/>
                <w:bCs/>
                <w:sz w:val="13"/>
                <w:szCs w:val="13"/>
              </w:rPr>
              <w:t>74,0</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73,1</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71,6</w:t>
            </w:r>
          </w:p>
        </w:tc>
        <w:tc>
          <w:tcPr>
            <w:tcW w:w="198" w:type="pct"/>
            <w:tcBorders>
              <w:top w:val="nil"/>
              <w:left w:val="nil"/>
              <w:bottom w:val="single" w:sz="4" w:space="0" w:color="auto"/>
              <w:right w:val="single" w:sz="4" w:space="0" w:color="auto"/>
            </w:tcBorders>
            <w:shd w:val="clear" w:color="auto" w:fill="auto"/>
            <w:noWrap/>
            <w:vAlign w:val="center"/>
            <w:hideMark/>
          </w:tcPr>
          <w:p w:rsidR="00DA380F" w:rsidRPr="002B79DC" w:rsidRDefault="00DA380F" w:rsidP="000656CB">
            <w:pPr>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73,7</w:t>
            </w:r>
          </w:p>
        </w:tc>
        <w:tc>
          <w:tcPr>
            <w:tcW w:w="185" w:type="pct"/>
            <w:tcBorders>
              <w:top w:val="nil"/>
              <w:left w:val="nil"/>
              <w:bottom w:val="single" w:sz="4" w:space="0" w:color="auto"/>
              <w:right w:val="single" w:sz="4" w:space="0" w:color="auto"/>
            </w:tcBorders>
            <w:shd w:val="clear" w:color="auto" w:fill="auto"/>
            <w:noWrap/>
            <w:vAlign w:val="center"/>
            <w:hideMark/>
          </w:tcPr>
          <w:p w:rsidR="00DA380F" w:rsidRPr="002B79DC" w:rsidRDefault="00DA380F" w:rsidP="000656CB">
            <w:pPr>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76,1</w:t>
            </w:r>
          </w:p>
        </w:tc>
        <w:tc>
          <w:tcPr>
            <w:tcW w:w="186" w:type="pct"/>
            <w:tcBorders>
              <w:top w:val="nil"/>
              <w:left w:val="nil"/>
              <w:bottom w:val="single" w:sz="4" w:space="0" w:color="auto"/>
              <w:right w:val="single" w:sz="4" w:space="0" w:color="auto"/>
            </w:tcBorders>
            <w:shd w:val="clear" w:color="auto" w:fill="auto"/>
            <w:noWrap/>
            <w:vAlign w:val="center"/>
            <w:hideMark/>
          </w:tcPr>
          <w:p w:rsidR="00DA380F" w:rsidRPr="002B79DC" w:rsidRDefault="00DA380F" w:rsidP="000656CB">
            <w:pPr>
              <w:ind w:left="-68"/>
              <w:jc w:val="center"/>
              <w:rPr>
                <w:rFonts w:ascii="Times New Roman" w:hAnsi="Times New Roman" w:cs="Times New Roman"/>
                <w:b/>
                <w:bCs/>
                <w:sz w:val="13"/>
                <w:szCs w:val="13"/>
              </w:rPr>
            </w:pPr>
            <w:r w:rsidRPr="002B79DC">
              <w:rPr>
                <w:rFonts w:ascii="Times New Roman" w:hAnsi="Times New Roman" w:cs="Times New Roman"/>
                <w:b/>
                <w:bCs/>
                <w:sz w:val="13"/>
                <w:szCs w:val="13"/>
              </w:rPr>
              <w:t>76,3</w:t>
            </w:r>
          </w:p>
        </w:tc>
        <w:tc>
          <w:tcPr>
            <w:tcW w:w="227" w:type="pct"/>
            <w:tcBorders>
              <w:top w:val="nil"/>
              <w:left w:val="nil"/>
              <w:bottom w:val="single" w:sz="4" w:space="0" w:color="auto"/>
              <w:right w:val="single" w:sz="4" w:space="0" w:color="auto"/>
            </w:tcBorders>
            <w:shd w:val="clear" w:color="auto" w:fill="auto"/>
            <w:noWrap/>
            <w:vAlign w:val="center"/>
            <w:hideMark/>
          </w:tcPr>
          <w:p w:rsidR="00DA380F" w:rsidRDefault="00DA380F" w:rsidP="002D79AA">
            <w:pPr>
              <w:ind w:left="-68"/>
              <w:jc w:val="center"/>
              <w:rPr>
                <w:rFonts w:ascii="Times New Roman" w:hAnsi="Times New Roman" w:cs="Times New Roman"/>
                <w:b/>
                <w:bCs/>
                <w:sz w:val="13"/>
                <w:szCs w:val="13"/>
              </w:rPr>
            </w:pPr>
          </w:p>
          <w:p w:rsidR="00DA380F" w:rsidRPr="002D79AA" w:rsidRDefault="00DA380F" w:rsidP="002D79AA">
            <w:pPr>
              <w:ind w:left="-68"/>
              <w:jc w:val="center"/>
              <w:rPr>
                <w:rFonts w:ascii="Times New Roman" w:hAnsi="Times New Roman" w:cs="Times New Roman"/>
                <w:b/>
                <w:bCs/>
                <w:sz w:val="13"/>
                <w:szCs w:val="13"/>
              </w:rPr>
            </w:pPr>
            <w:r w:rsidRPr="002D79AA">
              <w:rPr>
                <w:rFonts w:ascii="Times New Roman" w:hAnsi="Times New Roman" w:cs="Times New Roman"/>
                <w:b/>
                <w:bCs/>
                <w:sz w:val="13"/>
                <w:szCs w:val="13"/>
              </w:rPr>
              <w:t>77,1</w:t>
            </w:r>
          </w:p>
          <w:p w:rsidR="00DA380F" w:rsidRPr="002B79DC" w:rsidRDefault="00DA380F" w:rsidP="002D79AA">
            <w:pPr>
              <w:widowControl/>
              <w:autoSpaceDE/>
              <w:autoSpaceDN/>
              <w:adjustRightInd/>
              <w:ind w:left="-68"/>
              <w:jc w:val="center"/>
              <w:rPr>
                <w:rFonts w:ascii="Times New Roman" w:hAnsi="Times New Roman" w:cs="Times New Roman"/>
                <w:b/>
                <w:bCs/>
                <w:sz w:val="13"/>
                <w:szCs w:val="13"/>
              </w:rPr>
            </w:pPr>
          </w:p>
        </w:tc>
        <w:tc>
          <w:tcPr>
            <w:tcW w:w="240" w:type="pct"/>
            <w:tcBorders>
              <w:top w:val="nil"/>
              <w:left w:val="nil"/>
              <w:bottom w:val="single" w:sz="4" w:space="0" w:color="auto"/>
              <w:right w:val="single" w:sz="4" w:space="0" w:color="auto"/>
            </w:tcBorders>
            <w:vAlign w:val="center"/>
          </w:tcPr>
          <w:p w:rsidR="00DA380F" w:rsidRDefault="00DA380F" w:rsidP="008325DA">
            <w:pPr>
              <w:ind w:left="-68"/>
              <w:jc w:val="center"/>
              <w:rPr>
                <w:rFonts w:ascii="Times New Roman" w:hAnsi="Times New Roman" w:cs="Times New Roman"/>
                <w:b/>
                <w:bCs/>
                <w:sz w:val="13"/>
                <w:szCs w:val="13"/>
              </w:rPr>
            </w:pPr>
            <w:r>
              <w:rPr>
                <w:rFonts w:ascii="Times New Roman" w:hAnsi="Times New Roman" w:cs="Times New Roman"/>
                <w:b/>
                <w:bCs/>
                <w:sz w:val="13"/>
                <w:szCs w:val="13"/>
              </w:rPr>
              <w:t>71,6</w:t>
            </w:r>
          </w:p>
        </w:tc>
        <w:tc>
          <w:tcPr>
            <w:tcW w:w="269" w:type="pct"/>
            <w:gridSpan w:val="2"/>
            <w:tcBorders>
              <w:top w:val="nil"/>
              <w:left w:val="nil"/>
              <w:bottom w:val="single" w:sz="4" w:space="0" w:color="auto"/>
              <w:right w:val="single" w:sz="4" w:space="0" w:color="auto"/>
            </w:tcBorders>
            <w:vAlign w:val="center"/>
          </w:tcPr>
          <w:p w:rsidR="00DA380F" w:rsidRDefault="00DA380F" w:rsidP="004A6D0D">
            <w:pPr>
              <w:ind w:left="-68"/>
              <w:jc w:val="center"/>
              <w:rPr>
                <w:rFonts w:ascii="Times New Roman" w:hAnsi="Times New Roman" w:cs="Times New Roman"/>
                <w:b/>
                <w:bCs/>
                <w:sz w:val="13"/>
                <w:szCs w:val="13"/>
              </w:rPr>
            </w:pPr>
            <w:r>
              <w:rPr>
                <w:rFonts w:ascii="Times New Roman" w:hAnsi="Times New Roman" w:cs="Times New Roman"/>
                <w:b/>
                <w:bCs/>
                <w:sz w:val="13"/>
                <w:szCs w:val="13"/>
              </w:rPr>
              <w:t>75,7</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Perspectives d'évolution du nombre de chômeurs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-61,7</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-67,8</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-69,8</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-68,2</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-69,1</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-66,5</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-68,8</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-68,0</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-65,2</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-67,1</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Pr>
                <w:rFonts w:ascii="Arial" w:hAnsi="Arial" w:cs="Arial"/>
                <w:color w:val="000000" w:themeColor="text1"/>
                <w:sz w:val="12"/>
                <w:szCs w:val="12"/>
              </w:rPr>
              <w:t>-66,2</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-64,1</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-67,7</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-69,0</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Evolution  passée du niveau de vie en général</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-29,2</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-23,1</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-21,2</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-19,9</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-18,1</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-17,7</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-17,4</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-16,5</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-14,1</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-12,8</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-15,1</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-13,8</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-22,9</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-15,2</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Perspectives d'évolution du niveau de vie en général</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-5,1</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-4,2</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-3,1</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-7,9</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-11,4</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-13,1</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-13,1</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-12,7</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-8,8</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-7,3</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-7,7</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-8,1</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-14,2</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-7,6</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Opportunité d'achat</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-28,3</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-31,7</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-29,5</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-31,8</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-31,3</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-28,9</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-33,1</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-38,1</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-37</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-36,0</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-34,2</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-37,5</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-40,2</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-34,8</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Situation financière actuelle des ménages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-29,8</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-30,2</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-29,5</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-29,5</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-31,3</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-29,7</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-28,3</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-30,6</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-32,4</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-28,0</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-25,1</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-25,7</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-27,2</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-23,0</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Evolution  passée  de la situation financière des ménages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-19,6</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-23,8</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-21,9</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-21,9</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-21,3</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-23,3</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-25 ,8</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-29,2</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-27,0</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-20.2</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-20,8</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-18,5</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-27,4</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-22,8</w:t>
            </w:r>
          </w:p>
        </w:tc>
      </w:tr>
      <w:tr w:rsidR="00DA380F" w:rsidRPr="0069760B" w:rsidTr="00DA380F">
        <w:trPr>
          <w:trHeight w:val="70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Evolution  future de la situation financière des ménages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4,5</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0,7</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2,8</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-1,7</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1,2</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-2,7</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-1,5</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-3,9</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0,1</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4,2</w:t>
            </w:r>
          </w:p>
        </w:tc>
        <w:tc>
          <w:tcPr>
            <w:tcW w:w="186" w:type="pct"/>
            <w:tcBorders>
              <w:top w:val="nil"/>
              <w:left w:val="nil"/>
              <w:bottom w:val="single" w:sz="4" w:space="0" w:color="auto"/>
              <w:right w:val="single" w:sz="4" w:space="0" w:color="auto"/>
            </w:tcBorders>
            <w:shd w:val="clear" w:color="auto" w:fill="auto"/>
            <w:vAlign w:val="center"/>
            <w:hideMark/>
          </w:tcPr>
          <w:p w:rsidR="00DA380F" w:rsidRPr="00D93EB1" w:rsidRDefault="00DA380F" w:rsidP="000656CB">
            <w:pPr>
              <w:ind w:left="-68"/>
              <w:jc w:val="center"/>
              <w:rPr>
                <w:rFonts w:ascii="Arial" w:hAnsi="Arial" w:cs="Arial"/>
                <w:color w:val="000000" w:themeColor="text1"/>
                <w:sz w:val="12"/>
                <w:szCs w:val="12"/>
              </w:rPr>
            </w:pPr>
            <w:r w:rsidRPr="00D93EB1">
              <w:rPr>
                <w:rFonts w:ascii="Arial" w:hAnsi="Arial" w:cs="Arial"/>
                <w:color w:val="000000" w:themeColor="text1"/>
                <w:sz w:val="12"/>
                <w:szCs w:val="12"/>
              </w:rPr>
              <w:t>3,3</w:t>
            </w:r>
          </w:p>
        </w:tc>
        <w:tc>
          <w:tcPr>
            <w:tcW w:w="227" w:type="pct"/>
            <w:tcBorders>
              <w:top w:val="nil"/>
              <w:left w:val="nil"/>
              <w:bottom w:val="single" w:sz="4" w:space="0" w:color="auto"/>
              <w:right w:val="single" w:sz="4" w:space="0" w:color="auto"/>
            </w:tcBorders>
            <w:shd w:val="clear" w:color="auto" w:fill="auto"/>
            <w:vAlign w:val="center"/>
            <w:hideMark/>
          </w:tcPr>
          <w:p w:rsidR="00DA380F" w:rsidRPr="00E74ADC" w:rsidRDefault="00DA380F" w:rsidP="002D79AA">
            <w:pPr>
              <w:ind w:left="-68"/>
              <w:jc w:val="center"/>
              <w:rPr>
                <w:rFonts w:ascii="Times New Roman" w:hAnsi="Times New Roman" w:cs="Times New Roman"/>
                <w:sz w:val="13"/>
                <w:szCs w:val="13"/>
              </w:rPr>
            </w:pPr>
            <w:r w:rsidRPr="00E74ADC">
              <w:rPr>
                <w:rFonts w:ascii="Times New Roman" w:hAnsi="Times New Roman" w:cs="Times New Roman"/>
                <w:sz w:val="13"/>
                <w:szCs w:val="13"/>
              </w:rPr>
              <w:t>7,6</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ind w:left="-68"/>
              <w:jc w:val="center"/>
              <w:rPr>
                <w:rFonts w:ascii="Times New Roman" w:hAnsi="Times New Roman" w:cs="Times New Roman"/>
                <w:sz w:val="13"/>
                <w:szCs w:val="13"/>
              </w:rPr>
            </w:pPr>
            <w:r w:rsidRPr="00E74ADC">
              <w:rPr>
                <w:rFonts w:ascii="Times New Roman" w:hAnsi="Times New Roman" w:cs="Times New Roman"/>
                <w:sz w:val="13"/>
                <w:szCs w:val="13"/>
              </w:rPr>
              <w:t>1,2</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6B780E">
            <w:pPr>
              <w:ind w:left="-68"/>
              <w:jc w:val="center"/>
              <w:rPr>
                <w:rFonts w:ascii="Times New Roman" w:hAnsi="Times New Roman" w:cs="Times New Roman"/>
                <w:sz w:val="13"/>
                <w:szCs w:val="13"/>
              </w:rPr>
            </w:pPr>
            <w:r w:rsidRPr="00226A52">
              <w:rPr>
                <w:rFonts w:ascii="Times New Roman" w:hAnsi="Times New Roman" w:cs="Times New Roman"/>
                <w:sz w:val="13"/>
                <w:szCs w:val="13"/>
              </w:rPr>
              <w:t>2,3</w:t>
            </w:r>
          </w:p>
        </w:tc>
      </w:tr>
      <w:tr w:rsidR="00DA380F" w:rsidRPr="0069760B" w:rsidTr="00DA380F">
        <w:trPr>
          <w:gridAfter w:val="1"/>
          <w:wAfter w:w="232" w:type="pct"/>
          <w:trHeight w:val="482"/>
          <w:jc w:val="center"/>
        </w:trPr>
        <w:tc>
          <w:tcPr>
            <w:tcW w:w="4768" w:type="pct"/>
            <w:gridSpan w:val="15"/>
            <w:tcBorders>
              <w:top w:val="single" w:sz="4" w:space="0" w:color="auto"/>
              <w:left w:val="single" w:sz="4" w:space="0" w:color="auto"/>
              <w:bottom w:val="single" w:sz="4" w:space="0" w:color="auto"/>
            </w:tcBorders>
            <w:vAlign w:val="center"/>
          </w:tcPr>
          <w:p w:rsidR="00DA380F" w:rsidRPr="00B92516" w:rsidRDefault="00DA380F" w:rsidP="00B92516">
            <w:pPr>
              <w:ind w:left="-68"/>
              <w:jc w:val="center"/>
              <w:rPr>
                <w:rFonts w:ascii="Times New Roman" w:hAnsi="Times New Roman" w:cs="Times New Roman"/>
                <w:b/>
                <w:bCs/>
                <w:sz w:val="13"/>
                <w:szCs w:val="13"/>
              </w:rPr>
            </w:pPr>
            <w:r w:rsidRPr="006170EF">
              <w:rPr>
                <w:rFonts w:ascii="Times New Roman" w:hAnsi="Times New Roman" w:cs="Times New Roman"/>
                <w:b/>
                <w:bCs/>
                <w:sz w:val="20"/>
                <w:szCs w:val="20"/>
              </w:rPr>
              <w:t>Autres soldes</w:t>
            </w:r>
          </w:p>
        </w:tc>
      </w:tr>
      <w:tr w:rsidR="00DA380F" w:rsidRPr="0069760B" w:rsidTr="00DA380F">
        <w:trPr>
          <w:trHeight w:val="51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Evolution future des prix des produits alimentaires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-76,1</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-73,4</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-76,0</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-76,0</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-77,6</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Arial" w:hAnsi="Arial" w:cs="Arial"/>
                <w:sz w:val="12"/>
                <w:szCs w:val="12"/>
              </w:rPr>
            </w:pPr>
            <w:r w:rsidRPr="002B79DC">
              <w:rPr>
                <w:rFonts w:ascii="Arial" w:hAnsi="Arial" w:cs="Arial"/>
                <w:sz w:val="12"/>
                <w:szCs w:val="12"/>
              </w:rPr>
              <w:t>-78,0</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-76,9</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-77,2</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-77,2</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-75.6</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-75,3</w:t>
            </w:r>
          </w:p>
        </w:tc>
        <w:tc>
          <w:tcPr>
            <w:tcW w:w="227" w:type="pct"/>
            <w:tcBorders>
              <w:top w:val="nil"/>
              <w:left w:val="nil"/>
              <w:bottom w:val="single" w:sz="4" w:space="0" w:color="auto"/>
              <w:right w:val="single" w:sz="4" w:space="0" w:color="auto"/>
            </w:tcBorders>
            <w:shd w:val="clear" w:color="auto" w:fill="auto"/>
            <w:vAlign w:val="center"/>
            <w:hideMark/>
          </w:tcPr>
          <w:p w:rsidR="00DA380F" w:rsidRPr="004C049D" w:rsidRDefault="00DA380F" w:rsidP="004C049D">
            <w:pPr>
              <w:ind w:left="-68"/>
              <w:jc w:val="center"/>
              <w:rPr>
                <w:rFonts w:ascii="Arial" w:hAnsi="Arial" w:cs="Arial"/>
                <w:color w:val="000000" w:themeColor="text1"/>
                <w:sz w:val="12"/>
                <w:szCs w:val="12"/>
              </w:rPr>
            </w:pPr>
            <w:r w:rsidRPr="004C049D">
              <w:rPr>
                <w:rFonts w:ascii="Arial" w:hAnsi="Arial" w:cs="Arial"/>
                <w:color w:val="000000" w:themeColor="text1"/>
                <w:sz w:val="12"/>
                <w:szCs w:val="12"/>
              </w:rPr>
              <w:t>-75,2</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jc w:val="center"/>
              <w:rPr>
                <w:rFonts w:ascii="Arial" w:hAnsi="Arial" w:cs="Arial"/>
                <w:color w:val="000000" w:themeColor="text1"/>
                <w:sz w:val="12"/>
                <w:szCs w:val="12"/>
              </w:rPr>
            </w:pPr>
            <w:r w:rsidRPr="00E74ADC">
              <w:rPr>
                <w:rFonts w:ascii="Arial" w:hAnsi="Arial" w:cs="Arial"/>
                <w:color w:val="000000" w:themeColor="text1"/>
                <w:sz w:val="12"/>
                <w:szCs w:val="12"/>
              </w:rPr>
              <w:t>-79,3</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972F22">
            <w:pPr>
              <w:ind w:left="-68"/>
              <w:jc w:val="center"/>
              <w:rPr>
                <w:rFonts w:ascii="Times New Roman" w:hAnsi="Times New Roman" w:cs="Times New Roman"/>
                <w:sz w:val="13"/>
                <w:szCs w:val="13"/>
              </w:rPr>
            </w:pPr>
            <w:r w:rsidRPr="00226A52">
              <w:rPr>
                <w:rFonts w:ascii="Times New Roman" w:hAnsi="Times New Roman" w:cs="Times New Roman"/>
                <w:sz w:val="13"/>
                <w:szCs w:val="13"/>
              </w:rPr>
              <w:t>-77,3</w:t>
            </w:r>
          </w:p>
        </w:tc>
      </w:tr>
      <w:tr w:rsidR="00DA380F" w:rsidRPr="0069760B" w:rsidTr="00DA380F">
        <w:trPr>
          <w:trHeight w:val="513"/>
          <w:jc w:val="center"/>
        </w:trPr>
        <w:tc>
          <w:tcPr>
            <w:tcW w:w="2184" w:type="pct"/>
            <w:tcBorders>
              <w:top w:val="nil"/>
              <w:left w:val="single" w:sz="4" w:space="0" w:color="auto"/>
              <w:bottom w:val="single" w:sz="4" w:space="0" w:color="auto"/>
              <w:right w:val="single" w:sz="4" w:space="0" w:color="auto"/>
            </w:tcBorders>
            <w:shd w:val="clear" w:color="auto" w:fill="auto"/>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Evolution  passée des prix des produits alimentaires</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-91,6</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-89,0</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-90,5</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-90,8</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-89,4</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-84,1</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-81,8</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-84,5</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-87,2</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-85,3</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-84,3</w:t>
            </w:r>
          </w:p>
        </w:tc>
        <w:tc>
          <w:tcPr>
            <w:tcW w:w="227" w:type="pct"/>
            <w:tcBorders>
              <w:top w:val="nil"/>
              <w:left w:val="nil"/>
              <w:bottom w:val="single" w:sz="4" w:space="0" w:color="auto"/>
              <w:right w:val="single" w:sz="4" w:space="0" w:color="auto"/>
            </w:tcBorders>
            <w:shd w:val="clear" w:color="auto" w:fill="auto"/>
            <w:vAlign w:val="center"/>
            <w:hideMark/>
          </w:tcPr>
          <w:p w:rsidR="00DA380F" w:rsidRPr="004C049D" w:rsidRDefault="00DA380F" w:rsidP="004C049D">
            <w:pPr>
              <w:ind w:left="-68"/>
              <w:jc w:val="center"/>
              <w:rPr>
                <w:rFonts w:ascii="Arial" w:hAnsi="Arial" w:cs="Arial"/>
                <w:color w:val="000000" w:themeColor="text1"/>
                <w:sz w:val="12"/>
                <w:szCs w:val="12"/>
              </w:rPr>
            </w:pPr>
            <w:r w:rsidRPr="004C049D">
              <w:rPr>
                <w:rFonts w:ascii="Arial" w:hAnsi="Arial" w:cs="Arial"/>
                <w:color w:val="000000" w:themeColor="text1"/>
                <w:sz w:val="12"/>
                <w:szCs w:val="12"/>
              </w:rPr>
              <w:t>-85,4</w:t>
            </w:r>
          </w:p>
        </w:tc>
        <w:tc>
          <w:tcPr>
            <w:tcW w:w="240" w:type="pct"/>
            <w:tcBorders>
              <w:top w:val="nil"/>
              <w:left w:val="nil"/>
              <w:bottom w:val="single" w:sz="4" w:space="0" w:color="auto"/>
              <w:right w:val="single" w:sz="4" w:space="0" w:color="auto"/>
            </w:tcBorders>
            <w:vAlign w:val="center"/>
          </w:tcPr>
          <w:p w:rsidR="00DA380F" w:rsidRPr="00E74ADC" w:rsidRDefault="00DA380F" w:rsidP="00E74ADC">
            <w:pPr>
              <w:jc w:val="center"/>
              <w:rPr>
                <w:rFonts w:ascii="Arial" w:hAnsi="Arial" w:cs="Arial"/>
                <w:color w:val="000000" w:themeColor="text1"/>
                <w:sz w:val="12"/>
                <w:szCs w:val="12"/>
              </w:rPr>
            </w:pPr>
            <w:r w:rsidRPr="00E74ADC">
              <w:rPr>
                <w:rFonts w:ascii="Arial" w:hAnsi="Arial" w:cs="Arial"/>
                <w:color w:val="000000" w:themeColor="text1"/>
                <w:sz w:val="12"/>
                <w:szCs w:val="12"/>
              </w:rPr>
              <w:t>-85,5</w:t>
            </w:r>
          </w:p>
        </w:tc>
        <w:tc>
          <w:tcPr>
            <w:tcW w:w="269" w:type="pct"/>
            <w:gridSpan w:val="2"/>
            <w:tcBorders>
              <w:top w:val="nil"/>
              <w:left w:val="nil"/>
              <w:bottom w:val="single" w:sz="4" w:space="0" w:color="auto"/>
              <w:right w:val="single" w:sz="4" w:space="0" w:color="auto"/>
            </w:tcBorders>
            <w:vAlign w:val="center"/>
          </w:tcPr>
          <w:p w:rsidR="00DA380F" w:rsidRPr="00226A52" w:rsidRDefault="00DA380F" w:rsidP="00972F22">
            <w:pPr>
              <w:ind w:left="-68"/>
              <w:jc w:val="center"/>
              <w:rPr>
                <w:rFonts w:ascii="Times New Roman" w:hAnsi="Times New Roman" w:cs="Times New Roman"/>
                <w:sz w:val="13"/>
                <w:szCs w:val="13"/>
              </w:rPr>
            </w:pPr>
            <w:r w:rsidRPr="00226A52">
              <w:rPr>
                <w:rFonts w:ascii="Times New Roman" w:hAnsi="Times New Roman" w:cs="Times New Roman"/>
                <w:sz w:val="13"/>
                <w:szCs w:val="13"/>
              </w:rPr>
              <w:t>-87,9</w:t>
            </w:r>
          </w:p>
        </w:tc>
      </w:tr>
      <w:tr w:rsidR="00DA380F" w:rsidRPr="0069760B" w:rsidTr="00DA380F">
        <w:trPr>
          <w:trHeight w:val="513"/>
          <w:jc w:val="center"/>
        </w:trPr>
        <w:tc>
          <w:tcPr>
            <w:tcW w:w="2184" w:type="pct"/>
            <w:tcBorders>
              <w:top w:val="nil"/>
              <w:left w:val="single" w:sz="4" w:space="0" w:color="auto"/>
              <w:bottom w:val="single" w:sz="4" w:space="0" w:color="auto"/>
              <w:right w:val="single" w:sz="4" w:space="0" w:color="auto"/>
            </w:tcBorders>
            <w:shd w:val="clear" w:color="auto" w:fill="auto"/>
            <w:noWrap/>
            <w:vAlign w:val="center"/>
            <w:hideMark/>
          </w:tcPr>
          <w:p w:rsidR="00DA380F" w:rsidRPr="0069760B" w:rsidRDefault="00DA380F" w:rsidP="002B79DC">
            <w:pPr>
              <w:widowControl/>
              <w:autoSpaceDE/>
              <w:autoSpaceDN/>
              <w:adjustRightInd/>
              <w:rPr>
                <w:rFonts w:ascii="Times New Roman" w:hAnsi="Times New Roman" w:cs="Times New Roman"/>
                <w:sz w:val="18"/>
                <w:szCs w:val="18"/>
              </w:rPr>
            </w:pPr>
            <w:r w:rsidRPr="0069760B">
              <w:rPr>
                <w:rFonts w:ascii="Times New Roman" w:hAnsi="Times New Roman" w:cs="Times New Roman"/>
                <w:sz w:val="18"/>
                <w:szCs w:val="18"/>
              </w:rPr>
              <w:t>Capacité à épargner des ménages dans les mois à venir</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-67,0</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-70,3</w:t>
            </w:r>
          </w:p>
        </w:tc>
        <w:tc>
          <w:tcPr>
            <w:tcW w:w="189"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-69,1</w:t>
            </w:r>
          </w:p>
        </w:tc>
        <w:tc>
          <w:tcPr>
            <w:tcW w:w="19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-66,7</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right"/>
              <w:rPr>
                <w:rFonts w:ascii="Times New Roman" w:hAnsi="Times New Roman" w:cs="Times New Roman"/>
                <w:sz w:val="12"/>
                <w:szCs w:val="12"/>
              </w:rPr>
            </w:pPr>
            <w:r w:rsidRPr="002B79DC">
              <w:rPr>
                <w:rFonts w:ascii="Times New Roman" w:hAnsi="Times New Roman" w:cs="Times New Roman"/>
                <w:sz w:val="12"/>
                <w:szCs w:val="12"/>
              </w:rPr>
              <w:t>-66,6</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ind w:left="-68"/>
              <w:jc w:val="right"/>
              <w:rPr>
                <w:rFonts w:ascii="Arial" w:hAnsi="Arial" w:cs="Arial"/>
                <w:sz w:val="12"/>
                <w:szCs w:val="12"/>
              </w:rPr>
            </w:pPr>
            <w:r w:rsidRPr="002B79DC">
              <w:rPr>
                <w:rFonts w:ascii="Arial" w:hAnsi="Arial" w:cs="Arial"/>
                <w:sz w:val="12"/>
                <w:szCs w:val="12"/>
              </w:rPr>
              <w:t>-70,2</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-74</w:t>
            </w:r>
          </w:p>
        </w:tc>
        <w:tc>
          <w:tcPr>
            <w:tcW w:w="191"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0656CB">
            <w:pPr>
              <w:widowControl/>
              <w:autoSpaceDE/>
              <w:autoSpaceDN/>
              <w:adjustRightInd/>
              <w:ind w:left="-68"/>
              <w:jc w:val="center"/>
              <w:rPr>
                <w:rFonts w:ascii="Times New Roman" w:hAnsi="Times New Roman" w:cs="Times New Roman"/>
                <w:sz w:val="12"/>
                <w:szCs w:val="12"/>
              </w:rPr>
            </w:pPr>
            <w:r w:rsidRPr="002B79DC">
              <w:rPr>
                <w:rFonts w:ascii="Times New Roman" w:hAnsi="Times New Roman" w:cs="Times New Roman"/>
                <w:sz w:val="12"/>
                <w:szCs w:val="12"/>
              </w:rPr>
              <w:t>-71,1</w:t>
            </w:r>
          </w:p>
        </w:tc>
        <w:tc>
          <w:tcPr>
            <w:tcW w:w="198"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-69,8</w:t>
            </w:r>
          </w:p>
        </w:tc>
        <w:tc>
          <w:tcPr>
            <w:tcW w:w="185"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-67,4</w:t>
            </w:r>
          </w:p>
        </w:tc>
        <w:tc>
          <w:tcPr>
            <w:tcW w:w="186" w:type="pct"/>
            <w:tcBorders>
              <w:top w:val="nil"/>
              <w:left w:val="nil"/>
              <w:bottom w:val="single" w:sz="4" w:space="0" w:color="auto"/>
              <w:right w:val="single" w:sz="4" w:space="0" w:color="auto"/>
            </w:tcBorders>
            <w:shd w:val="clear" w:color="auto" w:fill="auto"/>
            <w:vAlign w:val="center"/>
            <w:hideMark/>
          </w:tcPr>
          <w:p w:rsidR="00DA380F" w:rsidRPr="002B79DC" w:rsidRDefault="00DA380F" w:rsidP="004C049D">
            <w:pPr>
              <w:ind w:left="-68"/>
              <w:jc w:val="center"/>
              <w:rPr>
                <w:rFonts w:ascii="Arial" w:hAnsi="Arial" w:cs="Arial"/>
                <w:color w:val="000000" w:themeColor="text1"/>
                <w:sz w:val="12"/>
                <w:szCs w:val="12"/>
              </w:rPr>
            </w:pPr>
            <w:r w:rsidRPr="002B79DC">
              <w:rPr>
                <w:rFonts w:ascii="Arial" w:hAnsi="Arial" w:cs="Arial"/>
                <w:color w:val="000000" w:themeColor="text1"/>
                <w:sz w:val="12"/>
                <w:szCs w:val="12"/>
              </w:rPr>
              <w:t>-70,6</w:t>
            </w:r>
          </w:p>
        </w:tc>
        <w:tc>
          <w:tcPr>
            <w:tcW w:w="227" w:type="pct"/>
            <w:tcBorders>
              <w:top w:val="nil"/>
              <w:left w:val="nil"/>
              <w:bottom w:val="single" w:sz="4" w:space="0" w:color="auto"/>
              <w:right w:val="single" w:sz="4" w:space="0" w:color="auto"/>
            </w:tcBorders>
            <w:shd w:val="clear" w:color="auto" w:fill="auto"/>
            <w:vAlign w:val="center"/>
            <w:hideMark/>
          </w:tcPr>
          <w:p w:rsidR="00DA380F" w:rsidRDefault="00DA380F" w:rsidP="004C049D">
            <w:pPr>
              <w:ind w:left="-68"/>
              <w:jc w:val="center"/>
              <w:rPr>
                <w:rFonts w:ascii="Arial" w:hAnsi="Arial" w:cs="Arial"/>
                <w:color w:val="000000" w:themeColor="text1"/>
                <w:sz w:val="12"/>
                <w:szCs w:val="12"/>
              </w:rPr>
            </w:pPr>
          </w:p>
          <w:p w:rsidR="00DA380F" w:rsidRPr="004C049D" w:rsidRDefault="00DA380F" w:rsidP="004C049D">
            <w:pPr>
              <w:ind w:left="-68"/>
              <w:jc w:val="center"/>
              <w:rPr>
                <w:rFonts w:ascii="Arial" w:hAnsi="Arial" w:cs="Arial"/>
                <w:color w:val="000000" w:themeColor="text1"/>
                <w:sz w:val="12"/>
                <w:szCs w:val="12"/>
              </w:rPr>
            </w:pPr>
            <w:r w:rsidRPr="004C049D">
              <w:rPr>
                <w:rFonts w:ascii="Arial" w:hAnsi="Arial" w:cs="Arial"/>
                <w:color w:val="000000" w:themeColor="text1"/>
                <w:sz w:val="12"/>
                <w:szCs w:val="12"/>
              </w:rPr>
              <w:t>-69,2</w:t>
            </w:r>
          </w:p>
          <w:p w:rsidR="00DA380F" w:rsidRPr="004C049D" w:rsidRDefault="00DA380F" w:rsidP="004C049D">
            <w:pPr>
              <w:widowControl/>
              <w:autoSpaceDE/>
              <w:autoSpaceDN/>
              <w:adjustRightInd/>
              <w:ind w:left="-68"/>
              <w:jc w:val="center"/>
              <w:rPr>
                <w:rFonts w:ascii="Arial" w:hAnsi="Arial" w:cs="Arial"/>
                <w:color w:val="000000" w:themeColor="text1"/>
                <w:sz w:val="12"/>
                <w:szCs w:val="12"/>
              </w:rPr>
            </w:pPr>
          </w:p>
        </w:tc>
        <w:tc>
          <w:tcPr>
            <w:tcW w:w="240" w:type="pct"/>
            <w:tcBorders>
              <w:top w:val="nil"/>
              <w:left w:val="nil"/>
              <w:bottom w:val="single" w:sz="4" w:space="0" w:color="auto"/>
              <w:right w:val="single" w:sz="4" w:space="0" w:color="auto"/>
            </w:tcBorders>
            <w:vAlign w:val="center"/>
          </w:tcPr>
          <w:p w:rsidR="00DA380F" w:rsidRPr="00E74ADC" w:rsidRDefault="00DA380F" w:rsidP="00E74ADC">
            <w:pPr>
              <w:jc w:val="center"/>
              <w:rPr>
                <w:rFonts w:ascii="Arial" w:hAnsi="Arial" w:cs="Arial"/>
                <w:color w:val="000000" w:themeColor="text1"/>
                <w:sz w:val="12"/>
                <w:szCs w:val="12"/>
              </w:rPr>
            </w:pPr>
            <w:r w:rsidRPr="00E74ADC">
              <w:rPr>
                <w:rFonts w:ascii="Arial" w:hAnsi="Arial" w:cs="Arial"/>
                <w:color w:val="000000" w:themeColor="text1"/>
                <w:sz w:val="12"/>
                <w:szCs w:val="12"/>
              </w:rPr>
              <w:t>-69,7</w:t>
            </w:r>
          </w:p>
        </w:tc>
        <w:tc>
          <w:tcPr>
            <w:tcW w:w="269" w:type="pct"/>
            <w:gridSpan w:val="2"/>
            <w:tcBorders>
              <w:top w:val="nil"/>
              <w:left w:val="nil"/>
              <w:bottom w:val="single" w:sz="4" w:space="0" w:color="auto"/>
              <w:right w:val="single" w:sz="4" w:space="0" w:color="auto"/>
            </w:tcBorders>
            <w:vAlign w:val="center"/>
          </w:tcPr>
          <w:p w:rsidR="00DA380F" w:rsidRDefault="00DA380F" w:rsidP="00972F22">
            <w:pPr>
              <w:ind w:left="-68"/>
              <w:jc w:val="center"/>
              <w:rPr>
                <w:rFonts w:ascii="Times New Roman" w:hAnsi="Times New Roman" w:cs="Times New Roman"/>
                <w:sz w:val="13"/>
                <w:szCs w:val="13"/>
              </w:rPr>
            </w:pPr>
          </w:p>
          <w:p w:rsidR="00DA380F" w:rsidRPr="00226A52" w:rsidRDefault="00DA380F" w:rsidP="00972F22">
            <w:pPr>
              <w:ind w:left="-68"/>
              <w:jc w:val="center"/>
              <w:rPr>
                <w:rFonts w:ascii="Times New Roman" w:hAnsi="Times New Roman" w:cs="Times New Roman"/>
                <w:sz w:val="13"/>
                <w:szCs w:val="13"/>
              </w:rPr>
            </w:pPr>
            <w:r w:rsidRPr="00226A52">
              <w:rPr>
                <w:rFonts w:ascii="Times New Roman" w:hAnsi="Times New Roman" w:cs="Times New Roman"/>
                <w:sz w:val="13"/>
                <w:szCs w:val="13"/>
              </w:rPr>
              <w:t>-66,</w:t>
            </w:r>
            <w:r>
              <w:rPr>
                <w:rFonts w:ascii="Times New Roman" w:hAnsi="Times New Roman" w:cs="Times New Roman"/>
                <w:sz w:val="13"/>
                <w:szCs w:val="13"/>
              </w:rPr>
              <w:t>6</w:t>
            </w:r>
          </w:p>
          <w:p w:rsidR="00DA380F" w:rsidRPr="00226A52" w:rsidRDefault="00DA380F" w:rsidP="00972F22">
            <w:pPr>
              <w:ind w:left="-68"/>
              <w:jc w:val="center"/>
              <w:rPr>
                <w:rFonts w:ascii="Times New Roman" w:hAnsi="Times New Roman" w:cs="Times New Roman"/>
                <w:sz w:val="13"/>
                <w:szCs w:val="13"/>
              </w:rPr>
            </w:pPr>
          </w:p>
        </w:tc>
      </w:tr>
    </w:tbl>
    <w:p w:rsidR="0068173C" w:rsidRPr="00C706A5" w:rsidRDefault="0068173C" w:rsidP="00DB06E9">
      <w:pPr>
        <w:spacing w:line="360" w:lineRule="auto"/>
        <w:jc w:val="both"/>
        <w:rPr>
          <w:rFonts w:ascii="Times New Roman" w:hAnsi="Times New Roman" w:cs="Times New Roman"/>
          <w:color w:val="000000" w:themeColor="text1"/>
        </w:rPr>
      </w:pPr>
    </w:p>
    <w:sectPr w:rsidR="0068173C" w:rsidRPr="00C706A5" w:rsidSect="00337BE3">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E45" w:rsidRDefault="00644E45" w:rsidP="00460705">
      <w:r>
        <w:separator/>
      </w:r>
    </w:p>
  </w:endnote>
  <w:endnote w:type="continuationSeparator" w:id="1">
    <w:p w:rsidR="00644E45" w:rsidRDefault="00644E45" w:rsidP="00460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132658"/>
      <w:docPartObj>
        <w:docPartGallery w:val="Page Numbers (Bottom of Page)"/>
        <w:docPartUnique/>
      </w:docPartObj>
    </w:sdtPr>
    <w:sdtContent>
      <w:p w:rsidR="00F45C72" w:rsidRDefault="00D20556">
        <w:pPr>
          <w:pStyle w:val="Pieddepage"/>
          <w:jc w:val="center"/>
        </w:pPr>
        <w:fldSimple w:instr=" PAGE   \* MERGEFORMAT ">
          <w:r w:rsidR="004A5D5B">
            <w:rPr>
              <w:noProof/>
            </w:rPr>
            <w:t>2</w:t>
          </w:r>
        </w:fldSimple>
      </w:p>
    </w:sdtContent>
  </w:sdt>
  <w:p w:rsidR="00F45C72" w:rsidRDefault="00F45C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E45" w:rsidRDefault="00644E45" w:rsidP="00460705">
      <w:r>
        <w:separator/>
      </w:r>
    </w:p>
  </w:footnote>
  <w:footnote w:type="continuationSeparator" w:id="1">
    <w:p w:rsidR="00644E45" w:rsidRDefault="00644E45" w:rsidP="00460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A8E"/>
    <w:multiLevelType w:val="hybridMultilevel"/>
    <w:tmpl w:val="DEAAA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02827"/>
    <w:multiLevelType w:val="hybridMultilevel"/>
    <w:tmpl w:val="651C7EFE"/>
    <w:lvl w:ilvl="0" w:tplc="B100CA10">
      <w:start w:val="3"/>
      <w:numFmt w:val="bullet"/>
      <w:lvlText w:val=""/>
      <w:lvlJc w:val="left"/>
      <w:pPr>
        <w:ind w:left="420" w:hanging="360"/>
      </w:pPr>
      <w:rPr>
        <w:rFonts w:ascii="Symbol" w:eastAsia="Times New Roman"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08056781"/>
    <w:multiLevelType w:val="hybridMultilevel"/>
    <w:tmpl w:val="784EAA80"/>
    <w:lvl w:ilvl="0" w:tplc="6DD295CC">
      <w:start w:val="1"/>
      <w:numFmt w:val="decimal"/>
      <w:lvlText w:val="(%1)"/>
      <w:lvlJc w:val="left"/>
      <w:pPr>
        <w:ind w:left="720" w:hanging="360"/>
      </w:pPr>
      <w:rPr>
        <w:rFonts w:hint="default"/>
        <w:b/>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11432E"/>
    <w:multiLevelType w:val="hybridMultilevel"/>
    <w:tmpl w:val="0CEE6D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0A122E6"/>
    <w:multiLevelType w:val="hybridMultilevel"/>
    <w:tmpl w:val="826865B6"/>
    <w:lvl w:ilvl="0" w:tplc="0616EC8E">
      <w:numFmt w:val="bullet"/>
      <w:lvlText w:val="-"/>
      <w:lvlJc w:val="left"/>
      <w:pPr>
        <w:ind w:left="1080" w:hanging="360"/>
      </w:pPr>
      <w:rPr>
        <w:rFonts w:ascii="Book Antiqua" w:eastAsia="Calibri" w:hAnsi="Book Antiqu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15032A5"/>
    <w:multiLevelType w:val="hybridMultilevel"/>
    <w:tmpl w:val="D172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D51664"/>
    <w:multiLevelType w:val="hybridMultilevel"/>
    <w:tmpl w:val="23060486"/>
    <w:lvl w:ilvl="0" w:tplc="20AE1A2A">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CC54CD3"/>
    <w:multiLevelType w:val="hybridMultilevel"/>
    <w:tmpl w:val="0EF07944"/>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9C3212"/>
    <w:multiLevelType w:val="hybridMultilevel"/>
    <w:tmpl w:val="0EB82B5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245C66"/>
    <w:multiLevelType w:val="hybridMultilevel"/>
    <w:tmpl w:val="D172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28527B"/>
    <w:multiLevelType w:val="multilevel"/>
    <w:tmpl w:val="61509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E6100A"/>
    <w:multiLevelType w:val="hybridMultilevel"/>
    <w:tmpl w:val="F000AF9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2">
    <w:nsid w:val="498D60E8"/>
    <w:multiLevelType w:val="hybridMultilevel"/>
    <w:tmpl w:val="E83A8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355FAE"/>
    <w:multiLevelType w:val="hybridMultilevel"/>
    <w:tmpl w:val="5A8C44D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2DB559E"/>
    <w:multiLevelType w:val="hybridMultilevel"/>
    <w:tmpl w:val="C618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7D7E0F"/>
    <w:multiLevelType w:val="hybridMultilevel"/>
    <w:tmpl w:val="575CBA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4D297B"/>
    <w:multiLevelType w:val="hybridMultilevel"/>
    <w:tmpl w:val="054A5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657841"/>
    <w:multiLevelType w:val="hybridMultilevel"/>
    <w:tmpl w:val="D172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22F3FE5"/>
    <w:multiLevelType w:val="hybridMultilevel"/>
    <w:tmpl w:val="D172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EBD7D01"/>
    <w:multiLevelType w:val="hybridMultilevel"/>
    <w:tmpl w:val="0E2043F8"/>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3"/>
  </w:num>
  <w:num w:numId="5">
    <w:abstractNumId w:val="10"/>
  </w:num>
  <w:num w:numId="6">
    <w:abstractNumId w:val="12"/>
  </w:num>
  <w:num w:numId="7">
    <w:abstractNumId w:val="0"/>
  </w:num>
  <w:num w:numId="8">
    <w:abstractNumId w:val="8"/>
  </w:num>
  <w:num w:numId="9">
    <w:abstractNumId w:val="17"/>
  </w:num>
  <w:num w:numId="10">
    <w:abstractNumId w:val="7"/>
  </w:num>
  <w:num w:numId="11">
    <w:abstractNumId w:val="19"/>
  </w:num>
  <w:num w:numId="12">
    <w:abstractNumId w:val="1"/>
  </w:num>
  <w:num w:numId="13">
    <w:abstractNumId w:val="18"/>
  </w:num>
  <w:num w:numId="14">
    <w:abstractNumId w:val="9"/>
  </w:num>
  <w:num w:numId="15">
    <w:abstractNumId w:val="5"/>
  </w:num>
  <w:num w:numId="16">
    <w:abstractNumId w:val="3"/>
  </w:num>
  <w:num w:numId="17">
    <w:abstractNumId w:val="16"/>
  </w:num>
  <w:num w:numId="18">
    <w:abstractNumId w:val="15"/>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12704"/>
    <w:rsid w:val="000016A1"/>
    <w:rsid w:val="000023E0"/>
    <w:rsid w:val="00002F9B"/>
    <w:rsid w:val="00003F54"/>
    <w:rsid w:val="00005381"/>
    <w:rsid w:val="000060F8"/>
    <w:rsid w:val="000069AE"/>
    <w:rsid w:val="00011A0E"/>
    <w:rsid w:val="00011BC4"/>
    <w:rsid w:val="00011F4E"/>
    <w:rsid w:val="00014530"/>
    <w:rsid w:val="00014940"/>
    <w:rsid w:val="00015112"/>
    <w:rsid w:val="000151DD"/>
    <w:rsid w:val="00015EF3"/>
    <w:rsid w:val="00016F90"/>
    <w:rsid w:val="000174FE"/>
    <w:rsid w:val="00017526"/>
    <w:rsid w:val="0001754D"/>
    <w:rsid w:val="00022644"/>
    <w:rsid w:val="00023DE5"/>
    <w:rsid w:val="00024686"/>
    <w:rsid w:val="0002532B"/>
    <w:rsid w:val="00025F15"/>
    <w:rsid w:val="000265CF"/>
    <w:rsid w:val="000315FD"/>
    <w:rsid w:val="00031CFB"/>
    <w:rsid w:val="000324B4"/>
    <w:rsid w:val="00032619"/>
    <w:rsid w:val="00032AF9"/>
    <w:rsid w:val="00032ECD"/>
    <w:rsid w:val="000356C1"/>
    <w:rsid w:val="00035819"/>
    <w:rsid w:val="000364EF"/>
    <w:rsid w:val="00036F7C"/>
    <w:rsid w:val="0003703D"/>
    <w:rsid w:val="000370B6"/>
    <w:rsid w:val="0004211E"/>
    <w:rsid w:val="00042157"/>
    <w:rsid w:val="00043430"/>
    <w:rsid w:val="0004437F"/>
    <w:rsid w:val="00044E75"/>
    <w:rsid w:val="000451AC"/>
    <w:rsid w:val="00046C56"/>
    <w:rsid w:val="00046EB3"/>
    <w:rsid w:val="00047148"/>
    <w:rsid w:val="00047B2B"/>
    <w:rsid w:val="00050145"/>
    <w:rsid w:val="00051534"/>
    <w:rsid w:val="000518A6"/>
    <w:rsid w:val="00051B80"/>
    <w:rsid w:val="00052C8E"/>
    <w:rsid w:val="0005319E"/>
    <w:rsid w:val="00055B18"/>
    <w:rsid w:val="0005628D"/>
    <w:rsid w:val="000569E9"/>
    <w:rsid w:val="00056F4A"/>
    <w:rsid w:val="0005706F"/>
    <w:rsid w:val="00057262"/>
    <w:rsid w:val="00057BC7"/>
    <w:rsid w:val="00057E1A"/>
    <w:rsid w:val="00061CA4"/>
    <w:rsid w:val="00062779"/>
    <w:rsid w:val="00064021"/>
    <w:rsid w:val="000646B0"/>
    <w:rsid w:val="000656CB"/>
    <w:rsid w:val="00066E22"/>
    <w:rsid w:val="00067347"/>
    <w:rsid w:val="00067D35"/>
    <w:rsid w:val="00070565"/>
    <w:rsid w:val="000706EE"/>
    <w:rsid w:val="000712A9"/>
    <w:rsid w:val="000718BD"/>
    <w:rsid w:val="000720FD"/>
    <w:rsid w:val="00072708"/>
    <w:rsid w:val="00072CF2"/>
    <w:rsid w:val="00072EEA"/>
    <w:rsid w:val="00072F7C"/>
    <w:rsid w:val="00073079"/>
    <w:rsid w:val="000749D1"/>
    <w:rsid w:val="000753A8"/>
    <w:rsid w:val="00076938"/>
    <w:rsid w:val="000779C2"/>
    <w:rsid w:val="00077CAA"/>
    <w:rsid w:val="00081434"/>
    <w:rsid w:val="0008224D"/>
    <w:rsid w:val="00082D2E"/>
    <w:rsid w:val="000836A6"/>
    <w:rsid w:val="0008574A"/>
    <w:rsid w:val="000877E9"/>
    <w:rsid w:val="00087DA2"/>
    <w:rsid w:val="000909E5"/>
    <w:rsid w:val="00090FCF"/>
    <w:rsid w:val="00090FEC"/>
    <w:rsid w:val="00091D64"/>
    <w:rsid w:val="00091FB9"/>
    <w:rsid w:val="00092DFB"/>
    <w:rsid w:val="00093D84"/>
    <w:rsid w:val="00094BEF"/>
    <w:rsid w:val="00097300"/>
    <w:rsid w:val="00097799"/>
    <w:rsid w:val="0009797C"/>
    <w:rsid w:val="00097D75"/>
    <w:rsid w:val="000A0177"/>
    <w:rsid w:val="000A0881"/>
    <w:rsid w:val="000A14AD"/>
    <w:rsid w:val="000A158A"/>
    <w:rsid w:val="000A20DC"/>
    <w:rsid w:val="000A2DA9"/>
    <w:rsid w:val="000A33DF"/>
    <w:rsid w:val="000A40C3"/>
    <w:rsid w:val="000A5F4A"/>
    <w:rsid w:val="000A62F9"/>
    <w:rsid w:val="000B0844"/>
    <w:rsid w:val="000B09BA"/>
    <w:rsid w:val="000B1487"/>
    <w:rsid w:val="000B16D1"/>
    <w:rsid w:val="000B34E3"/>
    <w:rsid w:val="000B552C"/>
    <w:rsid w:val="000C0C01"/>
    <w:rsid w:val="000C3718"/>
    <w:rsid w:val="000C39F9"/>
    <w:rsid w:val="000C439F"/>
    <w:rsid w:val="000C4C0E"/>
    <w:rsid w:val="000C56EA"/>
    <w:rsid w:val="000C689C"/>
    <w:rsid w:val="000C7F17"/>
    <w:rsid w:val="000D1CF5"/>
    <w:rsid w:val="000D24FA"/>
    <w:rsid w:val="000D2586"/>
    <w:rsid w:val="000D2E52"/>
    <w:rsid w:val="000D341B"/>
    <w:rsid w:val="000D367A"/>
    <w:rsid w:val="000D4077"/>
    <w:rsid w:val="000D54E1"/>
    <w:rsid w:val="000D5638"/>
    <w:rsid w:val="000D5AB2"/>
    <w:rsid w:val="000D5B0A"/>
    <w:rsid w:val="000E10E0"/>
    <w:rsid w:val="000E17D9"/>
    <w:rsid w:val="000E1BEE"/>
    <w:rsid w:val="000E20BC"/>
    <w:rsid w:val="000E21A1"/>
    <w:rsid w:val="000E4DC7"/>
    <w:rsid w:val="000F0919"/>
    <w:rsid w:val="000F0DB1"/>
    <w:rsid w:val="000F184A"/>
    <w:rsid w:val="000F2945"/>
    <w:rsid w:val="000F2B60"/>
    <w:rsid w:val="000F5A2E"/>
    <w:rsid w:val="000F6CE8"/>
    <w:rsid w:val="000F70E8"/>
    <w:rsid w:val="000F74C5"/>
    <w:rsid w:val="000F7A57"/>
    <w:rsid w:val="000F7C4F"/>
    <w:rsid w:val="00100026"/>
    <w:rsid w:val="00101249"/>
    <w:rsid w:val="00101DA7"/>
    <w:rsid w:val="00102B5C"/>
    <w:rsid w:val="001037B3"/>
    <w:rsid w:val="00104221"/>
    <w:rsid w:val="00104438"/>
    <w:rsid w:val="00104463"/>
    <w:rsid w:val="00104CAC"/>
    <w:rsid w:val="001052BE"/>
    <w:rsid w:val="00105320"/>
    <w:rsid w:val="00106C84"/>
    <w:rsid w:val="00106E19"/>
    <w:rsid w:val="00106EC0"/>
    <w:rsid w:val="00106FA4"/>
    <w:rsid w:val="00107245"/>
    <w:rsid w:val="00107534"/>
    <w:rsid w:val="00107E17"/>
    <w:rsid w:val="00107F1E"/>
    <w:rsid w:val="001103D0"/>
    <w:rsid w:val="00110B90"/>
    <w:rsid w:val="00110BE5"/>
    <w:rsid w:val="00111470"/>
    <w:rsid w:val="001116C8"/>
    <w:rsid w:val="00111FC4"/>
    <w:rsid w:val="00113273"/>
    <w:rsid w:val="001133D2"/>
    <w:rsid w:val="00113767"/>
    <w:rsid w:val="0011495F"/>
    <w:rsid w:val="00115D48"/>
    <w:rsid w:val="001161C4"/>
    <w:rsid w:val="00116945"/>
    <w:rsid w:val="0011726A"/>
    <w:rsid w:val="00117A2F"/>
    <w:rsid w:val="00117F82"/>
    <w:rsid w:val="00121180"/>
    <w:rsid w:val="00121CCC"/>
    <w:rsid w:val="00122941"/>
    <w:rsid w:val="00123E79"/>
    <w:rsid w:val="00124827"/>
    <w:rsid w:val="00125161"/>
    <w:rsid w:val="001254E5"/>
    <w:rsid w:val="00125543"/>
    <w:rsid w:val="00126B26"/>
    <w:rsid w:val="00126E55"/>
    <w:rsid w:val="0012794C"/>
    <w:rsid w:val="00127D67"/>
    <w:rsid w:val="00131E2D"/>
    <w:rsid w:val="00133286"/>
    <w:rsid w:val="0013347C"/>
    <w:rsid w:val="00133687"/>
    <w:rsid w:val="00133860"/>
    <w:rsid w:val="001347D2"/>
    <w:rsid w:val="00135D83"/>
    <w:rsid w:val="00137D7D"/>
    <w:rsid w:val="001404A9"/>
    <w:rsid w:val="001414F3"/>
    <w:rsid w:val="001424D2"/>
    <w:rsid w:val="0014379B"/>
    <w:rsid w:val="001438AB"/>
    <w:rsid w:val="0014398F"/>
    <w:rsid w:val="00144320"/>
    <w:rsid w:val="001467F7"/>
    <w:rsid w:val="0014733D"/>
    <w:rsid w:val="00151AE6"/>
    <w:rsid w:val="00151C70"/>
    <w:rsid w:val="0015212E"/>
    <w:rsid w:val="001523D7"/>
    <w:rsid w:val="00152D59"/>
    <w:rsid w:val="00153ECF"/>
    <w:rsid w:val="00154339"/>
    <w:rsid w:val="001545AE"/>
    <w:rsid w:val="00154E44"/>
    <w:rsid w:val="00156587"/>
    <w:rsid w:val="0015763C"/>
    <w:rsid w:val="00157CA9"/>
    <w:rsid w:val="0016005A"/>
    <w:rsid w:val="00160141"/>
    <w:rsid w:val="00161772"/>
    <w:rsid w:val="00162062"/>
    <w:rsid w:val="001638CE"/>
    <w:rsid w:val="001643DF"/>
    <w:rsid w:val="001648E6"/>
    <w:rsid w:val="00165671"/>
    <w:rsid w:val="0016596E"/>
    <w:rsid w:val="001672BD"/>
    <w:rsid w:val="0016780D"/>
    <w:rsid w:val="00173781"/>
    <w:rsid w:val="00174542"/>
    <w:rsid w:val="00174553"/>
    <w:rsid w:val="0017495A"/>
    <w:rsid w:val="001757C5"/>
    <w:rsid w:val="001760CB"/>
    <w:rsid w:val="00181B72"/>
    <w:rsid w:val="00182E1E"/>
    <w:rsid w:val="00184023"/>
    <w:rsid w:val="00184250"/>
    <w:rsid w:val="00185207"/>
    <w:rsid w:val="00185ABC"/>
    <w:rsid w:val="001864E5"/>
    <w:rsid w:val="00186530"/>
    <w:rsid w:val="001871C4"/>
    <w:rsid w:val="00187A5C"/>
    <w:rsid w:val="00187EB7"/>
    <w:rsid w:val="00190672"/>
    <w:rsid w:val="00191E08"/>
    <w:rsid w:val="00191F62"/>
    <w:rsid w:val="00193B35"/>
    <w:rsid w:val="00193B4D"/>
    <w:rsid w:val="0019435A"/>
    <w:rsid w:val="001956DC"/>
    <w:rsid w:val="00195D2E"/>
    <w:rsid w:val="001960E9"/>
    <w:rsid w:val="001968E2"/>
    <w:rsid w:val="00196D8E"/>
    <w:rsid w:val="00196DF3"/>
    <w:rsid w:val="001975D4"/>
    <w:rsid w:val="00197D9A"/>
    <w:rsid w:val="00197F64"/>
    <w:rsid w:val="001A048A"/>
    <w:rsid w:val="001A0F65"/>
    <w:rsid w:val="001A2204"/>
    <w:rsid w:val="001A288D"/>
    <w:rsid w:val="001A384F"/>
    <w:rsid w:val="001A4203"/>
    <w:rsid w:val="001A4BB7"/>
    <w:rsid w:val="001A648B"/>
    <w:rsid w:val="001A69DD"/>
    <w:rsid w:val="001A6BB6"/>
    <w:rsid w:val="001B0AB6"/>
    <w:rsid w:val="001B1130"/>
    <w:rsid w:val="001B1C9F"/>
    <w:rsid w:val="001B1E0E"/>
    <w:rsid w:val="001B2334"/>
    <w:rsid w:val="001B3593"/>
    <w:rsid w:val="001B3707"/>
    <w:rsid w:val="001B3CB2"/>
    <w:rsid w:val="001B50A1"/>
    <w:rsid w:val="001B561B"/>
    <w:rsid w:val="001B5B96"/>
    <w:rsid w:val="001B5F02"/>
    <w:rsid w:val="001B69A3"/>
    <w:rsid w:val="001B7322"/>
    <w:rsid w:val="001B7854"/>
    <w:rsid w:val="001C0839"/>
    <w:rsid w:val="001C4D54"/>
    <w:rsid w:val="001C5656"/>
    <w:rsid w:val="001C5AA4"/>
    <w:rsid w:val="001C67D4"/>
    <w:rsid w:val="001C6846"/>
    <w:rsid w:val="001C6883"/>
    <w:rsid w:val="001D0C73"/>
    <w:rsid w:val="001D28DC"/>
    <w:rsid w:val="001D2D35"/>
    <w:rsid w:val="001D3A1D"/>
    <w:rsid w:val="001D709D"/>
    <w:rsid w:val="001E0D0B"/>
    <w:rsid w:val="001E1901"/>
    <w:rsid w:val="001E36D5"/>
    <w:rsid w:val="001E42CC"/>
    <w:rsid w:val="001E4F55"/>
    <w:rsid w:val="001E6198"/>
    <w:rsid w:val="001E78BD"/>
    <w:rsid w:val="001F062E"/>
    <w:rsid w:val="001F14B0"/>
    <w:rsid w:val="001F20AF"/>
    <w:rsid w:val="001F321B"/>
    <w:rsid w:val="001F3646"/>
    <w:rsid w:val="001F4A3E"/>
    <w:rsid w:val="001F4FE4"/>
    <w:rsid w:val="001F5970"/>
    <w:rsid w:val="001F59E2"/>
    <w:rsid w:val="001F5D34"/>
    <w:rsid w:val="001F626D"/>
    <w:rsid w:val="001F6A9C"/>
    <w:rsid w:val="001F70B6"/>
    <w:rsid w:val="001F739C"/>
    <w:rsid w:val="001F7711"/>
    <w:rsid w:val="001F7D34"/>
    <w:rsid w:val="00200755"/>
    <w:rsid w:val="002021DE"/>
    <w:rsid w:val="002041E9"/>
    <w:rsid w:val="0020508E"/>
    <w:rsid w:val="00206A7F"/>
    <w:rsid w:val="0020711A"/>
    <w:rsid w:val="00207730"/>
    <w:rsid w:val="0021180E"/>
    <w:rsid w:val="0021213E"/>
    <w:rsid w:val="00212714"/>
    <w:rsid w:val="00212E56"/>
    <w:rsid w:val="00213786"/>
    <w:rsid w:val="00214439"/>
    <w:rsid w:val="00214D50"/>
    <w:rsid w:val="002163AF"/>
    <w:rsid w:val="002164DC"/>
    <w:rsid w:val="00216E7C"/>
    <w:rsid w:val="00221FC5"/>
    <w:rsid w:val="00222682"/>
    <w:rsid w:val="002226A1"/>
    <w:rsid w:val="00222815"/>
    <w:rsid w:val="00222831"/>
    <w:rsid w:val="00223178"/>
    <w:rsid w:val="00223808"/>
    <w:rsid w:val="0022467F"/>
    <w:rsid w:val="00225685"/>
    <w:rsid w:val="00226A52"/>
    <w:rsid w:val="00226BE3"/>
    <w:rsid w:val="00227B1B"/>
    <w:rsid w:val="0023094A"/>
    <w:rsid w:val="00232556"/>
    <w:rsid w:val="00233531"/>
    <w:rsid w:val="002364B4"/>
    <w:rsid w:val="0023661B"/>
    <w:rsid w:val="00236927"/>
    <w:rsid w:val="002375C4"/>
    <w:rsid w:val="0024028E"/>
    <w:rsid w:val="00241A46"/>
    <w:rsid w:val="002431B9"/>
    <w:rsid w:val="002436BE"/>
    <w:rsid w:val="00243AE1"/>
    <w:rsid w:val="00245992"/>
    <w:rsid w:val="00246518"/>
    <w:rsid w:val="002478EF"/>
    <w:rsid w:val="00247A3B"/>
    <w:rsid w:val="002502C2"/>
    <w:rsid w:val="00251ABE"/>
    <w:rsid w:val="0025208F"/>
    <w:rsid w:val="0025259C"/>
    <w:rsid w:val="00253166"/>
    <w:rsid w:val="002534E9"/>
    <w:rsid w:val="00254D8A"/>
    <w:rsid w:val="00256232"/>
    <w:rsid w:val="00256FBC"/>
    <w:rsid w:val="00257385"/>
    <w:rsid w:val="00260173"/>
    <w:rsid w:val="00260D98"/>
    <w:rsid w:val="002613C1"/>
    <w:rsid w:val="0026141F"/>
    <w:rsid w:val="002620C4"/>
    <w:rsid w:val="00262122"/>
    <w:rsid w:val="00262237"/>
    <w:rsid w:val="0026337D"/>
    <w:rsid w:val="002636A0"/>
    <w:rsid w:val="00263D54"/>
    <w:rsid w:val="0026440A"/>
    <w:rsid w:val="00264457"/>
    <w:rsid w:val="00265566"/>
    <w:rsid w:val="00265CFD"/>
    <w:rsid w:val="00266110"/>
    <w:rsid w:val="00267202"/>
    <w:rsid w:val="00267298"/>
    <w:rsid w:val="002672A0"/>
    <w:rsid w:val="0026748C"/>
    <w:rsid w:val="00267B6E"/>
    <w:rsid w:val="00270AD9"/>
    <w:rsid w:val="00270B31"/>
    <w:rsid w:val="00271743"/>
    <w:rsid w:val="0027263B"/>
    <w:rsid w:val="00272727"/>
    <w:rsid w:val="00272D28"/>
    <w:rsid w:val="0027471B"/>
    <w:rsid w:val="002751C2"/>
    <w:rsid w:val="00275256"/>
    <w:rsid w:val="00276077"/>
    <w:rsid w:val="00280072"/>
    <w:rsid w:val="0028098C"/>
    <w:rsid w:val="002821C5"/>
    <w:rsid w:val="0028239A"/>
    <w:rsid w:val="0028485A"/>
    <w:rsid w:val="00287EC1"/>
    <w:rsid w:val="00290113"/>
    <w:rsid w:val="002915B7"/>
    <w:rsid w:val="00291C4B"/>
    <w:rsid w:val="00292082"/>
    <w:rsid w:val="00292381"/>
    <w:rsid w:val="00292CDC"/>
    <w:rsid w:val="00293863"/>
    <w:rsid w:val="002941A3"/>
    <w:rsid w:val="00295A6D"/>
    <w:rsid w:val="00295DF0"/>
    <w:rsid w:val="00296645"/>
    <w:rsid w:val="00296E08"/>
    <w:rsid w:val="002A0DFB"/>
    <w:rsid w:val="002A1005"/>
    <w:rsid w:val="002A1529"/>
    <w:rsid w:val="002A18ED"/>
    <w:rsid w:val="002A1C56"/>
    <w:rsid w:val="002A1D28"/>
    <w:rsid w:val="002A1FD6"/>
    <w:rsid w:val="002A29D2"/>
    <w:rsid w:val="002A2E36"/>
    <w:rsid w:val="002A321D"/>
    <w:rsid w:val="002A4737"/>
    <w:rsid w:val="002A53E5"/>
    <w:rsid w:val="002A7486"/>
    <w:rsid w:val="002A7C02"/>
    <w:rsid w:val="002A7E1E"/>
    <w:rsid w:val="002A7E5D"/>
    <w:rsid w:val="002B15A7"/>
    <w:rsid w:val="002B15E6"/>
    <w:rsid w:val="002B2EC5"/>
    <w:rsid w:val="002B3D5B"/>
    <w:rsid w:val="002B4B64"/>
    <w:rsid w:val="002B51C3"/>
    <w:rsid w:val="002B7130"/>
    <w:rsid w:val="002B74FD"/>
    <w:rsid w:val="002B7509"/>
    <w:rsid w:val="002B799E"/>
    <w:rsid w:val="002B79DC"/>
    <w:rsid w:val="002C03DA"/>
    <w:rsid w:val="002C0743"/>
    <w:rsid w:val="002C0BC4"/>
    <w:rsid w:val="002C0E6A"/>
    <w:rsid w:val="002C10D7"/>
    <w:rsid w:val="002C18A0"/>
    <w:rsid w:val="002C1D2E"/>
    <w:rsid w:val="002C211A"/>
    <w:rsid w:val="002C2298"/>
    <w:rsid w:val="002C26D4"/>
    <w:rsid w:val="002C2BED"/>
    <w:rsid w:val="002C3101"/>
    <w:rsid w:val="002C366D"/>
    <w:rsid w:val="002C5954"/>
    <w:rsid w:val="002C6A1C"/>
    <w:rsid w:val="002C768B"/>
    <w:rsid w:val="002C79A8"/>
    <w:rsid w:val="002C7EF2"/>
    <w:rsid w:val="002D112B"/>
    <w:rsid w:val="002D2100"/>
    <w:rsid w:val="002D2970"/>
    <w:rsid w:val="002D3C52"/>
    <w:rsid w:val="002D3E22"/>
    <w:rsid w:val="002D54C7"/>
    <w:rsid w:val="002D56C5"/>
    <w:rsid w:val="002D5AAA"/>
    <w:rsid w:val="002D6616"/>
    <w:rsid w:val="002D6FC3"/>
    <w:rsid w:val="002D79AA"/>
    <w:rsid w:val="002E02C4"/>
    <w:rsid w:val="002E3AEC"/>
    <w:rsid w:val="002E3CF2"/>
    <w:rsid w:val="002E5787"/>
    <w:rsid w:val="002E5ABF"/>
    <w:rsid w:val="002E5BEC"/>
    <w:rsid w:val="002E6F5B"/>
    <w:rsid w:val="002E710F"/>
    <w:rsid w:val="002F08CD"/>
    <w:rsid w:val="002F1287"/>
    <w:rsid w:val="002F56E4"/>
    <w:rsid w:val="002F5CBB"/>
    <w:rsid w:val="002F5E45"/>
    <w:rsid w:val="002F5E6A"/>
    <w:rsid w:val="002F61B2"/>
    <w:rsid w:val="002F6AEC"/>
    <w:rsid w:val="002F7AAE"/>
    <w:rsid w:val="00300726"/>
    <w:rsid w:val="00301913"/>
    <w:rsid w:val="00302717"/>
    <w:rsid w:val="003043BE"/>
    <w:rsid w:val="00306F45"/>
    <w:rsid w:val="00307232"/>
    <w:rsid w:val="00307E20"/>
    <w:rsid w:val="00311292"/>
    <w:rsid w:val="00312C75"/>
    <w:rsid w:val="00313590"/>
    <w:rsid w:val="00313E26"/>
    <w:rsid w:val="00314363"/>
    <w:rsid w:val="00315331"/>
    <w:rsid w:val="00315FDD"/>
    <w:rsid w:val="00322586"/>
    <w:rsid w:val="0032273E"/>
    <w:rsid w:val="0032393A"/>
    <w:rsid w:val="00323DD3"/>
    <w:rsid w:val="00324379"/>
    <w:rsid w:val="003243FF"/>
    <w:rsid w:val="0032457C"/>
    <w:rsid w:val="00325F2B"/>
    <w:rsid w:val="00326439"/>
    <w:rsid w:val="0032654E"/>
    <w:rsid w:val="00326669"/>
    <w:rsid w:val="003266B8"/>
    <w:rsid w:val="00326D4A"/>
    <w:rsid w:val="00326F79"/>
    <w:rsid w:val="00327D2D"/>
    <w:rsid w:val="0033159D"/>
    <w:rsid w:val="003325C2"/>
    <w:rsid w:val="00333CD8"/>
    <w:rsid w:val="00335081"/>
    <w:rsid w:val="00335AA7"/>
    <w:rsid w:val="00337515"/>
    <w:rsid w:val="00337BE3"/>
    <w:rsid w:val="00342196"/>
    <w:rsid w:val="00343199"/>
    <w:rsid w:val="00344737"/>
    <w:rsid w:val="00346706"/>
    <w:rsid w:val="00346987"/>
    <w:rsid w:val="003514ED"/>
    <w:rsid w:val="00351C1F"/>
    <w:rsid w:val="00351E1C"/>
    <w:rsid w:val="00352106"/>
    <w:rsid w:val="0035217E"/>
    <w:rsid w:val="00352D33"/>
    <w:rsid w:val="00353CB2"/>
    <w:rsid w:val="00354A18"/>
    <w:rsid w:val="00354E92"/>
    <w:rsid w:val="003559FA"/>
    <w:rsid w:val="00360176"/>
    <w:rsid w:val="00360720"/>
    <w:rsid w:val="0036132C"/>
    <w:rsid w:val="00362A0D"/>
    <w:rsid w:val="0036400D"/>
    <w:rsid w:val="003658EF"/>
    <w:rsid w:val="00365FDC"/>
    <w:rsid w:val="003670AA"/>
    <w:rsid w:val="00370A60"/>
    <w:rsid w:val="003713F9"/>
    <w:rsid w:val="003719C4"/>
    <w:rsid w:val="003724EE"/>
    <w:rsid w:val="00373C93"/>
    <w:rsid w:val="0037636A"/>
    <w:rsid w:val="00376AC0"/>
    <w:rsid w:val="00377971"/>
    <w:rsid w:val="00380461"/>
    <w:rsid w:val="003812CC"/>
    <w:rsid w:val="00381490"/>
    <w:rsid w:val="00381936"/>
    <w:rsid w:val="00384704"/>
    <w:rsid w:val="0038490E"/>
    <w:rsid w:val="003849A2"/>
    <w:rsid w:val="00385E59"/>
    <w:rsid w:val="00386E22"/>
    <w:rsid w:val="00387270"/>
    <w:rsid w:val="00391350"/>
    <w:rsid w:val="003917E1"/>
    <w:rsid w:val="00393479"/>
    <w:rsid w:val="003937BF"/>
    <w:rsid w:val="003960C1"/>
    <w:rsid w:val="003A0725"/>
    <w:rsid w:val="003A1290"/>
    <w:rsid w:val="003A18CF"/>
    <w:rsid w:val="003A3105"/>
    <w:rsid w:val="003A32A5"/>
    <w:rsid w:val="003A35D3"/>
    <w:rsid w:val="003A3FB3"/>
    <w:rsid w:val="003A3FCF"/>
    <w:rsid w:val="003A4987"/>
    <w:rsid w:val="003A4FD0"/>
    <w:rsid w:val="003A50A2"/>
    <w:rsid w:val="003A5110"/>
    <w:rsid w:val="003A5245"/>
    <w:rsid w:val="003A52E9"/>
    <w:rsid w:val="003A5304"/>
    <w:rsid w:val="003A5AEB"/>
    <w:rsid w:val="003A6EC4"/>
    <w:rsid w:val="003A70BA"/>
    <w:rsid w:val="003A7ECC"/>
    <w:rsid w:val="003B092A"/>
    <w:rsid w:val="003B0EDF"/>
    <w:rsid w:val="003B12AD"/>
    <w:rsid w:val="003B220F"/>
    <w:rsid w:val="003B27AF"/>
    <w:rsid w:val="003B330D"/>
    <w:rsid w:val="003B478B"/>
    <w:rsid w:val="003B6387"/>
    <w:rsid w:val="003B6E43"/>
    <w:rsid w:val="003B7237"/>
    <w:rsid w:val="003C0E95"/>
    <w:rsid w:val="003C1028"/>
    <w:rsid w:val="003C1653"/>
    <w:rsid w:val="003C205E"/>
    <w:rsid w:val="003C2158"/>
    <w:rsid w:val="003C2208"/>
    <w:rsid w:val="003C2924"/>
    <w:rsid w:val="003C2D1C"/>
    <w:rsid w:val="003C3114"/>
    <w:rsid w:val="003C4254"/>
    <w:rsid w:val="003C50AE"/>
    <w:rsid w:val="003C79A0"/>
    <w:rsid w:val="003D554F"/>
    <w:rsid w:val="003D5D63"/>
    <w:rsid w:val="003D6DF2"/>
    <w:rsid w:val="003D748A"/>
    <w:rsid w:val="003D76D8"/>
    <w:rsid w:val="003D7D3E"/>
    <w:rsid w:val="003E04DE"/>
    <w:rsid w:val="003E0E01"/>
    <w:rsid w:val="003E1044"/>
    <w:rsid w:val="003E168D"/>
    <w:rsid w:val="003E22C4"/>
    <w:rsid w:val="003E3A1D"/>
    <w:rsid w:val="003E470E"/>
    <w:rsid w:val="003E4DD3"/>
    <w:rsid w:val="003E657B"/>
    <w:rsid w:val="003E7065"/>
    <w:rsid w:val="003E7485"/>
    <w:rsid w:val="003F0597"/>
    <w:rsid w:val="003F107C"/>
    <w:rsid w:val="003F18F7"/>
    <w:rsid w:val="003F1E9D"/>
    <w:rsid w:val="003F362B"/>
    <w:rsid w:val="003F3656"/>
    <w:rsid w:val="003F3B02"/>
    <w:rsid w:val="003F3BF4"/>
    <w:rsid w:val="003F3FAF"/>
    <w:rsid w:val="003F670D"/>
    <w:rsid w:val="00400110"/>
    <w:rsid w:val="00400526"/>
    <w:rsid w:val="00400983"/>
    <w:rsid w:val="00401990"/>
    <w:rsid w:val="0040459B"/>
    <w:rsid w:val="00404C21"/>
    <w:rsid w:val="00405940"/>
    <w:rsid w:val="004074DD"/>
    <w:rsid w:val="00407696"/>
    <w:rsid w:val="004105E0"/>
    <w:rsid w:val="0041160A"/>
    <w:rsid w:val="00412740"/>
    <w:rsid w:val="00413F4D"/>
    <w:rsid w:val="0041457A"/>
    <w:rsid w:val="004153FC"/>
    <w:rsid w:val="004158F0"/>
    <w:rsid w:val="00416547"/>
    <w:rsid w:val="00416870"/>
    <w:rsid w:val="00417308"/>
    <w:rsid w:val="0041772A"/>
    <w:rsid w:val="0042017B"/>
    <w:rsid w:val="004208F0"/>
    <w:rsid w:val="00420913"/>
    <w:rsid w:val="00420B43"/>
    <w:rsid w:val="00420D3C"/>
    <w:rsid w:val="004211F6"/>
    <w:rsid w:val="00421A81"/>
    <w:rsid w:val="00422883"/>
    <w:rsid w:val="00422ACC"/>
    <w:rsid w:val="00424BD9"/>
    <w:rsid w:val="00424E25"/>
    <w:rsid w:val="0042529A"/>
    <w:rsid w:val="00426845"/>
    <w:rsid w:val="00427219"/>
    <w:rsid w:val="004274C1"/>
    <w:rsid w:val="00430234"/>
    <w:rsid w:val="00431767"/>
    <w:rsid w:val="00431E4B"/>
    <w:rsid w:val="0043207F"/>
    <w:rsid w:val="0043296A"/>
    <w:rsid w:val="00434700"/>
    <w:rsid w:val="00434E44"/>
    <w:rsid w:val="00435604"/>
    <w:rsid w:val="00435631"/>
    <w:rsid w:val="00435C79"/>
    <w:rsid w:val="0043688A"/>
    <w:rsid w:val="0043785F"/>
    <w:rsid w:val="00437CA2"/>
    <w:rsid w:val="004409C3"/>
    <w:rsid w:val="00440B2D"/>
    <w:rsid w:val="00440D16"/>
    <w:rsid w:val="004421AE"/>
    <w:rsid w:val="004421E3"/>
    <w:rsid w:val="004430BB"/>
    <w:rsid w:val="0044331B"/>
    <w:rsid w:val="00443831"/>
    <w:rsid w:val="00445B5E"/>
    <w:rsid w:val="00446EA3"/>
    <w:rsid w:val="00450950"/>
    <w:rsid w:val="00450EFF"/>
    <w:rsid w:val="00451043"/>
    <w:rsid w:val="00451104"/>
    <w:rsid w:val="00451534"/>
    <w:rsid w:val="00452F6C"/>
    <w:rsid w:val="004535E1"/>
    <w:rsid w:val="00454144"/>
    <w:rsid w:val="0045422F"/>
    <w:rsid w:val="0045433C"/>
    <w:rsid w:val="0045471C"/>
    <w:rsid w:val="00457115"/>
    <w:rsid w:val="00460705"/>
    <w:rsid w:val="00460A24"/>
    <w:rsid w:val="00460BC9"/>
    <w:rsid w:val="0046151F"/>
    <w:rsid w:val="00462AA7"/>
    <w:rsid w:val="00464052"/>
    <w:rsid w:val="00465799"/>
    <w:rsid w:val="0046586B"/>
    <w:rsid w:val="004660F5"/>
    <w:rsid w:val="0046675F"/>
    <w:rsid w:val="004674F7"/>
    <w:rsid w:val="00470219"/>
    <w:rsid w:val="00470256"/>
    <w:rsid w:val="004708C0"/>
    <w:rsid w:val="00471039"/>
    <w:rsid w:val="00471447"/>
    <w:rsid w:val="00471B70"/>
    <w:rsid w:val="00471D1D"/>
    <w:rsid w:val="0047220A"/>
    <w:rsid w:val="0047271F"/>
    <w:rsid w:val="00472EDA"/>
    <w:rsid w:val="004732C6"/>
    <w:rsid w:val="00473ED5"/>
    <w:rsid w:val="004744E1"/>
    <w:rsid w:val="00474682"/>
    <w:rsid w:val="004758DE"/>
    <w:rsid w:val="00475AE3"/>
    <w:rsid w:val="00475F4B"/>
    <w:rsid w:val="004769C3"/>
    <w:rsid w:val="00477159"/>
    <w:rsid w:val="00477B88"/>
    <w:rsid w:val="00480253"/>
    <w:rsid w:val="00481C22"/>
    <w:rsid w:val="004825A3"/>
    <w:rsid w:val="00482DFE"/>
    <w:rsid w:val="004834BC"/>
    <w:rsid w:val="00484AD3"/>
    <w:rsid w:val="004851EA"/>
    <w:rsid w:val="0048573D"/>
    <w:rsid w:val="00485A63"/>
    <w:rsid w:val="004868DB"/>
    <w:rsid w:val="00486BF3"/>
    <w:rsid w:val="004872D2"/>
    <w:rsid w:val="00487AE4"/>
    <w:rsid w:val="00490B11"/>
    <w:rsid w:val="00490E21"/>
    <w:rsid w:val="00491AFA"/>
    <w:rsid w:val="004931A3"/>
    <w:rsid w:val="00493412"/>
    <w:rsid w:val="00495348"/>
    <w:rsid w:val="0049640D"/>
    <w:rsid w:val="00497168"/>
    <w:rsid w:val="00497732"/>
    <w:rsid w:val="00497984"/>
    <w:rsid w:val="00497D4F"/>
    <w:rsid w:val="004A02DC"/>
    <w:rsid w:val="004A126D"/>
    <w:rsid w:val="004A2333"/>
    <w:rsid w:val="004A32F1"/>
    <w:rsid w:val="004A33E9"/>
    <w:rsid w:val="004A3EA6"/>
    <w:rsid w:val="004A3ECA"/>
    <w:rsid w:val="004A4BF6"/>
    <w:rsid w:val="004A5001"/>
    <w:rsid w:val="004A590B"/>
    <w:rsid w:val="004A5D5B"/>
    <w:rsid w:val="004A69AD"/>
    <w:rsid w:val="004A6D0D"/>
    <w:rsid w:val="004B04C6"/>
    <w:rsid w:val="004B2685"/>
    <w:rsid w:val="004B35F7"/>
    <w:rsid w:val="004B4273"/>
    <w:rsid w:val="004B4E32"/>
    <w:rsid w:val="004B5321"/>
    <w:rsid w:val="004B5383"/>
    <w:rsid w:val="004B64B5"/>
    <w:rsid w:val="004B7076"/>
    <w:rsid w:val="004C049D"/>
    <w:rsid w:val="004C202B"/>
    <w:rsid w:val="004C26B8"/>
    <w:rsid w:val="004C26D2"/>
    <w:rsid w:val="004C4444"/>
    <w:rsid w:val="004C612A"/>
    <w:rsid w:val="004C722F"/>
    <w:rsid w:val="004C7237"/>
    <w:rsid w:val="004D03FA"/>
    <w:rsid w:val="004D07E5"/>
    <w:rsid w:val="004D14A8"/>
    <w:rsid w:val="004D2992"/>
    <w:rsid w:val="004D3202"/>
    <w:rsid w:val="004D469E"/>
    <w:rsid w:val="004D4741"/>
    <w:rsid w:val="004D48A5"/>
    <w:rsid w:val="004D4B44"/>
    <w:rsid w:val="004D4E20"/>
    <w:rsid w:val="004D7FEA"/>
    <w:rsid w:val="004E0C6B"/>
    <w:rsid w:val="004E0D06"/>
    <w:rsid w:val="004E183B"/>
    <w:rsid w:val="004E1C62"/>
    <w:rsid w:val="004E2497"/>
    <w:rsid w:val="004E24BC"/>
    <w:rsid w:val="004E2DFB"/>
    <w:rsid w:val="004E3363"/>
    <w:rsid w:val="004E3D51"/>
    <w:rsid w:val="004E3F63"/>
    <w:rsid w:val="004E4F5A"/>
    <w:rsid w:val="004E5131"/>
    <w:rsid w:val="004E5520"/>
    <w:rsid w:val="004E55BA"/>
    <w:rsid w:val="004E67DD"/>
    <w:rsid w:val="004E7840"/>
    <w:rsid w:val="004F07EF"/>
    <w:rsid w:val="004F0AE6"/>
    <w:rsid w:val="004F16D1"/>
    <w:rsid w:val="004F18F6"/>
    <w:rsid w:val="004F1AD1"/>
    <w:rsid w:val="004F344E"/>
    <w:rsid w:val="004F370D"/>
    <w:rsid w:val="004F3CFC"/>
    <w:rsid w:val="004F4A05"/>
    <w:rsid w:val="004F59BE"/>
    <w:rsid w:val="004F63DF"/>
    <w:rsid w:val="004F6CAB"/>
    <w:rsid w:val="004F7887"/>
    <w:rsid w:val="005010D2"/>
    <w:rsid w:val="005016B0"/>
    <w:rsid w:val="00501D0E"/>
    <w:rsid w:val="0050202E"/>
    <w:rsid w:val="00502774"/>
    <w:rsid w:val="00503DFC"/>
    <w:rsid w:val="00503F34"/>
    <w:rsid w:val="005041F1"/>
    <w:rsid w:val="00504C1B"/>
    <w:rsid w:val="0050642C"/>
    <w:rsid w:val="00506B0A"/>
    <w:rsid w:val="00506B3B"/>
    <w:rsid w:val="00506BF3"/>
    <w:rsid w:val="00506E8E"/>
    <w:rsid w:val="00507250"/>
    <w:rsid w:val="005076C2"/>
    <w:rsid w:val="00507FF6"/>
    <w:rsid w:val="00510671"/>
    <w:rsid w:val="00510B87"/>
    <w:rsid w:val="00511346"/>
    <w:rsid w:val="00511BC9"/>
    <w:rsid w:val="00511C57"/>
    <w:rsid w:val="0051274C"/>
    <w:rsid w:val="005128B6"/>
    <w:rsid w:val="00512E54"/>
    <w:rsid w:val="00513932"/>
    <w:rsid w:val="00513F5E"/>
    <w:rsid w:val="00514271"/>
    <w:rsid w:val="00514F62"/>
    <w:rsid w:val="00515560"/>
    <w:rsid w:val="00517831"/>
    <w:rsid w:val="005216FD"/>
    <w:rsid w:val="00522383"/>
    <w:rsid w:val="005228C3"/>
    <w:rsid w:val="0052315E"/>
    <w:rsid w:val="005231BF"/>
    <w:rsid w:val="005234AF"/>
    <w:rsid w:val="00525787"/>
    <w:rsid w:val="00530E86"/>
    <w:rsid w:val="00530E90"/>
    <w:rsid w:val="00531247"/>
    <w:rsid w:val="005314AC"/>
    <w:rsid w:val="00531A41"/>
    <w:rsid w:val="005325CC"/>
    <w:rsid w:val="005335C3"/>
    <w:rsid w:val="005346FE"/>
    <w:rsid w:val="00534965"/>
    <w:rsid w:val="0054064D"/>
    <w:rsid w:val="005406FD"/>
    <w:rsid w:val="0054089B"/>
    <w:rsid w:val="00540AC5"/>
    <w:rsid w:val="00540BE7"/>
    <w:rsid w:val="005426C2"/>
    <w:rsid w:val="005429BE"/>
    <w:rsid w:val="00545A36"/>
    <w:rsid w:val="005465E0"/>
    <w:rsid w:val="005467EB"/>
    <w:rsid w:val="00546AA5"/>
    <w:rsid w:val="00547601"/>
    <w:rsid w:val="00547BA0"/>
    <w:rsid w:val="0055015D"/>
    <w:rsid w:val="0055058D"/>
    <w:rsid w:val="00550895"/>
    <w:rsid w:val="00551FFF"/>
    <w:rsid w:val="00553EB0"/>
    <w:rsid w:val="0055426F"/>
    <w:rsid w:val="00554678"/>
    <w:rsid w:val="00555222"/>
    <w:rsid w:val="00557809"/>
    <w:rsid w:val="00557C85"/>
    <w:rsid w:val="00560C19"/>
    <w:rsid w:val="00560ED1"/>
    <w:rsid w:val="00561B7D"/>
    <w:rsid w:val="00562D36"/>
    <w:rsid w:val="00562E23"/>
    <w:rsid w:val="00563170"/>
    <w:rsid w:val="00565E32"/>
    <w:rsid w:val="005665B1"/>
    <w:rsid w:val="0056722B"/>
    <w:rsid w:val="00567C21"/>
    <w:rsid w:val="00567CDC"/>
    <w:rsid w:val="00570BDD"/>
    <w:rsid w:val="00573060"/>
    <w:rsid w:val="0057388C"/>
    <w:rsid w:val="0057657D"/>
    <w:rsid w:val="00576614"/>
    <w:rsid w:val="005768F3"/>
    <w:rsid w:val="00576E52"/>
    <w:rsid w:val="00577957"/>
    <w:rsid w:val="00581039"/>
    <w:rsid w:val="005814AC"/>
    <w:rsid w:val="00581D56"/>
    <w:rsid w:val="00581E19"/>
    <w:rsid w:val="00582246"/>
    <w:rsid w:val="00582436"/>
    <w:rsid w:val="0058309C"/>
    <w:rsid w:val="00584093"/>
    <w:rsid w:val="0058425B"/>
    <w:rsid w:val="00585AB6"/>
    <w:rsid w:val="00585AD7"/>
    <w:rsid w:val="00585C38"/>
    <w:rsid w:val="00585D17"/>
    <w:rsid w:val="00586FA1"/>
    <w:rsid w:val="005879B7"/>
    <w:rsid w:val="005926A9"/>
    <w:rsid w:val="005926FE"/>
    <w:rsid w:val="00593133"/>
    <w:rsid w:val="00593A64"/>
    <w:rsid w:val="00593B3D"/>
    <w:rsid w:val="00594585"/>
    <w:rsid w:val="005950FE"/>
    <w:rsid w:val="00596CE0"/>
    <w:rsid w:val="00597CC7"/>
    <w:rsid w:val="005A0745"/>
    <w:rsid w:val="005A23B8"/>
    <w:rsid w:val="005A27B6"/>
    <w:rsid w:val="005A2E34"/>
    <w:rsid w:val="005A3289"/>
    <w:rsid w:val="005A36A6"/>
    <w:rsid w:val="005A4BB0"/>
    <w:rsid w:val="005A5697"/>
    <w:rsid w:val="005A5FB6"/>
    <w:rsid w:val="005A60A1"/>
    <w:rsid w:val="005A6B2B"/>
    <w:rsid w:val="005A7C0B"/>
    <w:rsid w:val="005A7EB7"/>
    <w:rsid w:val="005B0A27"/>
    <w:rsid w:val="005B1014"/>
    <w:rsid w:val="005B1521"/>
    <w:rsid w:val="005B325E"/>
    <w:rsid w:val="005B33EC"/>
    <w:rsid w:val="005B445D"/>
    <w:rsid w:val="005B6912"/>
    <w:rsid w:val="005B6C42"/>
    <w:rsid w:val="005B6FD5"/>
    <w:rsid w:val="005B77A5"/>
    <w:rsid w:val="005C01F5"/>
    <w:rsid w:val="005C029D"/>
    <w:rsid w:val="005C1110"/>
    <w:rsid w:val="005C1739"/>
    <w:rsid w:val="005C2B41"/>
    <w:rsid w:val="005C2EDD"/>
    <w:rsid w:val="005C331A"/>
    <w:rsid w:val="005C41EB"/>
    <w:rsid w:val="005C473B"/>
    <w:rsid w:val="005C68C9"/>
    <w:rsid w:val="005D0118"/>
    <w:rsid w:val="005D02B0"/>
    <w:rsid w:val="005D0483"/>
    <w:rsid w:val="005D0680"/>
    <w:rsid w:val="005D07D9"/>
    <w:rsid w:val="005D1941"/>
    <w:rsid w:val="005D1BE9"/>
    <w:rsid w:val="005D238E"/>
    <w:rsid w:val="005D2895"/>
    <w:rsid w:val="005D3CAB"/>
    <w:rsid w:val="005D3E5E"/>
    <w:rsid w:val="005D3EA9"/>
    <w:rsid w:val="005D44DC"/>
    <w:rsid w:val="005D466C"/>
    <w:rsid w:val="005D5B33"/>
    <w:rsid w:val="005D5DB2"/>
    <w:rsid w:val="005D63D7"/>
    <w:rsid w:val="005D6464"/>
    <w:rsid w:val="005D6C02"/>
    <w:rsid w:val="005D733B"/>
    <w:rsid w:val="005D7830"/>
    <w:rsid w:val="005D7D69"/>
    <w:rsid w:val="005D7E3C"/>
    <w:rsid w:val="005E180C"/>
    <w:rsid w:val="005E1D4B"/>
    <w:rsid w:val="005E2815"/>
    <w:rsid w:val="005E2EB3"/>
    <w:rsid w:val="005E3E9B"/>
    <w:rsid w:val="005E5415"/>
    <w:rsid w:val="005E5D06"/>
    <w:rsid w:val="005E5EBF"/>
    <w:rsid w:val="005E6632"/>
    <w:rsid w:val="005F0D2E"/>
    <w:rsid w:val="005F1F0E"/>
    <w:rsid w:val="005F1FC0"/>
    <w:rsid w:val="005F2467"/>
    <w:rsid w:val="005F2E1B"/>
    <w:rsid w:val="005F3E46"/>
    <w:rsid w:val="005F4616"/>
    <w:rsid w:val="005F5357"/>
    <w:rsid w:val="00600D77"/>
    <w:rsid w:val="00600D95"/>
    <w:rsid w:val="006013E0"/>
    <w:rsid w:val="006031AF"/>
    <w:rsid w:val="00607796"/>
    <w:rsid w:val="006078F5"/>
    <w:rsid w:val="00613A81"/>
    <w:rsid w:val="00615041"/>
    <w:rsid w:val="006170EF"/>
    <w:rsid w:val="00617A67"/>
    <w:rsid w:val="00617BEB"/>
    <w:rsid w:val="00621856"/>
    <w:rsid w:val="00622CF0"/>
    <w:rsid w:val="00623440"/>
    <w:rsid w:val="00623925"/>
    <w:rsid w:val="00624689"/>
    <w:rsid w:val="00624CE0"/>
    <w:rsid w:val="00625499"/>
    <w:rsid w:val="00626C37"/>
    <w:rsid w:val="00627948"/>
    <w:rsid w:val="006279EF"/>
    <w:rsid w:val="00627C24"/>
    <w:rsid w:val="0063078B"/>
    <w:rsid w:val="0063159E"/>
    <w:rsid w:val="006318E1"/>
    <w:rsid w:val="006332C7"/>
    <w:rsid w:val="00633518"/>
    <w:rsid w:val="00633DBA"/>
    <w:rsid w:val="00633F5E"/>
    <w:rsid w:val="00634247"/>
    <w:rsid w:val="0063428A"/>
    <w:rsid w:val="00634856"/>
    <w:rsid w:val="00634C05"/>
    <w:rsid w:val="00635BAA"/>
    <w:rsid w:val="00636540"/>
    <w:rsid w:val="00637056"/>
    <w:rsid w:val="0064120B"/>
    <w:rsid w:val="00641433"/>
    <w:rsid w:val="00641937"/>
    <w:rsid w:val="00642021"/>
    <w:rsid w:val="0064218D"/>
    <w:rsid w:val="00642A99"/>
    <w:rsid w:val="0064322F"/>
    <w:rsid w:val="00644E45"/>
    <w:rsid w:val="00645377"/>
    <w:rsid w:val="0064643D"/>
    <w:rsid w:val="00646954"/>
    <w:rsid w:val="006473DB"/>
    <w:rsid w:val="0064773C"/>
    <w:rsid w:val="00647BE8"/>
    <w:rsid w:val="0065045C"/>
    <w:rsid w:val="00651154"/>
    <w:rsid w:val="00651A47"/>
    <w:rsid w:val="00652533"/>
    <w:rsid w:val="00652BA1"/>
    <w:rsid w:val="0065300A"/>
    <w:rsid w:val="00653B79"/>
    <w:rsid w:val="00654BBD"/>
    <w:rsid w:val="006550AF"/>
    <w:rsid w:val="006551E0"/>
    <w:rsid w:val="006559CC"/>
    <w:rsid w:val="00655B47"/>
    <w:rsid w:val="00655B8C"/>
    <w:rsid w:val="006575AC"/>
    <w:rsid w:val="00657DDA"/>
    <w:rsid w:val="0066023F"/>
    <w:rsid w:val="0066027B"/>
    <w:rsid w:val="00660442"/>
    <w:rsid w:val="00660A7D"/>
    <w:rsid w:val="0066108F"/>
    <w:rsid w:val="0066175C"/>
    <w:rsid w:val="006617C3"/>
    <w:rsid w:val="00661962"/>
    <w:rsid w:val="00661A4E"/>
    <w:rsid w:val="006620AD"/>
    <w:rsid w:val="00663397"/>
    <w:rsid w:val="00663FAD"/>
    <w:rsid w:val="00665ECF"/>
    <w:rsid w:val="0066619E"/>
    <w:rsid w:val="00667089"/>
    <w:rsid w:val="00671777"/>
    <w:rsid w:val="006717A3"/>
    <w:rsid w:val="00671ECF"/>
    <w:rsid w:val="00672383"/>
    <w:rsid w:val="0067261D"/>
    <w:rsid w:val="00672A2B"/>
    <w:rsid w:val="00672FEF"/>
    <w:rsid w:val="00675156"/>
    <w:rsid w:val="006754A3"/>
    <w:rsid w:val="0068033A"/>
    <w:rsid w:val="00680AAE"/>
    <w:rsid w:val="0068173C"/>
    <w:rsid w:val="006817AF"/>
    <w:rsid w:val="006820FF"/>
    <w:rsid w:val="00682795"/>
    <w:rsid w:val="00683592"/>
    <w:rsid w:val="00683796"/>
    <w:rsid w:val="00684C07"/>
    <w:rsid w:val="0068542B"/>
    <w:rsid w:val="00685467"/>
    <w:rsid w:val="006864D5"/>
    <w:rsid w:val="00686596"/>
    <w:rsid w:val="00686868"/>
    <w:rsid w:val="00687307"/>
    <w:rsid w:val="0069013E"/>
    <w:rsid w:val="00690E47"/>
    <w:rsid w:val="00691370"/>
    <w:rsid w:val="0069195E"/>
    <w:rsid w:val="00691E3B"/>
    <w:rsid w:val="00692444"/>
    <w:rsid w:val="006934E4"/>
    <w:rsid w:val="00693D6C"/>
    <w:rsid w:val="006945C1"/>
    <w:rsid w:val="006946EF"/>
    <w:rsid w:val="00695A2C"/>
    <w:rsid w:val="00696BA6"/>
    <w:rsid w:val="006975E3"/>
    <w:rsid w:val="0069760B"/>
    <w:rsid w:val="0069792B"/>
    <w:rsid w:val="00697B51"/>
    <w:rsid w:val="00697E8F"/>
    <w:rsid w:val="006A0433"/>
    <w:rsid w:val="006A0757"/>
    <w:rsid w:val="006A08BD"/>
    <w:rsid w:val="006A0913"/>
    <w:rsid w:val="006A1512"/>
    <w:rsid w:val="006A230B"/>
    <w:rsid w:val="006A3B5A"/>
    <w:rsid w:val="006A411A"/>
    <w:rsid w:val="006A552D"/>
    <w:rsid w:val="006A5708"/>
    <w:rsid w:val="006A5A1C"/>
    <w:rsid w:val="006A77FC"/>
    <w:rsid w:val="006A7BD0"/>
    <w:rsid w:val="006B11E8"/>
    <w:rsid w:val="006B12D2"/>
    <w:rsid w:val="006B14FF"/>
    <w:rsid w:val="006B2086"/>
    <w:rsid w:val="006B2CA2"/>
    <w:rsid w:val="006B3C2A"/>
    <w:rsid w:val="006B695F"/>
    <w:rsid w:val="006B6E07"/>
    <w:rsid w:val="006B780E"/>
    <w:rsid w:val="006B7ED4"/>
    <w:rsid w:val="006C0202"/>
    <w:rsid w:val="006C0438"/>
    <w:rsid w:val="006C0465"/>
    <w:rsid w:val="006C0877"/>
    <w:rsid w:val="006C09E5"/>
    <w:rsid w:val="006C0CD4"/>
    <w:rsid w:val="006C1139"/>
    <w:rsid w:val="006C15C1"/>
    <w:rsid w:val="006C15D0"/>
    <w:rsid w:val="006C1649"/>
    <w:rsid w:val="006C1ABB"/>
    <w:rsid w:val="006C2BF9"/>
    <w:rsid w:val="006C2CF5"/>
    <w:rsid w:val="006C31B7"/>
    <w:rsid w:val="006C39DF"/>
    <w:rsid w:val="006C4C14"/>
    <w:rsid w:val="006C60A7"/>
    <w:rsid w:val="006C6BFF"/>
    <w:rsid w:val="006C7006"/>
    <w:rsid w:val="006D0BD2"/>
    <w:rsid w:val="006D0E54"/>
    <w:rsid w:val="006D23F8"/>
    <w:rsid w:val="006D2675"/>
    <w:rsid w:val="006D3119"/>
    <w:rsid w:val="006D5C60"/>
    <w:rsid w:val="006D68DC"/>
    <w:rsid w:val="006D7C72"/>
    <w:rsid w:val="006E004B"/>
    <w:rsid w:val="006E1197"/>
    <w:rsid w:val="006E15E3"/>
    <w:rsid w:val="006E17ED"/>
    <w:rsid w:val="006E2BE2"/>
    <w:rsid w:val="006E2F48"/>
    <w:rsid w:val="006E3028"/>
    <w:rsid w:val="006E3F95"/>
    <w:rsid w:val="006E51CE"/>
    <w:rsid w:val="006E54CD"/>
    <w:rsid w:val="006E743A"/>
    <w:rsid w:val="006F0D13"/>
    <w:rsid w:val="006F0E4F"/>
    <w:rsid w:val="006F193E"/>
    <w:rsid w:val="006F1D72"/>
    <w:rsid w:val="006F2FA8"/>
    <w:rsid w:val="006F62E6"/>
    <w:rsid w:val="006F6A79"/>
    <w:rsid w:val="006F794A"/>
    <w:rsid w:val="0070068D"/>
    <w:rsid w:val="00700954"/>
    <w:rsid w:val="007034D0"/>
    <w:rsid w:val="00705867"/>
    <w:rsid w:val="007067B6"/>
    <w:rsid w:val="00706F3D"/>
    <w:rsid w:val="00707120"/>
    <w:rsid w:val="00707602"/>
    <w:rsid w:val="00710424"/>
    <w:rsid w:val="00710591"/>
    <w:rsid w:val="007119A5"/>
    <w:rsid w:val="007122EA"/>
    <w:rsid w:val="007125AF"/>
    <w:rsid w:val="00712B97"/>
    <w:rsid w:val="0071373B"/>
    <w:rsid w:val="007137CC"/>
    <w:rsid w:val="00714273"/>
    <w:rsid w:val="007143DA"/>
    <w:rsid w:val="00714E60"/>
    <w:rsid w:val="00715DF7"/>
    <w:rsid w:val="00715FBB"/>
    <w:rsid w:val="00716AC6"/>
    <w:rsid w:val="00717305"/>
    <w:rsid w:val="00717A01"/>
    <w:rsid w:val="00720767"/>
    <w:rsid w:val="00722189"/>
    <w:rsid w:val="00723405"/>
    <w:rsid w:val="00723882"/>
    <w:rsid w:val="00724CEF"/>
    <w:rsid w:val="00725C97"/>
    <w:rsid w:val="00727137"/>
    <w:rsid w:val="00727A17"/>
    <w:rsid w:val="007325A2"/>
    <w:rsid w:val="00732857"/>
    <w:rsid w:val="007328CF"/>
    <w:rsid w:val="00732D99"/>
    <w:rsid w:val="0073492C"/>
    <w:rsid w:val="00735526"/>
    <w:rsid w:val="007355D2"/>
    <w:rsid w:val="007360D9"/>
    <w:rsid w:val="00740BD9"/>
    <w:rsid w:val="00741BD7"/>
    <w:rsid w:val="00741C47"/>
    <w:rsid w:val="00742AC3"/>
    <w:rsid w:val="00742C5C"/>
    <w:rsid w:val="00743347"/>
    <w:rsid w:val="00743C10"/>
    <w:rsid w:val="00744469"/>
    <w:rsid w:val="00745483"/>
    <w:rsid w:val="00745AD8"/>
    <w:rsid w:val="00745DC4"/>
    <w:rsid w:val="0074699A"/>
    <w:rsid w:val="007516A5"/>
    <w:rsid w:val="00751780"/>
    <w:rsid w:val="00751D5F"/>
    <w:rsid w:val="007539E9"/>
    <w:rsid w:val="00753AB7"/>
    <w:rsid w:val="00754325"/>
    <w:rsid w:val="0075581F"/>
    <w:rsid w:val="00756238"/>
    <w:rsid w:val="0075742A"/>
    <w:rsid w:val="00760577"/>
    <w:rsid w:val="00760F13"/>
    <w:rsid w:val="00761915"/>
    <w:rsid w:val="00761A82"/>
    <w:rsid w:val="00763124"/>
    <w:rsid w:val="00763B79"/>
    <w:rsid w:val="007645FF"/>
    <w:rsid w:val="00765A34"/>
    <w:rsid w:val="00766BC9"/>
    <w:rsid w:val="00766FB9"/>
    <w:rsid w:val="0076762A"/>
    <w:rsid w:val="0076780C"/>
    <w:rsid w:val="00770188"/>
    <w:rsid w:val="00771DB9"/>
    <w:rsid w:val="00772D6A"/>
    <w:rsid w:val="00773421"/>
    <w:rsid w:val="00773FE4"/>
    <w:rsid w:val="007745FE"/>
    <w:rsid w:val="00774BE8"/>
    <w:rsid w:val="00774E22"/>
    <w:rsid w:val="0077630F"/>
    <w:rsid w:val="00777AFE"/>
    <w:rsid w:val="00777F87"/>
    <w:rsid w:val="00780E61"/>
    <w:rsid w:val="00781DEE"/>
    <w:rsid w:val="0078348A"/>
    <w:rsid w:val="00784FCF"/>
    <w:rsid w:val="0078567D"/>
    <w:rsid w:val="007909B3"/>
    <w:rsid w:val="007926D5"/>
    <w:rsid w:val="007937C5"/>
    <w:rsid w:val="00796363"/>
    <w:rsid w:val="007A00D5"/>
    <w:rsid w:val="007A02DF"/>
    <w:rsid w:val="007A0429"/>
    <w:rsid w:val="007A0E66"/>
    <w:rsid w:val="007A106F"/>
    <w:rsid w:val="007A2498"/>
    <w:rsid w:val="007A3C20"/>
    <w:rsid w:val="007A4238"/>
    <w:rsid w:val="007A430C"/>
    <w:rsid w:val="007A7334"/>
    <w:rsid w:val="007B2E46"/>
    <w:rsid w:val="007B348B"/>
    <w:rsid w:val="007B4778"/>
    <w:rsid w:val="007B4AFC"/>
    <w:rsid w:val="007B4F7A"/>
    <w:rsid w:val="007B601C"/>
    <w:rsid w:val="007B6A7F"/>
    <w:rsid w:val="007B7955"/>
    <w:rsid w:val="007C11F4"/>
    <w:rsid w:val="007C17FC"/>
    <w:rsid w:val="007C2155"/>
    <w:rsid w:val="007C2C4A"/>
    <w:rsid w:val="007C2DEA"/>
    <w:rsid w:val="007C32BD"/>
    <w:rsid w:val="007C33B5"/>
    <w:rsid w:val="007C34A5"/>
    <w:rsid w:val="007C4CD5"/>
    <w:rsid w:val="007C52B7"/>
    <w:rsid w:val="007C5542"/>
    <w:rsid w:val="007C58E4"/>
    <w:rsid w:val="007C7142"/>
    <w:rsid w:val="007C7AFB"/>
    <w:rsid w:val="007D01A0"/>
    <w:rsid w:val="007D04AD"/>
    <w:rsid w:val="007D0D66"/>
    <w:rsid w:val="007D40C4"/>
    <w:rsid w:val="007D41E2"/>
    <w:rsid w:val="007D4ED5"/>
    <w:rsid w:val="007D6641"/>
    <w:rsid w:val="007D7349"/>
    <w:rsid w:val="007D76C4"/>
    <w:rsid w:val="007D78F4"/>
    <w:rsid w:val="007D7FDE"/>
    <w:rsid w:val="007E05B5"/>
    <w:rsid w:val="007E06E3"/>
    <w:rsid w:val="007E0752"/>
    <w:rsid w:val="007E0D7B"/>
    <w:rsid w:val="007E656C"/>
    <w:rsid w:val="007E6919"/>
    <w:rsid w:val="007E79BB"/>
    <w:rsid w:val="007F09E0"/>
    <w:rsid w:val="007F0EBD"/>
    <w:rsid w:val="007F2CA7"/>
    <w:rsid w:val="007F2FA3"/>
    <w:rsid w:val="007F31D9"/>
    <w:rsid w:val="007F353D"/>
    <w:rsid w:val="007F3847"/>
    <w:rsid w:val="007F3975"/>
    <w:rsid w:val="007F4106"/>
    <w:rsid w:val="007F5D85"/>
    <w:rsid w:val="007F5E32"/>
    <w:rsid w:val="007F664B"/>
    <w:rsid w:val="007F722E"/>
    <w:rsid w:val="007F7693"/>
    <w:rsid w:val="008004F5"/>
    <w:rsid w:val="00800D8F"/>
    <w:rsid w:val="00801868"/>
    <w:rsid w:val="00801956"/>
    <w:rsid w:val="00802183"/>
    <w:rsid w:val="00802A9E"/>
    <w:rsid w:val="00802F87"/>
    <w:rsid w:val="00803155"/>
    <w:rsid w:val="00803A06"/>
    <w:rsid w:val="00806401"/>
    <w:rsid w:val="00807B58"/>
    <w:rsid w:val="00811DBB"/>
    <w:rsid w:val="00812210"/>
    <w:rsid w:val="0081223B"/>
    <w:rsid w:val="00812C84"/>
    <w:rsid w:val="00813336"/>
    <w:rsid w:val="00815AFF"/>
    <w:rsid w:val="00816354"/>
    <w:rsid w:val="00816666"/>
    <w:rsid w:val="00817EBC"/>
    <w:rsid w:val="00820C60"/>
    <w:rsid w:val="00820E63"/>
    <w:rsid w:val="0082184D"/>
    <w:rsid w:val="0082199A"/>
    <w:rsid w:val="00822F6F"/>
    <w:rsid w:val="00823DE5"/>
    <w:rsid w:val="00823EFA"/>
    <w:rsid w:val="008246A6"/>
    <w:rsid w:val="00825C9C"/>
    <w:rsid w:val="00825F06"/>
    <w:rsid w:val="0082604B"/>
    <w:rsid w:val="0082622E"/>
    <w:rsid w:val="0082661B"/>
    <w:rsid w:val="00826B58"/>
    <w:rsid w:val="00827634"/>
    <w:rsid w:val="00827916"/>
    <w:rsid w:val="00827C0D"/>
    <w:rsid w:val="00827DE2"/>
    <w:rsid w:val="0083221A"/>
    <w:rsid w:val="008325C4"/>
    <w:rsid w:val="008325DA"/>
    <w:rsid w:val="00832D5A"/>
    <w:rsid w:val="00833A0C"/>
    <w:rsid w:val="00833A84"/>
    <w:rsid w:val="008344F7"/>
    <w:rsid w:val="008346FB"/>
    <w:rsid w:val="00834762"/>
    <w:rsid w:val="00834825"/>
    <w:rsid w:val="00834D94"/>
    <w:rsid w:val="0083547E"/>
    <w:rsid w:val="00835BBC"/>
    <w:rsid w:val="00837999"/>
    <w:rsid w:val="008379F4"/>
    <w:rsid w:val="0084029C"/>
    <w:rsid w:val="008407EE"/>
    <w:rsid w:val="00842AB8"/>
    <w:rsid w:val="0084366E"/>
    <w:rsid w:val="0084390C"/>
    <w:rsid w:val="00844D2C"/>
    <w:rsid w:val="00845B57"/>
    <w:rsid w:val="00845E27"/>
    <w:rsid w:val="00846510"/>
    <w:rsid w:val="008473C5"/>
    <w:rsid w:val="00851B6E"/>
    <w:rsid w:val="00851DBD"/>
    <w:rsid w:val="00852392"/>
    <w:rsid w:val="00853079"/>
    <w:rsid w:val="008533E4"/>
    <w:rsid w:val="00853CBC"/>
    <w:rsid w:val="00855149"/>
    <w:rsid w:val="008557C6"/>
    <w:rsid w:val="008577BA"/>
    <w:rsid w:val="00857F10"/>
    <w:rsid w:val="00860E74"/>
    <w:rsid w:val="00860E86"/>
    <w:rsid w:val="00862AF0"/>
    <w:rsid w:val="0086425D"/>
    <w:rsid w:val="00865A29"/>
    <w:rsid w:val="008660BF"/>
    <w:rsid w:val="00866C9F"/>
    <w:rsid w:val="00867752"/>
    <w:rsid w:val="008704DD"/>
    <w:rsid w:val="008735A9"/>
    <w:rsid w:val="0087393D"/>
    <w:rsid w:val="00874D53"/>
    <w:rsid w:val="008750A7"/>
    <w:rsid w:val="00876C88"/>
    <w:rsid w:val="008770F6"/>
    <w:rsid w:val="008771D1"/>
    <w:rsid w:val="00877221"/>
    <w:rsid w:val="0088145B"/>
    <w:rsid w:val="00881FD0"/>
    <w:rsid w:val="008824D7"/>
    <w:rsid w:val="00882754"/>
    <w:rsid w:val="008840E8"/>
    <w:rsid w:val="00884DDB"/>
    <w:rsid w:val="0088505E"/>
    <w:rsid w:val="00885A0C"/>
    <w:rsid w:val="00886365"/>
    <w:rsid w:val="008870BF"/>
    <w:rsid w:val="0088731E"/>
    <w:rsid w:val="00887488"/>
    <w:rsid w:val="00887F4C"/>
    <w:rsid w:val="00890C24"/>
    <w:rsid w:val="00892A7A"/>
    <w:rsid w:val="00892D30"/>
    <w:rsid w:val="00892EE4"/>
    <w:rsid w:val="008931AC"/>
    <w:rsid w:val="00893809"/>
    <w:rsid w:val="008941B1"/>
    <w:rsid w:val="00894425"/>
    <w:rsid w:val="008944F4"/>
    <w:rsid w:val="00894BC8"/>
    <w:rsid w:val="00895FC6"/>
    <w:rsid w:val="00896312"/>
    <w:rsid w:val="00896515"/>
    <w:rsid w:val="00897342"/>
    <w:rsid w:val="008A0C9C"/>
    <w:rsid w:val="008A184F"/>
    <w:rsid w:val="008A1CBA"/>
    <w:rsid w:val="008A3AF4"/>
    <w:rsid w:val="008A448E"/>
    <w:rsid w:val="008A4DF1"/>
    <w:rsid w:val="008A6651"/>
    <w:rsid w:val="008A6CD6"/>
    <w:rsid w:val="008B0864"/>
    <w:rsid w:val="008B1424"/>
    <w:rsid w:val="008B1F2A"/>
    <w:rsid w:val="008B4A63"/>
    <w:rsid w:val="008B4AC5"/>
    <w:rsid w:val="008B4BB5"/>
    <w:rsid w:val="008B4FD3"/>
    <w:rsid w:val="008B50A5"/>
    <w:rsid w:val="008B595A"/>
    <w:rsid w:val="008B6246"/>
    <w:rsid w:val="008B725E"/>
    <w:rsid w:val="008B79DF"/>
    <w:rsid w:val="008C02D0"/>
    <w:rsid w:val="008C0A72"/>
    <w:rsid w:val="008C154C"/>
    <w:rsid w:val="008C1716"/>
    <w:rsid w:val="008C2130"/>
    <w:rsid w:val="008C2800"/>
    <w:rsid w:val="008C2EDB"/>
    <w:rsid w:val="008C3CBE"/>
    <w:rsid w:val="008C4B42"/>
    <w:rsid w:val="008C7124"/>
    <w:rsid w:val="008C7EB7"/>
    <w:rsid w:val="008D14A9"/>
    <w:rsid w:val="008D1AAF"/>
    <w:rsid w:val="008D27B7"/>
    <w:rsid w:val="008D2E6F"/>
    <w:rsid w:val="008D37EC"/>
    <w:rsid w:val="008D3806"/>
    <w:rsid w:val="008D3987"/>
    <w:rsid w:val="008D449D"/>
    <w:rsid w:val="008D45C1"/>
    <w:rsid w:val="008D4C14"/>
    <w:rsid w:val="008D51E7"/>
    <w:rsid w:val="008D56B0"/>
    <w:rsid w:val="008D7771"/>
    <w:rsid w:val="008D7E8B"/>
    <w:rsid w:val="008E0A82"/>
    <w:rsid w:val="008E2CA1"/>
    <w:rsid w:val="008E2FF5"/>
    <w:rsid w:val="008E3E7B"/>
    <w:rsid w:val="008E6069"/>
    <w:rsid w:val="008E6F7E"/>
    <w:rsid w:val="008E7C4D"/>
    <w:rsid w:val="008E7F17"/>
    <w:rsid w:val="008F01C0"/>
    <w:rsid w:val="008F16DE"/>
    <w:rsid w:val="008F1A4F"/>
    <w:rsid w:val="008F2722"/>
    <w:rsid w:val="008F33D5"/>
    <w:rsid w:val="008F3C1D"/>
    <w:rsid w:val="008F448C"/>
    <w:rsid w:val="008F4F52"/>
    <w:rsid w:val="008F617D"/>
    <w:rsid w:val="008F649D"/>
    <w:rsid w:val="008F7AF7"/>
    <w:rsid w:val="00900152"/>
    <w:rsid w:val="00902061"/>
    <w:rsid w:val="009020FD"/>
    <w:rsid w:val="00902516"/>
    <w:rsid w:val="00902EFF"/>
    <w:rsid w:val="0090394D"/>
    <w:rsid w:val="00904143"/>
    <w:rsid w:val="00904392"/>
    <w:rsid w:val="00905625"/>
    <w:rsid w:val="00905DCF"/>
    <w:rsid w:val="009062E4"/>
    <w:rsid w:val="0090637D"/>
    <w:rsid w:val="00906611"/>
    <w:rsid w:val="0090769B"/>
    <w:rsid w:val="00907B6A"/>
    <w:rsid w:val="0091058F"/>
    <w:rsid w:val="00911F1B"/>
    <w:rsid w:val="00912426"/>
    <w:rsid w:val="00912704"/>
    <w:rsid w:val="00912A95"/>
    <w:rsid w:val="009130EC"/>
    <w:rsid w:val="00913D87"/>
    <w:rsid w:val="009141A8"/>
    <w:rsid w:val="00915686"/>
    <w:rsid w:val="00916F2D"/>
    <w:rsid w:val="00917757"/>
    <w:rsid w:val="00920825"/>
    <w:rsid w:val="009208FB"/>
    <w:rsid w:val="00922AF0"/>
    <w:rsid w:val="009251D3"/>
    <w:rsid w:val="00925C4D"/>
    <w:rsid w:val="0092631F"/>
    <w:rsid w:val="009264E7"/>
    <w:rsid w:val="0092695A"/>
    <w:rsid w:val="00927831"/>
    <w:rsid w:val="00927ECD"/>
    <w:rsid w:val="0093047E"/>
    <w:rsid w:val="00930FD8"/>
    <w:rsid w:val="009314EC"/>
    <w:rsid w:val="009326A8"/>
    <w:rsid w:val="009342AC"/>
    <w:rsid w:val="009407CD"/>
    <w:rsid w:val="00941491"/>
    <w:rsid w:val="00941528"/>
    <w:rsid w:val="00943520"/>
    <w:rsid w:val="00943EDF"/>
    <w:rsid w:val="0094475D"/>
    <w:rsid w:val="00945AD3"/>
    <w:rsid w:val="00946866"/>
    <w:rsid w:val="00947733"/>
    <w:rsid w:val="00950395"/>
    <w:rsid w:val="009508D9"/>
    <w:rsid w:val="00950B72"/>
    <w:rsid w:val="00950CC4"/>
    <w:rsid w:val="00951B74"/>
    <w:rsid w:val="0095365D"/>
    <w:rsid w:val="00953D66"/>
    <w:rsid w:val="00954235"/>
    <w:rsid w:val="00954470"/>
    <w:rsid w:val="00954471"/>
    <w:rsid w:val="00954845"/>
    <w:rsid w:val="009559E4"/>
    <w:rsid w:val="00955B9E"/>
    <w:rsid w:val="009563BB"/>
    <w:rsid w:val="009576E4"/>
    <w:rsid w:val="00957E37"/>
    <w:rsid w:val="00957FC4"/>
    <w:rsid w:val="009603D0"/>
    <w:rsid w:val="00960BF0"/>
    <w:rsid w:val="0096153B"/>
    <w:rsid w:val="0096486F"/>
    <w:rsid w:val="00965AF2"/>
    <w:rsid w:val="00966D00"/>
    <w:rsid w:val="009716F2"/>
    <w:rsid w:val="00972F22"/>
    <w:rsid w:val="00975C25"/>
    <w:rsid w:val="00975C85"/>
    <w:rsid w:val="009766A1"/>
    <w:rsid w:val="00976C98"/>
    <w:rsid w:val="009814DD"/>
    <w:rsid w:val="00981872"/>
    <w:rsid w:val="00983D5F"/>
    <w:rsid w:val="00985AB3"/>
    <w:rsid w:val="00985DD2"/>
    <w:rsid w:val="0098660E"/>
    <w:rsid w:val="00986BBD"/>
    <w:rsid w:val="009874E6"/>
    <w:rsid w:val="00987987"/>
    <w:rsid w:val="00991EC1"/>
    <w:rsid w:val="009921AC"/>
    <w:rsid w:val="00995616"/>
    <w:rsid w:val="00996593"/>
    <w:rsid w:val="009969D7"/>
    <w:rsid w:val="009974CC"/>
    <w:rsid w:val="00997739"/>
    <w:rsid w:val="009978D4"/>
    <w:rsid w:val="00997EF3"/>
    <w:rsid w:val="00997F9E"/>
    <w:rsid w:val="009A031F"/>
    <w:rsid w:val="009A19F3"/>
    <w:rsid w:val="009A1F5D"/>
    <w:rsid w:val="009A1FF0"/>
    <w:rsid w:val="009A2085"/>
    <w:rsid w:val="009A3696"/>
    <w:rsid w:val="009A4775"/>
    <w:rsid w:val="009A47E3"/>
    <w:rsid w:val="009A55CF"/>
    <w:rsid w:val="009A67C9"/>
    <w:rsid w:val="009A6BC1"/>
    <w:rsid w:val="009A6D05"/>
    <w:rsid w:val="009A7820"/>
    <w:rsid w:val="009A7F14"/>
    <w:rsid w:val="009B04AF"/>
    <w:rsid w:val="009B0755"/>
    <w:rsid w:val="009B20AD"/>
    <w:rsid w:val="009B31E6"/>
    <w:rsid w:val="009B4A71"/>
    <w:rsid w:val="009B4BFB"/>
    <w:rsid w:val="009B4C6F"/>
    <w:rsid w:val="009B563C"/>
    <w:rsid w:val="009B5D6E"/>
    <w:rsid w:val="009B6791"/>
    <w:rsid w:val="009B764C"/>
    <w:rsid w:val="009B7955"/>
    <w:rsid w:val="009B7B83"/>
    <w:rsid w:val="009C09FE"/>
    <w:rsid w:val="009C2B2F"/>
    <w:rsid w:val="009C4E2C"/>
    <w:rsid w:val="009C5A25"/>
    <w:rsid w:val="009C6033"/>
    <w:rsid w:val="009C6D75"/>
    <w:rsid w:val="009C76E3"/>
    <w:rsid w:val="009D0026"/>
    <w:rsid w:val="009D209A"/>
    <w:rsid w:val="009D3683"/>
    <w:rsid w:val="009D40CA"/>
    <w:rsid w:val="009D430B"/>
    <w:rsid w:val="009D5532"/>
    <w:rsid w:val="009D577D"/>
    <w:rsid w:val="009D5A45"/>
    <w:rsid w:val="009D5CA0"/>
    <w:rsid w:val="009D60C2"/>
    <w:rsid w:val="009D614B"/>
    <w:rsid w:val="009D68B9"/>
    <w:rsid w:val="009D6BE7"/>
    <w:rsid w:val="009D7551"/>
    <w:rsid w:val="009D788B"/>
    <w:rsid w:val="009E0162"/>
    <w:rsid w:val="009E1083"/>
    <w:rsid w:val="009E2221"/>
    <w:rsid w:val="009E2A58"/>
    <w:rsid w:val="009E3156"/>
    <w:rsid w:val="009E52D7"/>
    <w:rsid w:val="009E682C"/>
    <w:rsid w:val="009E7131"/>
    <w:rsid w:val="009E781A"/>
    <w:rsid w:val="009F7A1C"/>
    <w:rsid w:val="00A000CA"/>
    <w:rsid w:val="00A00639"/>
    <w:rsid w:val="00A0221A"/>
    <w:rsid w:val="00A0394D"/>
    <w:rsid w:val="00A04837"/>
    <w:rsid w:val="00A064CC"/>
    <w:rsid w:val="00A104FC"/>
    <w:rsid w:val="00A124D9"/>
    <w:rsid w:val="00A129F3"/>
    <w:rsid w:val="00A137F7"/>
    <w:rsid w:val="00A13982"/>
    <w:rsid w:val="00A13B42"/>
    <w:rsid w:val="00A142FF"/>
    <w:rsid w:val="00A147DB"/>
    <w:rsid w:val="00A14DE7"/>
    <w:rsid w:val="00A15A25"/>
    <w:rsid w:val="00A15B7C"/>
    <w:rsid w:val="00A160AD"/>
    <w:rsid w:val="00A161A9"/>
    <w:rsid w:val="00A1669E"/>
    <w:rsid w:val="00A16D17"/>
    <w:rsid w:val="00A16EFD"/>
    <w:rsid w:val="00A20BC5"/>
    <w:rsid w:val="00A21054"/>
    <w:rsid w:val="00A21497"/>
    <w:rsid w:val="00A22750"/>
    <w:rsid w:val="00A231DE"/>
    <w:rsid w:val="00A24DA0"/>
    <w:rsid w:val="00A25B0F"/>
    <w:rsid w:val="00A26209"/>
    <w:rsid w:val="00A2713E"/>
    <w:rsid w:val="00A271B5"/>
    <w:rsid w:val="00A276D8"/>
    <w:rsid w:val="00A27CEB"/>
    <w:rsid w:val="00A3041C"/>
    <w:rsid w:val="00A3172A"/>
    <w:rsid w:val="00A34F03"/>
    <w:rsid w:val="00A374B1"/>
    <w:rsid w:val="00A400D9"/>
    <w:rsid w:val="00A413F7"/>
    <w:rsid w:val="00A41973"/>
    <w:rsid w:val="00A420CE"/>
    <w:rsid w:val="00A42774"/>
    <w:rsid w:val="00A43410"/>
    <w:rsid w:val="00A43DB9"/>
    <w:rsid w:val="00A44630"/>
    <w:rsid w:val="00A44E07"/>
    <w:rsid w:val="00A45128"/>
    <w:rsid w:val="00A4517E"/>
    <w:rsid w:val="00A502E5"/>
    <w:rsid w:val="00A5076A"/>
    <w:rsid w:val="00A51B13"/>
    <w:rsid w:val="00A51DC1"/>
    <w:rsid w:val="00A52030"/>
    <w:rsid w:val="00A521F4"/>
    <w:rsid w:val="00A5313B"/>
    <w:rsid w:val="00A53B08"/>
    <w:rsid w:val="00A544A4"/>
    <w:rsid w:val="00A54563"/>
    <w:rsid w:val="00A547C5"/>
    <w:rsid w:val="00A604A4"/>
    <w:rsid w:val="00A60894"/>
    <w:rsid w:val="00A6165A"/>
    <w:rsid w:val="00A627E3"/>
    <w:rsid w:val="00A6296B"/>
    <w:rsid w:val="00A63363"/>
    <w:rsid w:val="00A644C5"/>
    <w:rsid w:val="00A654CA"/>
    <w:rsid w:val="00A675BA"/>
    <w:rsid w:val="00A67864"/>
    <w:rsid w:val="00A67EC1"/>
    <w:rsid w:val="00A70962"/>
    <w:rsid w:val="00A70B4A"/>
    <w:rsid w:val="00A71977"/>
    <w:rsid w:val="00A71B9D"/>
    <w:rsid w:val="00A72622"/>
    <w:rsid w:val="00A72AB9"/>
    <w:rsid w:val="00A72CD4"/>
    <w:rsid w:val="00A73240"/>
    <w:rsid w:val="00A7325E"/>
    <w:rsid w:val="00A7345B"/>
    <w:rsid w:val="00A7352E"/>
    <w:rsid w:val="00A7426B"/>
    <w:rsid w:val="00A76613"/>
    <w:rsid w:val="00A77DC2"/>
    <w:rsid w:val="00A82F5A"/>
    <w:rsid w:val="00A83E10"/>
    <w:rsid w:val="00A84468"/>
    <w:rsid w:val="00A854A3"/>
    <w:rsid w:val="00A861D2"/>
    <w:rsid w:val="00A8649F"/>
    <w:rsid w:val="00A90165"/>
    <w:rsid w:val="00A90C4D"/>
    <w:rsid w:val="00A90F20"/>
    <w:rsid w:val="00A91DBE"/>
    <w:rsid w:val="00A938F3"/>
    <w:rsid w:val="00A948E9"/>
    <w:rsid w:val="00A950DB"/>
    <w:rsid w:val="00A95D14"/>
    <w:rsid w:val="00A95E94"/>
    <w:rsid w:val="00A95F76"/>
    <w:rsid w:val="00A978EA"/>
    <w:rsid w:val="00A97CE2"/>
    <w:rsid w:val="00AA04B6"/>
    <w:rsid w:val="00AA0729"/>
    <w:rsid w:val="00AA2C91"/>
    <w:rsid w:val="00AA3F50"/>
    <w:rsid w:val="00AA42D6"/>
    <w:rsid w:val="00AA42EB"/>
    <w:rsid w:val="00AA4B9B"/>
    <w:rsid w:val="00AA7979"/>
    <w:rsid w:val="00AB1B38"/>
    <w:rsid w:val="00AB2E25"/>
    <w:rsid w:val="00AB33B7"/>
    <w:rsid w:val="00AB3936"/>
    <w:rsid w:val="00AB3C59"/>
    <w:rsid w:val="00AB4418"/>
    <w:rsid w:val="00AB4E95"/>
    <w:rsid w:val="00AB5E04"/>
    <w:rsid w:val="00AB6D2A"/>
    <w:rsid w:val="00AB717C"/>
    <w:rsid w:val="00AB72BA"/>
    <w:rsid w:val="00AB7AC9"/>
    <w:rsid w:val="00AC0073"/>
    <w:rsid w:val="00AC0FC8"/>
    <w:rsid w:val="00AC12E6"/>
    <w:rsid w:val="00AC18C7"/>
    <w:rsid w:val="00AC22CF"/>
    <w:rsid w:val="00AC3986"/>
    <w:rsid w:val="00AC66D2"/>
    <w:rsid w:val="00AD1582"/>
    <w:rsid w:val="00AD272E"/>
    <w:rsid w:val="00AD2999"/>
    <w:rsid w:val="00AD370F"/>
    <w:rsid w:val="00AD3812"/>
    <w:rsid w:val="00AD4377"/>
    <w:rsid w:val="00AD4F26"/>
    <w:rsid w:val="00AD5BB6"/>
    <w:rsid w:val="00AD6880"/>
    <w:rsid w:val="00AD736B"/>
    <w:rsid w:val="00AE068C"/>
    <w:rsid w:val="00AE0D89"/>
    <w:rsid w:val="00AE1C32"/>
    <w:rsid w:val="00AE2082"/>
    <w:rsid w:val="00AE27A6"/>
    <w:rsid w:val="00AE2ABD"/>
    <w:rsid w:val="00AE2D48"/>
    <w:rsid w:val="00AE3F60"/>
    <w:rsid w:val="00AE553B"/>
    <w:rsid w:val="00AE5E67"/>
    <w:rsid w:val="00AE67F8"/>
    <w:rsid w:val="00AE779F"/>
    <w:rsid w:val="00AF015F"/>
    <w:rsid w:val="00AF09F9"/>
    <w:rsid w:val="00AF162A"/>
    <w:rsid w:val="00AF3096"/>
    <w:rsid w:val="00AF4665"/>
    <w:rsid w:val="00AF5E0B"/>
    <w:rsid w:val="00AF6349"/>
    <w:rsid w:val="00AF6524"/>
    <w:rsid w:val="00AF6C57"/>
    <w:rsid w:val="00AF6EFE"/>
    <w:rsid w:val="00AF7CC6"/>
    <w:rsid w:val="00B01809"/>
    <w:rsid w:val="00B01E6B"/>
    <w:rsid w:val="00B0283E"/>
    <w:rsid w:val="00B02BDD"/>
    <w:rsid w:val="00B03021"/>
    <w:rsid w:val="00B033F4"/>
    <w:rsid w:val="00B04FEC"/>
    <w:rsid w:val="00B0688B"/>
    <w:rsid w:val="00B06DB1"/>
    <w:rsid w:val="00B06E0C"/>
    <w:rsid w:val="00B10786"/>
    <w:rsid w:val="00B10909"/>
    <w:rsid w:val="00B10F10"/>
    <w:rsid w:val="00B11331"/>
    <w:rsid w:val="00B117F6"/>
    <w:rsid w:val="00B12201"/>
    <w:rsid w:val="00B14433"/>
    <w:rsid w:val="00B16CE4"/>
    <w:rsid w:val="00B16D1D"/>
    <w:rsid w:val="00B16E69"/>
    <w:rsid w:val="00B20494"/>
    <w:rsid w:val="00B2066F"/>
    <w:rsid w:val="00B226CD"/>
    <w:rsid w:val="00B2336A"/>
    <w:rsid w:val="00B234AD"/>
    <w:rsid w:val="00B2594D"/>
    <w:rsid w:val="00B2778E"/>
    <w:rsid w:val="00B3257C"/>
    <w:rsid w:val="00B33398"/>
    <w:rsid w:val="00B33DDD"/>
    <w:rsid w:val="00B36132"/>
    <w:rsid w:val="00B3617A"/>
    <w:rsid w:val="00B36214"/>
    <w:rsid w:val="00B36E89"/>
    <w:rsid w:val="00B4062C"/>
    <w:rsid w:val="00B411E4"/>
    <w:rsid w:val="00B42576"/>
    <w:rsid w:val="00B446BF"/>
    <w:rsid w:val="00B44ADE"/>
    <w:rsid w:val="00B453A5"/>
    <w:rsid w:val="00B4597A"/>
    <w:rsid w:val="00B45A8F"/>
    <w:rsid w:val="00B50AB7"/>
    <w:rsid w:val="00B50EDD"/>
    <w:rsid w:val="00B531DA"/>
    <w:rsid w:val="00B55B9F"/>
    <w:rsid w:val="00B570D1"/>
    <w:rsid w:val="00B57E11"/>
    <w:rsid w:val="00B57ECB"/>
    <w:rsid w:val="00B57FB7"/>
    <w:rsid w:val="00B600A7"/>
    <w:rsid w:val="00B600FC"/>
    <w:rsid w:val="00B60473"/>
    <w:rsid w:val="00B607A0"/>
    <w:rsid w:val="00B6102A"/>
    <w:rsid w:val="00B6182C"/>
    <w:rsid w:val="00B61B79"/>
    <w:rsid w:val="00B61D96"/>
    <w:rsid w:val="00B61F69"/>
    <w:rsid w:val="00B623D5"/>
    <w:rsid w:val="00B62A94"/>
    <w:rsid w:val="00B62B0B"/>
    <w:rsid w:val="00B633E3"/>
    <w:rsid w:val="00B6354C"/>
    <w:rsid w:val="00B635C0"/>
    <w:rsid w:val="00B639AE"/>
    <w:rsid w:val="00B63BC5"/>
    <w:rsid w:val="00B64FE9"/>
    <w:rsid w:val="00B66ADA"/>
    <w:rsid w:val="00B67E26"/>
    <w:rsid w:val="00B70A77"/>
    <w:rsid w:val="00B70FEA"/>
    <w:rsid w:val="00B7208B"/>
    <w:rsid w:val="00B72B19"/>
    <w:rsid w:val="00B7305B"/>
    <w:rsid w:val="00B73F50"/>
    <w:rsid w:val="00B73F56"/>
    <w:rsid w:val="00B7423F"/>
    <w:rsid w:val="00B744FD"/>
    <w:rsid w:val="00B74770"/>
    <w:rsid w:val="00B750B3"/>
    <w:rsid w:val="00B7692B"/>
    <w:rsid w:val="00B772A4"/>
    <w:rsid w:val="00B80B06"/>
    <w:rsid w:val="00B817CC"/>
    <w:rsid w:val="00B82E10"/>
    <w:rsid w:val="00B831BA"/>
    <w:rsid w:val="00B851E2"/>
    <w:rsid w:val="00B85C21"/>
    <w:rsid w:val="00B85F7C"/>
    <w:rsid w:val="00B85F87"/>
    <w:rsid w:val="00B86C71"/>
    <w:rsid w:val="00B87925"/>
    <w:rsid w:val="00B87AC9"/>
    <w:rsid w:val="00B87C77"/>
    <w:rsid w:val="00B92516"/>
    <w:rsid w:val="00B94BD5"/>
    <w:rsid w:val="00B95E56"/>
    <w:rsid w:val="00BA05AF"/>
    <w:rsid w:val="00BA05CB"/>
    <w:rsid w:val="00BA1244"/>
    <w:rsid w:val="00BA1CE0"/>
    <w:rsid w:val="00BA20BF"/>
    <w:rsid w:val="00BA3DCF"/>
    <w:rsid w:val="00BA72B1"/>
    <w:rsid w:val="00BA7DC0"/>
    <w:rsid w:val="00BA7DFB"/>
    <w:rsid w:val="00BB0D2B"/>
    <w:rsid w:val="00BB1F54"/>
    <w:rsid w:val="00BB3C65"/>
    <w:rsid w:val="00BB47D6"/>
    <w:rsid w:val="00BB4BB2"/>
    <w:rsid w:val="00BC0290"/>
    <w:rsid w:val="00BC1675"/>
    <w:rsid w:val="00BC1AA8"/>
    <w:rsid w:val="00BC2F5D"/>
    <w:rsid w:val="00BC3558"/>
    <w:rsid w:val="00BC41DA"/>
    <w:rsid w:val="00BC427A"/>
    <w:rsid w:val="00BC4D62"/>
    <w:rsid w:val="00BC53BD"/>
    <w:rsid w:val="00BC5673"/>
    <w:rsid w:val="00BC5D13"/>
    <w:rsid w:val="00BC62BA"/>
    <w:rsid w:val="00BC6D48"/>
    <w:rsid w:val="00BC7770"/>
    <w:rsid w:val="00BD0705"/>
    <w:rsid w:val="00BD1F1D"/>
    <w:rsid w:val="00BD2328"/>
    <w:rsid w:val="00BD275A"/>
    <w:rsid w:val="00BD2D08"/>
    <w:rsid w:val="00BD2DA1"/>
    <w:rsid w:val="00BD4497"/>
    <w:rsid w:val="00BD46C6"/>
    <w:rsid w:val="00BD4F67"/>
    <w:rsid w:val="00BD5B10"/>
    <w:rsid w:val="00BD62C1"/>
    <w:rsid w:val="00BD6F03"/>
    <w:rsid w:val="00BD713D"/>
    <w:rsid w:val="00BD79F2"/>
    <w:rsid w:val="00BE052F"/>
    <w:rsid w:val="00BE0F84"/>
    <w:rsid w:val="00BE1B70"/>
    <w:rsid w:val="00BE269D"/>
    <w:rsid w:val="00BE26EE"/>
    <w:rsid w:val="00BE2C7E"/>
    <w:rsid w:val="00BE3EBD"/>
    <w:rsid w:val="00BE4D50"/>
    <w:rsid w:val="00BE5580"/>
    <w:rsid w:val="00BE5779"/>
    <w:rsid w:val="00BE681E"/>
    <w:rsid w:val="00BF011D"/>
    <w:rsid w:val="00BF0E04"/>
    <w:rsid w:val="00BF0F38"/>
    <w:rsid w:val="00BF14F4"/>
    <w:rsid w:val="00BF15FE"/>
    <w:rsid w:val="00BF1D74"/>
    <w:rsid w:val="00BF234A"/>
    <w:rsid w:val="00BF28A9"/>
    <w:rsid w:val="00BF2C8B"/>
    <w:rsid w:val="00BF332E"/>
    <w:rsid w:val="00BF3780"/>
    <w:rsid w:val="00BF3E41"/>
    <w:rsid w:val="00BF4F5B"/>
    <w:rsid w:val="00BF54EF"/>
    <w:rsid w:val="00BF7AFA"/>
    <w:rsid w:val="00C00EC9"/>
    <w:rsid w:val="00C013B4"/>
    <w:rsid w:val="00C016BD"/>
    <w:rsid w:val="00C01B45"/>
    <w:rsid w:val="00C02059"/>
    <w:rsid w:val="00C0250F"/>
    <w:rsid w:val="00C02639"/>
    <w:rsid w:val="00C02A7D"/>
    <w:rsid w:val="00C03391"/>
    <w:rsid w:val="00C046B1"/>
    <w:rsid w:val="00C049EB"/>
    <w:rsid w:val="00C0692C"/>
    <w:rsid w:val="00C070B3"/>
    <w:rsid w:val="00C077F1"/>
    <w:rsid w:val="00C07FB5"/>
    <w:rsid w:val="00C1044F"/>
    <w:rsid w:val="00C10A05"/>
    <w:rsid w:val="00C10BA4"/>
    <w:rsid w:val="00C10C88"/>
    <w:rsid w:val="00C12EDB"/>
    <w:rsid w:val="00C13086"/>
    <w:rsid w:val="00C166F9"/>
    <w:rsid w:val="00C179F7"/>
    <w:rsid w:val="00C17A37"/>
    <w:rsid w:val="00C200F7"/>
    <w:rsid w:val="00C209DF"/>
    <w:rsid w:val="00C21058"/>
    <w:rsid w:val="00C21104"/>
    <w:rsid w:val="00C217BA"/>
    <w:rsid w:val="00C21ABF"/>
    <w:rsid w:val="00C229EC"/>
    <w:rsid w:val="00C22F96"/>
    <w:rsid w:val="00C24351"/>
    <w:rsid w:val="00C25E2E"/>
    <w:rsid w:val="00C25F02"/>
    <w:rsid w:val="00C268CF"/>
    <w:rsid w:val="00C26D09"/>
    <w:rsid w:val="00C2764E"/>
    <w:rsid w:val="00C305AE"/>
    <w:rsid w:val="00C307A8"/>
    <w:rsid w:val="00C30E83"/>
    <w:rsid w:val="00C334F9"/>
    <w:rsid w:val="00C3468B"/>
    <w:rsid w:val="00C34A2C"/>
    <w:rsid w:val="00C359BC"/>
    <w:rsid w:val="00C35BF2"/>
    <w:rsid w:val="00C35F99"/>
    <w:rsid w:val="00C37044"/>
    <w:rsid w:val="00C3731B"/>
    <w:rsid w:val="00C374B5"/>
    <w:rsid w:val="00C374C9"/>
    <w:rsid w:val="00C37D45"/>
    <w:rsid w:val="00C40D94"/>
    <w:rsid w:val="00C411BC"/>
    <w:rsid w:val="00C427E9"/>
    <w:rsid w:val="00C429E3"/>
    <w:rsid w:val="00C42A4D"/>
    <w:rsid w:val="00C42BDE"/>
    <w:rsid w:val="00C476FD"/>
    <w:rsid w:val="00C51B7C"/>
    <w:rsid w:val="00C51C29"/>
    <w:rsid w:val="00C52A81"/>
    <w:rsid w:val="00C5433E"/>
    <w:rsid w:val="00C54C3D"/>
    <w:rsid w:val="00C55103"/>
    <w:rsid w:val="00C553B5"/>
    <w:rsid w:val="00C60EE9"/>
    <w:rsid w:val="00C62F85"/>
    <w:rsid w:val="00C63C71"/>
    <w:rsid w:val="00C6435B"/>
    <w:rsid w:val="00C64827"/>
    <w:rsid w:val="00C649B2"/>
    <w:rsid w:val="00C65179"/>
    <w:rsid w:val="00C65929"/>
    <w:rsid w:val="00C67698"/>
    <w:rsid w:val="00C701B3"/>
    <w:rsid w:val="00C706A5"/>
    <w:rsid w:val="00C70A4B"/>
    <w:rsid w:val="00C71138"/>
    <w:rsid w:val="00C72080"/>
    <w:rsid w:val="00C72318"/>
    <w:rsid w:val="00C72E31"/>
    <w:rsid w:val="00C73AF1"/>
    <w:rsid w:val="00C73C35"/>
    <w:rsid w:val="00C744C3"/>
    <w:rsid w:val="00C7506F"/>
    <w:rsid w:val="00C76249"/>
    <w:rsid w:val="00C77FF2"/>
    <w:rsid w:val="00C80E65"/>
    <w:rsid w:val="00C814E3"/>
    <w:rsid w:val="00C823BD"/>
    <w:rsid w:val="00C82FA2"/>
    <w:rsid w:val="00C85227"/>
    <w:rsid w:val="00C85D85"/>
    <w:rsid w:val="00C85F79"/>
    <w:rsid w:val="00C87EFC"/>
    <w:rsid w:val="00C91677"/>
    <w:rsid w:val="00C929CE"/>
    <w:rsid w:val="00C93EAA"/>
    <w:rsid w:val="00C93FD8"/>
    <w:rsid w:val="00C94A80"/>
    <w:rsid w:val="00C94E38"/>
    <w:rsid w:val="00C94F63"/>
    <w:rsid w:val="00C95A6B"/>
    <w:rsid w:val="00C95C1F"/>
    <w:rsid w:val="00C968CC"/>
    <w:rsid w:val="00C96B1D"/>
    <w:rsid w:val="00C976F1"/>
    <w:rsid w:val="00C97B9F"/>
    <w:rsid w:val="00CA482A"/>
    <w:rsid w:val="00CA49CC"/>
    <w:rsid w:val="00CA5870"/>
    <w:rsid w:val="00CA6364"/>
    <w:rsid w:val="00CA6989"/>
    <w:rsid w:val="00CA6F5A"/>
    <w:rsid w:val="00CA6F70"/>
    <w:rsid w:val="00CA71DA"/>
    <w:rsid w:val="00CA7EF6"/>
    <w:rsid w:val="00CB00C5"/>
    <w:rsid w:val="00CB09C6"/>
    <w:rsid w:val="00CB1696"/>
    <w:rsid w:val="00CB2C1A"/>
    <w:rsid w:val="00CB3616"/>
    <w:rsid w:val="00CB3C08"/>
    <w:rsid w:val="00CB3CA9"/>
    <w:rsid w:val="00CB45B8"/>
    <w:rsid w:val="00CB53F3"/>
    <w:rsid w:val="00CB592A"/>
    <w:rsid w:val="00CB6356"/>
    <w:rsid w:val="00CB6AA0"/>
    <w:rsid w:val="00CB76EA"/>
    <w:rsid w:val="00CC30D7"/>
    <w:rsid w:val="00CC3DB6"/>
    <w:rsid w:val="00CC4490"/>
    <w:rsid w:val="00CC5917"/>
    <w:rsid w:val="00CC665B"/>
    <w:rsid w:val="00CC77E4"/>
    <w:rsid w:val="00CD00FA"/>
    <w:rsid w:val="00CD1559"/>
    <w:rsid w:val="00CD1E97"/>
    <w:rsid w:val="00CD1F91"/>
    <w:rsid w:val="00CD259B"/>
    <w:rsid w:val="00CD3A9A"/>
    <w:rsid w:val="00CD3C0D"/>
    <w:rsid w:val="00CD4181"/>
    <w:rsid w:val="00CD7B38"/>
    <w:rsid w:val="00CE05B0"/>
    <w:rsid w:val="00CE0A3F"/>
    <w:rsid w:val="00CE24DD"/>
    <w:rsid w:val="00CE25B4"/>
    <w:rsid w:val="00CE27F5"/>
    <w:rsid w:val="00CE2B11"/>
    <w:rsid w:val="00CE4D13"/>
    <w:rsid w:val="00CE5396"/>
    <w:rsid w:val="00CE555C"/>
    <w:rsid w:val="00CE6C38"/>
    <w:rsid w:val="00CE7872"/>
    <w:rsid w:val="00CF0163"/>
    <w:rsid w:val="00CF09A5"/>
    <w:rsid w:val="00CF3082"/>
    <w:rsid w:val="00CF3268"/>
    <w:rsid w:val="00CF3541"/>
    <w:rsid w:val="00CF38B5"/>
    <w:rsid w:val="00CF490A"/>
    <w:rsid w:val="00CF5E47"/>
    <w:rsid w:val="00CF6BB4"/>
    <w:rsid w:val="00CF6E6C"/>
    <w:rsid w:val="00CF6E70"/>
    <w:rsid w:val="00CF7444"/>
    <w:rsid w:val="00D002B7"/>
    <w:rsid w:val="00D00FB0"/>
    <w:rsid w:val="00D035C0"/>
    <w:rsid w:val="00D039D9"/>
    <w:rsid w:val="00D039E6"/>
    <w:rsid w:val="00D03E2E"/>
    <w:rsid w:val="00D04545"/>
    <w:rsid w:val="00D04DAB"/>
    <w:rsid w:val="00D05527"/>
    <w:rsid w:val="00D05A1E"/>
    <w:rsid w:val="00D05E8E"/>
    <w:rsid w:val="00D063DF"/>
    <w:rsid w:val="00D0784E"/>
    <w:rsid w:val="00D1034E"/>
    <w:rsid w:val="00D1059C"/>
    <w:rsid w:val="00D10EF1"/>
    <w:rsid w:val="00D1103E"/>
    <w:rsid w:val="00D1110F"/>
    <w:rsid w:val="00D113DE"/>
    <w:rsid w:val="00D11897"/>
    <w:rsid w:val="00D11FA6"/>
    <w:rsid w:val="00D12F92"/>
    <w:rsid w:val="00D13322"/>
    <w:rsid w:val="00D138F5"/>
    <w:rsid w:val="00D139C9"/>
    <w:rsid w:val="00D13A57"/>
    <w:rsid w:val="00D13B8F"/>
    <w:rsid w:val="00D13E89"/>
    <w:rsid w:val="00D141C7"/>
    <w:rsid w:val="00D16D05"/>
    <w:rsid w:val="00D17130"/>
    <w:rsid w:val="00D17758"/>
    <w:rsid w:val="00D20556"/>
    <w:rsid w:val="00D21428"/>
    <w:rsid w:val="00D22459"/>
    <w:rsid w:val="00D22CE6"/>
    <w:rsid w:val="00D2326A"/>
    <w:rsid w:val="00D23E6D"/>
    <w:rsid w:val="00D23F6C"/>
    <w:rsid w:val="00D243B7"/>
    <w:rsid w:val="00D24C8C"/>
    <w:rsid w:val="00D25B22"/>
    <w:rsid w:val="00D268A1"/>
    <w:rsid w:val="00D26D39"/>
    <w:rsid w:val="00D302B4"/>
    <w:rsid w:val="00D31987"/>
    <w:rsid w:val="00D319FE"/>
    <w:rsid w:val="00D323D1"/>
    <w:rsid w:val="00D33B2C"/>
    <w:rsid w:val="00D33BC0"/>
    <w:rsid w:val="00D33DDC"/>
    <w:rsid w:val="00D34415"/>
    <w:rsid w:val="00D35989"/>
    <w:rsid w:val="00D35B9B"/>
    <w:rsid w:val="00D35EAD"/>
    <w:rsid w:val="00D37DFB"/>
    <w:rsid w:val="00D40078"/>
    <w:rsid w:val="00D4022D"/>
    <w:rsid w:val="00D414F5"/>
    <w:rsid w:val="00D41F51"/>
    <w:rsid w:val="00D454E7"/>
    <w:rsid w:val="00D45527"/>
    <w:rsid w:val="00D46097"/>
    <w:rsid w:val="00D46521"/>
    <w:rsid w:val="00D53275"/>
    <w:rsid w:val="00D54358"/>
    <w:rsid w:val="00D54562"/>
    <w:rsid w:val="00D553C6"/>
    <w:rsid w:val="00D5577E"/>
    <w:rsid w:val="00D55F1F"/>
    <w:rsid w:val="00D5614A"/>
    <w:rsid w:val="00D563AD"/>
    <w:rsid w:val="00D5679E"/>
    <w:rsid w:val="00D567AA"/>
    <w:rsid w:val="00D57F34"/>
    <w:rsid w:val="00D604DA"/>
    <w:rsid w:val="00D62952"/>
    <w:rsid w:val="00D62B1A"/>
    <w:rsid w:val="00D6316F"/>
    <w:rsid w:val="00D63E9A"/>
    <w:rsid w:val="00D641F8"/>
    <w:rsid w:val="00D64A9F"/>
    <w:rsid w:val="00D66AE3"/>
    <w:rsid w:val="00D67390"/>
    <w:rsid w:val="00D673AA"/>
    <w:rsid w:val="00D713A0"/>
    <w:rsid w:val="00D7152A"/>
    <w:rsid w:val="00D720AD"/>
    <w:rsid w:val="00D7233D"/>
    <w:rsid w:val="00D724DC"/>
    <w:rsid w:val="00D741FC"/>
    <w:rsid w:val="00D7524D"/>
    <w:rsid w:val="00D75C4F"/>
    <w:rsid w:val="00D7636E"/>
    <w:rsid w:val="00D76CA5"/>
    <w:rsid w:val="00D76ED3"/>
    <w:rsid w:val="00D77DC1"/>
    <w:rsid w:val="00D77E85"/>
    <w:rsid w:val="00D77F27"/>
    <w:rsid w:val="00D80A2B"/>
    <w:rsid w:val="00D80D6A"/>
    <w:rsid w:val="00D83DDB"/>
    <w:rsid w:val="00D84084"/>
    <w:rsid w:val="00D8421B"/>
    <w:rsid w:val="00D85054"/>
    <w:rsid w:val="00D851B0"/>
    <w:rsid w:val="00D90594"/>
    <w:rsid w:val="00D90AA2"/>
    <w:rsid w:val="00D9112C"/>
    <w:rsid w:val="00D92B4D"/>
    <w:rsid w:val="00D93334"/>
    <w:rsid w:val="00D93A63"/>
    <w:rsid w:val="00D93D3C"/>
    <w:rsid w:val="00D93D73"/>
    <w:rsid w:val="00D93EB1"/>
    <w:rsid w:val="00D9452B"/>
    <w:rsid w:val="00D94ADC"/>
    <w:rsid w:val="00D96AB7"/>
    <w:rsid w:val="00D977C8"/>
    <w:rsid w:val="00DA244B"/>
    <w:rsid w:val="00DA3198"/>
    <w:rsid w:val="00DA380F"/>
    <w:rsid w:val="00DA3867"/>
    <w:rsid w:val="00DA3E9A"/>
    <w:rsid w:val="00DA65F6"/>
    <w:rsid w:val="00DA6F31"/>
    <w:rsid w:val="00DA706E"/>
    <w:rsid w:val="00DA7137"/>
    <w:rsid w:val="00DA7D1B"/>
    <w:rsid w:val="00DB03ED"/>
    <w:rsid w:val="00DB06E9"/>
    <w:rsid w:val="00DB0E7C"/>
    <w:rsid w:val="00DB181D"/>
    <w:rsid w:val="00DB1B17"/>
    <w:rsid w:val="00DB1EDB"/>
    <w:rsid w:val="00DB210F"/>
    <w:rsid w:val="00DB220A"/>
    <w:rsid w:val="00DB2DBE"/>
    <w:rsid w:val="00DB32DE"/>
    <w:rsid w:val="00DB49B6"/>
    <w:rsid w:val="00DB5B40"/>
    <w:rsid w:val="00DB6DA6"/>
    <w:rsid w:val="00DC1302"/>
    <w:rsid w:val="00DC13E1"/>
    <w:rsid w:val="00DC1E47"/>
    <w:rsid w:val="00DC2397"/>
    <w:rsid w:val="00DC3545"/>
    <w:rsid w:val="00DC364B"/>
    <w:rsid w:val="00DC4B35"/>
    <w:rsid w:val="00DC4FBE"/>
    <w:rsid w:val="00DC5A31"/>
    <w:rsid w:val="00DC676B"/>
    <w:rsid w:val="00DD2648"/>
    <w:rsid w:val="00DD2A1E"/>
    <w:rsid w:val="00DD6FD9"/>
    <w:rsid w:val="00DD79E3"/>
    <w:rsid w:val="00DE048F"/>
    <w:rsid w:val="00DE1206"/>
    <w:rsid w:val="00DE215D"/>
    <w:rsid w:val="00DE3C99"/>
    <w:rsid w:val="00DE491D"/>
    <w:rsid w:val="00DE552A"/>
    <w:rsid w:val="00DE5A78"/>
    <w:rsid w:val="00DE5D94"/>
    <w:rsid w:val="00DE7FFC"/>
    <w:rsid w:val="00DF0119"/>
    <w:rsid w:val="00DF171F"/>
    <w:rsid w:val="00DF1AB3"/>
    <w:rsid w:val="00DF1AB5"/>
    <w:rsid w:val="00DF221E"/>
    <w:rsid w:val="00DF369E"/>
    <w:rsid w:val="00DF62C2"/>
    <w:rsid w:val="00DF62E2"/>
    <w:rsid w:val="00E0008D"/>
    <w:rsid w:val="00E009EE"/>
    <w:rsid w:val="00E00A82"/>
    <w:rsid w:val="00E00CDF"/>
    <w:rsid w:val="00E0120D"/>
    <w:rsid w:val="00E01521"/>
    <w:rsid w:val="00E016C4"/>
    <w:rsid w:val="00E0246A"/>
    <w:rsid w:val="00E02A34"/>
    <w:rsid w:val="00E030B1"/>
    <w:rsid w:val="00E03B67"/>
    <w:rsid w:val="00E040F3"/>
    <w:rsid w:val="00E0420B"/>
    <w:rsid w:val="00E042F5"/>
    <w:rsid w:val="00E07170"/>
    <w:rsid w:val="00E0719F"/>
    <w:rsid w:val="00E07465"/>
    <w:rsid w:val="00E11853"/>
    <w:rsid w:val="00E11BB7"/>
    <w:rsid w:val="00E11D10"/>
    <w:rsid w:val="00E11EBD"/>
    <w:rsid w:val="00E1447C"/>
    <w:rsid w:val="00E1484A"/>
    <w:rsid w:val="00E14DE9"/>
    <w:rsid w:val="00E163A1"/>
    <w:rsid w:val="00E16DF8"/>
    <w:rsid w:val="00E16EEC"/>
    <w:rsid w:val="00E1715A"/>
    <w:rsid w:val="00E204D1"/>
    <w:rsid w:val="00E2206C"/>
    <w:rsid w:val="00E2269E"/>
    <w:rsid w:val="00E234D4"/>
    <w:rsid w:val="00E25030"/>
    <w:rsid w:val="00E265E4"/>
    <w:rsid w:val="00E27CA7"/>
    <w:rsid w:val="00E3029E"/>
    <w:rsid w:val="00E30F1C"/>
    <w:rsid w:val="00E32127"/>
    <w:rsid w:val="00E3351C"/>
    <w:rsid w:val="00E33A89"/>
    <w:rsid w:val="00E3427F"/>
    <w:rsid w:val="00E34506"/>
    <w:rsid w:val="00E345E9"/>
    <w:rsid w:val="00E36F48"/>
    <w:rsid w:val="00E40EFD"/>
    <w:rsid w:val="00E41784"/>
    <w:rsid w:val="00E41E05"/>
    <w:rsid w:val="00E41E0C"/>
    <w:rsid w:val="00E42A8D"/>
    <w:rsid w:val="00E44128"/>
    <w:rsid w:val="00E442A1"/>
    <w:rsid w:val="00E443E4"/>
    <w:rsid w:val="00E45315"/>
    <w:rsid w:val="00E45773"/>
    <w:rsid w:val="00E461FA"/>
    <w:rsid w:val="00E477A6"/>
    <w:rsid w:val="00E47D6F"/>
    <w:rsid w:val="00E50D58"/>
    <w:rsid w:val="00E5131F"/>
    <w:rsid w:val="00E5224B"/>
    <w:rsid w:val="00E531E7"/>
    <w:rsid w:val="00E53AD3"/>
    <w:rsid w:val="00E543BB"/>
    <w:rsid w:val="00E555EA"/>
    <w:rsid w:val="00E556A6"/>
    <w:rsid w:val="00E55C95"/>
    <w:rsid w:val="00E55FB3"/>
    <w:rsid w:val="00E56009"/>
    <w:rsid w:val="00E56675"/>
    <w:rsid w:val="00E571CC"/>
    <w:rsid w:val="00E57400"/>
    <w:rsid w:val="00E60F25"/>
    <w:rsid w:val="00E619E4"/>
    <w:rsid w:val="00E61B27"/>
    <w:rsid w:val="00E627F6"/>
    <w:rsid w:val="00E62E41"/>
    <w:rsid w:val="00E638BD"/>
    <w:rsid w:val="00E640FA"/>
    <w:rsid w:val="00E6458A"/>
    <w:rsid w:val="00E66872"/>
    <w:rsid w:val="00E67510"/>
    <w:rsid w:val="00E67EE4"/>
    <w:rsid w:val="00E7052B"/>
    <w:rsid w:val="00E709DF"/>
    <w:rsid w:val="00E70D2A"/>
    <w:rsid w:val="00E70FF3"/>
    <w:rsid w:val="00E7109F"/>
    <w:rsid w:val="00E71175"/>
    <w:rsid w:val="00E7128A"/>
    <w:rsid w:val="00E729D8"/>
    <w:rsid w:val="00E72FB5"/>
    <w:rsid w:val="00E73938"/>
    <w:rsid w:val="00E74794"/>
    <w:rsid w:val="00E74ADC"/>
    <w:rsid w:val="00E7611D"/>
    <w:rsid w:val="00E7678D"/>
    <w:rsid w:val="00E772C0"/>
    <w:rsid w:val="00E8457A"/>
    <w:rsid w:val="00E85462"/>
    <w:rsid w:val="00E85929"/>
    <w:rsid w:val="00E865C9"/>
    <w:rsid w:val="00E870DB"/>
    <w:rsid w:val="00E87D24"/>
    <w:rsid w:val="00E905BD"/>
    <w:rsid w:val="00E9062C"/>
    <w:rsid w:val="00E90BFC"/>
    <w:rsid w:val="00E92BE9"/>
    <w:rsid w:val="00E92F9F"/>
    <w:rsid w:val="00E94716"/>
    <w:rsid w:val="00E9473C"/>
    <w:rsid w:val="00E94AC2"/>
    <w:rsid w:val="00E95525"/>
    <w:rsid w:val="00E959E8"/>
    <w:rsid w:val="00E96060"/>
    <w:rsid w:val="00E96E14"/>
    <w:rsid w:val="00E9702D"/>
    <w:rsid w:val="00E974FA"/>
    <w:rsid w:val="00E97A41"/>
    <w:rsid w:val="00EA0137"/>
    <w:rsid w:val="00EA1D6D"/>
    <w:rsid w:val="00EA1EEC"/>
    <w:rsid w:val="00EA2018"/>
    <w:rsid w:val="00EA205A"/>
    <w:rsid w:val="00EA3825"/>
    <w:rsid w:val="00EA3C3C"/>
    <w:rsid w:val="00EA4C22"/>
    <w:rsid w:val="00EA5580"/>
    <w:rsid w:val="00EA57D0"/>
    <w:rsid w:val="00EA79FB"/>
    <w:rsid w:val="00EB078A"/>
    <w:rsid w:val="00EB0D9D"/>
    <w:rsid w:val="00EB1F10"/>
    <w:rsid w:val="00EB284E"/>
    <w:rsid w:val="00EB2A0A"/>
    <w:rsid w:val="00EB2FF9"/>
    <w:rsid w:val="00EB35F3"/>
    <w:rsid w:val="00EB409B"/>
    <w:rsid w:val="00EB41C4"/>
    <w:rsid w:val="00EB4313"/>
    <w:rsid w:val="00EB5488"/>
    <w:rsid w:val="00EB54B3"/>
    <w:rsid w:val="00EB5745"/>
    <w:rsid w:val="00EB5E7C"/>
    <w:rsid w:val="00EB61C0"/>
    <w:rsid w:val="00EB676E"/>
    <w:rsid w:val="00EB68B6"/>
    <w:rsid w:val="00EB6BE8"/>
    <w:rsid w:val="00EB6C77"/>
    <w:rsid w:val="00EB752B"/>
    <w:rsid w:val="00EC04CA"/>
    <w:rsid w:val="00EC0C5E"/>
    <w:rsid w:val="00EC1D43"/>
    <w:rsid w:val="00EC42FA"/>
    <w:rsid w:val="00EC5534"/>
    <w:rsid w:val="00EC578A"/>
    <w:rsid w:val="00EC6555"/>
    <w:rsid w:val="00EC6F5C"/>
    <w:rsid w:val="00EC7546"/>
    <w:rsid w:val="00EC75B2"/>
    <w:rsid w:val="00EC7956"/>
    <w:rsid w:val="00ED0791"/>
    <w:rsid w:val="00ED0ED5"/>
    <w:rsid w:val="00ED2CEA"/>
    <w:rsid w:val="00ED2D83"/>
    <w:rsid w:val="00ED3373"/>
    <w:rsid w:val="00ED602D"/>
    <w:rsid w:val="00ED6E53"/>
    <w:rsid w:val="00ED7023"/>
    <w:rsid w:val="00ED71A4"/>
    <w:rsid w:val="00EE0397"/>
    <w:rsid w:val="00EE0655"/>
    <w:rsid w:val="00EE1923"/>
    <w:rsid w:val="00EE3490"/>
    <w:rsid w:val="00EE571A"/>
    <w:rsid w:val="00EE7131"/>
    <w:rsid w:val="00EE7955"/>
    <w:rsid w:val="00EF0475"/>
    <w:rsid w:val="00EF136E"/>
    <w:rsid w:val="00EF1E54"/>
    <w:rsid w:val="00EF24E6"/>
    <w:rsid w:val="00EF2C03"/>
    <w:rsid w:val="00EF2FA6"/>
    <w:rsid w:val="00EF2FFA"/>
    <w:rsid w:val="00EF3BCC"/>
    <w:rsid w:val="00EF4D2C"/>
    <w:rsid w:val="00EF5A96"/>
    <w:rsid w:val="00EF772F"/>
    <w:rsid w:val="00F04758"/>
    <w:rsid w:val="00F05015"/>
    <w:rsid w:val="00F06A6A"/>
    <w:rsid w:val="00F06B39"/>
    <w:rsid w:val="00F06F28"/>
    <w:rsid w:val="00F07166"/>
    <w:rsid w:val="00F078CD"/>
    <w:rsid w:val="00F10829"/>
    <w:rsid w:val="00F109BA"/>
    <w:rsid w:val="00F11462"/>
    <w:rsid w:val="00F119B5"/>
    <w:rsid w:val="00F12B69"/>
    <w:rsid w:val="00F16BDC"/>
    <w:rsid w:val="00F17B9D"/>
    <w:rsid w:val="00F201E7"/>
    <w:rsid w:val="00F20644"/>
    <w:rsid w:val="00F20E5B"/>
    <w:rsid w:val="00F21FD0"/>
    <w:rsid w:val="00F2296F"/>
    <w:rsid w:val="00F23039"/>
    <w:rsid w:val="00F24882"/>
    <w:rsid w:val="00F24E95"/>
    <w:rsid w:val="00F27A8A"/>
    <w:rsid w:val="00F33CBB"/>
    <w:rsid w:val="00F35575"/>
    <w:rsid w:val="00F3570E"/>
    <w:rsid w:val="00F35DBC"/>
    <w:rsid w:val="00F3620D"/>
    <w:rsid w:val="00F37379"/>
    <w:rsid w:val="00F37422"/>
    <w:rsid w:val="00F406EF"/>
    <w:rsid w:val="00F409B1"/>
    <w:rsid w:val="00F40FCE"/>
    <w:rsid w:val="00F40FEE"/>
    <w:rsid w:val="00F41B9B"/>
    <w:rsid w:val="00F430E6"/>
    <w:rsid w:val="00F44BD0"/>
    <w:rsid w:val="00F44CD1"/>
    <w:rsid w:val="00F4574D"/>
    <w:rsid w:val="00F45C72"/>
    <w:rsid w:val="00F469DA"/>
    <w:rsid w:val="00F477FE"/>
    <w:rsid w:val="00F50003"/>
    <w:rsid w:val="00F50CB9"/>
    <w:rsid w:val="00F52F0C"/>
    <w:rsid w:val="00F53CD4"/>
    <w:rsid w:val="00F5423D"/>
    <w:rsid w:val="00F556FF"/>
    <w:rsid w:val="00F56124"/>
    <w:rsid w:val="00F566D3"/>
    <w:rsid w:val="00F5750F"/>
    <w:rsid w:val="00F57895"/>
    <w:rsid w:val="00F6021D"/>
    <w:rsid w:val="00F60885"/>
    <w:rsid w:val="00F60DDE"/>
    <w:rsid w:val="00F61D79"/>
    <w:rsid w:val="00F625E1"/>
    <w:rsid w:val="00F6278E"/>
    <w:rsid w:val="00F628B0"/>
    <w:rsid w:val="00F62B6E"/>
    <w:rsid w:val="00F65398"/>
    <w:rsid w:val="00F654BE"/>
    <w:rsid w:val="00F656E6"/>
    <w:rsid w:val="00F65FAF"/>
    <w:rsid w:val="00F663A6"/>
    <w:rsid w:val="00F66680"/>
    <w:rsid w:val="00F66E42"/>
    <w:rsid w:val="00F671C6"/>
    <w:rsid w:val="00F70FE5"/>
    <w:rsid w:val="00F71ED3"/>
    <w:rsid w:val="00F727CB"/>
    <w:rsid w:val="00F733C9"/>
    <w:rsid w:val="00F752D4"/>
    <w:rsid w:val="00F766B2"/>
    <w:rsid w:val="00F76B9D"/>
    <w:rsid w:val="00F80F35"/>
    <w:rsid w:val="00F811D5"/>
    <w:rsid w:val="00F81337"/>
    <w:rsid w:val="00F81E59"/>
    <w:rsid w:val="00F82FA0"/>
    <w:rsid w:val="00F8335D"/>
    <w:rsid w:val="00F83AD4"/>
    <w:rsid w:val="00F83EC5"/>
    <w:rsid w:val="00F8477B"/>
    <w:rsid w:val="00F86A23"/>
    <w:rsid w:val="00F86EAC"/>
    <w:rsid w:val="00F86FF5"/>
    <w:rsid w:val="00F90C09"/>
    <w:rsid w:val="00F90E31"/>
    <w:rsid w:val="00F93158"/>
    <w:rsid w:val="00F9424E"/>
    <w:rsid w:val="00F95AB9"/>
    <w:rsid w:val="00F960F0"/>
    <w:rsid w:val="00F96227"/>
    <w:rsid w:val="00FA00D7"/>
    <w:rsid w:val="00FA110B"/>
    <w:rsid w:val="00FA12E0"/>
    <w:rsid w:val="00FA1489"/>
    <w:rsid w:val="00FA174F"/>
    <w:rsid w:val="00FA1EC3"/>
    <w:rsid w:val="00FA28B5"/>
    <w:rsid w:val="00FA2D27"/>
    <w:rsid w:val="00FA2E00"/>
    <w:rsid w:val="00FA2E08"/>
    <w:rsid w:val="00FA3097"/>
    <w:rsid w:val="00FA338A"/>
    <w:rsid w:val="00FA33E5"/>
    <w:rsid w:val="00FA37C6"/>
    <w:rsid w:val="00FA3D42"/>
    <w:rsid w:val="00FA52FF"/>
    <w:rsid w:val="00FA5F0F"/>
    <w:rsid w:val="00FB3249"/>
    <w:rsid w:val="00FB444E"/>
    <w:rsid w:val="00FB45CC"/>
    <w:rsid w:val="00FB52FD"/>
    <w:rsid w:val="00FB5856"/>
    <w:rsid w:val="00FB5EC3"/>
    <w:rsid w:val="00FB6069"/>
    <w:rsid w:val="00FB60D3"/>
    <w:rsid w:val="00FB6CFF"/>
    <w:rsid w:val="00FB7CD3"/>
    <w:rsid w:val="00FC12D6"/>
    <w:rsid w:val="00FC1B5B"/>
    <w:rsid w:val="00FC2160"/>
    <w:rsid w:val="00FC2218"/>
    <w:rsid w:val="00FC2BA0"/>
    <w:rsid w:val="00FC336F"/>
    <w:rsid w:val="00FC370A"/>
    <w:rsid w:val="00FC4BB0"/>
    <w:rsid w:val="00FC4E57"/>
    <w:rsid w:val="00FC7126"/>
    <w:rsid w:val="00FC7143"/>
    <w:rsid w:val="00FC7C7F"/>
    <w:rsid w:val="00FD2441"/>
    <w:rsid w:val="00FD3616"/>
    <w:rsid w:val="00FD3A4D"/>
    <w:rsid w:val="00FD44AB"/>
    <w:rsid w:val="00FD4A4B"/>
    <w:rsid w:val="00FD511B"/>
    <w:rsid w:val="00FD5C41"/>
    <w:rsid w:val="00FD5E2D"/>
    <w:rsid w:val="00FD7AD8"/>
    <w:rsid w:val="00FD7BFC"/>
    <w:rsid w:val="00FD7C67"/>
    <w:rsid w:val="00FD7CAB"/>
    <w:rsid w:val="00FE0E04"/>
    <w:rsid w:val="00FE0FCA"/>
    <w:rsid w:val="00FE12F6"/>
    <w:rsid w:val="00FE1AEA"/>
    <w:rsid w:val="00FE20AE"/>
    <w:rsid w:val="00FE3CBE"/>
    <w:rsid w:val="00FE416E"/>
    <w:rsid w:val="00FE4BDD"/>
    <w:rsid w:val="00FE5443"/>
    <w:rsid w:val="00FE639A"/>
    <w:rsid w:val="00FE6B1B"/>
    <w:rsid w:val="00FF1F1D"/>
    <w:rsid w:val="00FF2FF6"/>
    <w:rsid w:val="00FF31FB"/>
    <w:rsid w:val="00FF34FD"/>
    <w:rsid w:val="00FF392F"/>
    <w:rsid w:val="00FF44FD"/>
    <w:rsid w:val="00FF53E4"/>
    <w:rsid w:val="00FF662E"/>
    <w:rsid w:val="00FF70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C5"/>
    <w:pPr>
      <w:widowControl w:val="0"/>
      <w:autoSpaceDE w:val="0"/>
      <w:autoSpaceDN w:val="0"/>
      <w:adjustRightInd w:val="0"/>
    </w:pPr>
    <w:rPr>
      <w:rFonts w:ascii="Courier New" w:hAnsi="Courier New" w:cs="Courier New"/>
      <w:sz w:val="24"/>
      <w:szCs w:val="24"/>
    </w:rPr>
  </w:style>
  <w:style w:type="paragraph" w:styleId="Titre1">
    <w:name w:val="heading 1"/>
    <w:basedOn w:val="Normal"/>
    <w:next w:val="Normal"/>
    <w:link w:val="Titre1Car"/>
    <w:uiPriority w:val="9"/>
    <w:qFormat/>
    <w:rsid w:val="00F83EC5"/>
    <w:pPr>
      <w:keepNext/>
      <w:spacing w:before="240" w:after="60"/>
      <w:outlineLvl w:val="0"/>
    </w:pPr>
    <w:rPr>
      <w:rFonts w:ascii="Times New Roman" w:hAnsi="Times New Roman" w:cs="Times New Roman"/>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EC5"/>
    <w:rPr>
      <w:b/>
      <w:bCs/>
      <w:kern w:val="32"/>
      <w:sz w:val="28"/>
      <w:szCs w:val="32"/>
    </w:rPr>
  </w:style>
  <w:style w:type="paragraph" w:styleId="TM1">
    <w:name w:val="toc 1"/>
    <w:basedOn w:val="Normal"/>
    <w:next w:val="Normal"/>
    <w:autoRedefine/>
    <w:uiPriority w:val="39"/>
    <w:qFormat/>
    <w:rsid w:val="00F83EC5"/>
    <w:pPr>
      <w:spacing w:before="120"/>
    </w:pPr>
    <w:rPr>
      <w:rFonts w:ascii="Calibri" w:hAnsi="Calibri" w:cs="Times New Roman"/>
      <w:b/>
      <w:bCs/>
      <w:i/>
      <w:iCs/>
      <w:szCs w:val="28"/>
    </w:rPr>
  </w:style>
  <w:style w:type="paragraph" w:styleId="TM2">
    <w:name w:val="toc 2"/>
    <w:basedOn w:val="Normal"/>
    <w:next w:val="Normal"/>
    <w:autoRedefine/>
    <w:uiPriority w:val="39"/>
    <w:semiHidden/>
    <w:qFormat/>
    <w:rsid w:val="00F83EC5"/>
    <w:pPr>
      <w:spacing w:before="120"/>
      <w:ind w:left="240"/>
    </w:pPr>
    <w:rPr>
      <w:rFonts w:ascii="Calibri" w:hAnsi="Calibri" w:cs="Times New Roman"/>
      <w:b/>
      <w:bCs/>
      <w:sz w:val="22"/>
      <w:szCs w:val="26"/>
    </w:rPr>
  </w:style>
  <w:style w:type="paragraph" w:styleId="TM3">
    <w:name w:val="toc 3"/>
    <w:basedOn w:val="Normal"/>
    <w:next w:val="Normal"/>
    <w:autoRedefine/>
    <w:uiPriority w:val="39"/>
    <w:semiHidden/>
    <w:qFormat/>
    <w:rsid w:val="00F83EC5"/>
    <w:pPr>
      <w:ind w:left="480"/>
    </w:pPr>
    <w:rPr>
      <w:rFonts w:ascii="Calibri" w:hAnsi="Calibri" w:cs="Times New Roman"/>
      <w:sz w:val="20"/>
    </w:rPr>
  </w:style>
  <w:style w:type="paragraph" w:styleId="Lgende">
    <w:name w:val="caption"/>
    <w:aliases w:val="Titre1+Rouge"/>
    <w:basedOn w:val="Normal"/>
    <w:next w:val="Normal"/>
    <w:qFormat/>
    <w:rsid w:val="00F83EC5"/>
    <w:rPr>
      <w:rFonts w:cs="Times New Roman"/>
    </w:rPr>
  </w:style>
  <w:style w:type="paragraph" w:styleId="Sansinterligne">
    <w:name w:val="No Spacing"/>
    <w:link w:val="SansinterligneCar"/>
    <w:uiPriority w:val="1"/>
    <w:qFormat/>
    <w:rsid w:val="00F83EC5"/>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F83EC5"/>
    <w:rPr>
      <w:rFonts w:ascii="Calibri" w:hAnsi="Calibri" w:cs="Arial"/>
      <w:sz w:val="22"/>
      <w:szCs w:val="22"/>
      <w:lang w:val="fr-FR" w:eastAsia="en-US" w:bidi="ar-SA"/>
    </w:rPr>
  </w:style>
  <w:style w:type="paragraph" w:styleId="En-ttedetabledesmatires">
    <w:name w:val="TOC Heading"/>
    <w:basedOn w:val="Titre1"/>
    <w:next w:val="Normal"/>
    <w:uiPriority w:val="39"/>
    <w:semiHidden/>
    <w:unhideWhenUsed/>
    <w:qFormat/>
    <w:rsid w:val="00F83EC5"/>
    <w:pPr>
      <w:keepLines/>
      <w:widowControl/>
      <w:autoSpaceDE/>
      <w:autoSpaceDN/>
      <w:adjustRightInd/>
      <w:spacing w:before="480" w:after="0" w:line="276" w:lineRule="auto"/>
      <w:outlineLvl w:val="9"/>
    </w:pPr>
    <w:rPr>
      <w:rFonts w:ascii="Cambria" w:hAnsi="Cambria"/>
      <w:color w:val="365F91"/>
      <w:kern w:val="0"/>
      <w:szCs w:val="28"/>
      <w:lang w:eastAsia="en-US"/>
    </w:rPr>
  </w:style>
  <w:style w:type="paragraph" w:customStyle="1" w:styleId="titre2">
    <w:name w:val="titre2"/>
    <w:basedOn w:val="Normal"/>
    <w:qFormat/>
    <w:rsid w:val="00F83EC5"/>
    <w:pPr>
      <w:tabs>
        <w:tab w:val="left" w:pos="-720"/>
      </w:tabs>
      <w:spacing w:line="300" w:lineRule="atLeast"/>
      <w:jc w:val="both"/>
    </w:pPr>
    <w:rPr>
      <w:rFonts w:ascii="Univers" w:hAnsi="Univers" w:cs="Univers"/>
      <w:b/>
      <w:bCs/>
      <w:spacing w:val="-3"/>
    </w:rPr>
  </w:style>
  <w:style w:type="paragraph" w:customStyle="1" w:styleId="titre3">
    <w:name w:val="titre3"/>
    <w:basedOn w:val="Normal"/>
    <w:qFormat/>
    <w:rsid w:val="00F83EC5"/>
    <w:pPr>
      <w:tabs>
        <w:tab w:val="left" w:pos="-720"/>
      </w:tabs>
      <w:spacing w:line="300" w:lineRule="atLeast"/>
      <w:jc w:val="both"/>
    </w:pPr>
    <w:rPr>
      <w:rFonts w:ascii="Univers" w:hAnsi="Univers" w:cs="Univers"/>
      <w:b/>
      <w:bCs/>
      <w:spacing w:val="-3"/>
    </w:rPr>
  </w:style>
  <w:style w:type="paragraph" w:styleId="Textedebulles">
    <w:name w:val="Balloon Text"/>
    <w:basedOn w:val="Normal"/>
    <w:link w:val="TextedebullesCar"/>
    <w:uiPriority w:val="99"/>
    <w:semiHidden/>
    <w:unhideWhenUsed/>
    <w:rsid w:val="00D9452B"/>
    <w:rPr>
      <w:rFonts w:ascii="Tahoma" w:hAnsi="Tahoma" w:cs="Tahoma"/>
      <w:sz w:val="16"/>
      <w:szCs w:val="16"/>
    </w:rPr>
  </w:style>
  <w:style w:type="character" w:customStyle="1" w:styleId="TextedebullesCar">
    <w:name w:val="Texte de bulles Car"/>
    <w:basedOn w:val="Policepardfaut"/>
    <w:link w:val="Textedebulles"/>
    <w:uiPriority w:val="99"/>
    <w:semiHidden/>
    <w:rsid w:val="00D9452B"/>
    <w:rPr>
      <w:rFonts w:ascii="Tahoma" w:hAnsi="Tahoma" w:cs="Tahoma"/>
      <w:sz w:val="16"/>
      <w:szCs w:val="16"/>
    </w:rPr>
  </w:style>
  <w:style w:type="paragraph" w:styleId="Paragraphedeliste">
    <w:name w:val="List Paragraph"/>
    <w:basedOn w:val="Normal"/>
    <w:uiPriority w:val="34"/>
    <w:qFormat/>
    <w:rsid w:val="005D6C02"/>
    <w:pPr>
      <w:widowControl/>
      <w:autoSpaceDE/>
      <w:autoSpaceDN/>
      <w:adjustRightInd/>
      <w:spacing w:after="200" w:line="276" w:lineRule="auto"/>
      <w:ind w:left="720"/>
      <w:contextualSpacing/>
    </w:pPr>
    <w:rPr>
      <w:rFonts w:ascii="Calibri" w:eastAsia="Calibri" w:hAnsi="Calibri" w:cs="Arial"/>
      <w:sz w:val="22"/>
      <w:szCs w:val="22"/>
      <w:lang w:eastAsia="en-US"/>
    </w:rPr>
  </w:style>
  <w:style w:type="character" w:styleId="Lienhypertexte">
    <w:name w:val="Hyperlink"/>
    <w:basedOn w:val="Policepardfaut"/>
    <w:uiPriority w:val="99"/>
    <w:unhideWhenUsed/>
    <w:rsid w:val="005D6C02"/>
    <w:rPr>
      <w:color w:val="0000FF"/>
      <w:u w:val="single"/>
    </w:rPr>
  </w:style>
  <w:style w:type="table" w:styleId="Grilledutableau">
    <w:name w:val="Table Grid"/>
    <w:basedOn w:val="TableauNormal"/>
    <w:uiPriority w:val="59"/>
    <w:rsid w:val="005D6C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Emphasis"/>
    <w:basedOn w:val="Policepardfaut"/>
    <w:uiPriority w:val="20"/>
    <w:qFormat/>
    <w:rsid w:val="00E9062C"/>
    <w:rPr>
      <w:i/>
      <w:iCs/>
    </w:rPr>
  </w:style>
  <w:style w:type="paragraph" w:styleId="En-tte">
    <w:name w:val="header"/>
    <w:basedOn w:val="Normal"/>
    <w:link w:val="En-tteCar"/>
    <w:uiPriority w:val="99"/>
    <w:semiHidden/>
    <w:unhideWhenUsed/>
    <w:rsid w:val="00460705"/>
    <w:pPr>
      <w:tabs>
        <w:tab w:val="center" w:pos="4536"/>
        <w:tab w:val="right" w:pos="9072"/>
      </w:tabs>
    </w:pPr>
  </w:style>
  <w:style w:type="character" w:customStyle="1" w:styleId="En-tteCar">
    <w:name w:val="En-tête Car"/>
    <w:basedOn w:val="Policepardfaut"/>
    <w:link w:val="En-tte"/>
    <w:uiPriority w:val="99"/>
    <w:semiHidden/>
    <w:rsid w:val="00460705"/>
    <w:rPr>
      <w:rFonts w:ascii="Courier New" w:hAnsi="Courier New" w:cs="Courier New"/>
      <w:sz w:val="24"/>
      <w:szCs w:val="24"/>
    </w:rPr>
  </w:style>
  <w:style w:type="paragraph" w:styleId="Pieddepage">
    <w:name w:val="footer"/>
    <w:basedOn w:val="Normal"/>
    <w:link w:val="PieddepageCar"/>
    <w:uiPriority w:val="99"/>
    <w:unhideWhenUsed/>
    <w:rsid w:val="00460705"/>
    <w:pPr>
      <w:tabs>
        <w:tab w:val="center" w:pos="4536"/>
        <w:tab w:val="right" w:pos="9072"/>
      </w:tabs>
    </w:pPr>
  </w:style>
  <w:style w:type="character" w:customStyle="1" w:styleId="PieddepageCar">
    <w:name w:val="Pied de page Car"/>
    <w:basedOn w:val="Policepardfaut"/>
    <w:link w:val="Pieddepage"/>
    <w:uiPriority w:val="99"/>
    <w:rsid w:val="00460705"/>
    <w:rPr>
      <w:rFonts w:ascii="Courier New" w:hAnsi="Courier New" w:cs="Courier New"/>
      <w:sz w:val="24"/>
      <w:szCs w:val="24"/>
    </w:rPr>
  </w:style>
  <w:style w:type="character" w:styleId="Marquedecommentaire">
    <w:name w:val="annotation reference"/>
    <w:basedOn w:val="Policepardfaut"/>
    <w:uiPriority w:val="99"/>
    <w:semiHidden/>
    <w:unhideWhenUsed/>
    <w:rsid w:val="00E265E4"/>
    <w:rPr>
      <w:sz w:val="16"/>
      <w:szCs w:val="16"/>
    </w:rPr>
  </w:style>
  <w:style w:type="paragraph" w:styleId="Commentaire">
    <w:name w:val="annotation text"/>
    <w:basedOn w:val="Normal"/>
    <w:link w:val="CommentaireCar"/>
    <w:uiPriority w:val="99"/>
    <w:semiHidden/>
    <w:unhideWhenUsed/>
    <w:rsid w:val="00E265E4"/>
    <w:rPr>
      <w:sz w:val="20"/>
      <w:szCs w:val="20"/>
    </w:rPr>
  </w:style>
  <w:style w:type="character" w:customStyle="1" w:styleId="CommentaireCar">
    <w:name w:val="Commentaire Car"/>
    <w:basedOn w:val="Policepardfaut"/>
    <w:link w:val="Commentaire"/>
    <w:uiPriority w:val="99"/>
    <w:semiHidden/>
    <w:rsid w:val="00E265E4"/>
    <w:rPr>
      <w:rFonts w:ascii="Courier New" w:hAnsi="Courier New" w:cs="Courier New"/>
    </w:rPr>
  </w:style>
  <w:style w:type="paragraph" w:styleId="Objetducommentaire">
    <w:name w:val="annotation subject"/>
    <w:basedOn w:val="Commentaire"/>
    <w:next w:val="Commentaire"/>
    <w:link w:val="ObjetducommentaireCar"/>
    <w:uiPriority w:val="99"/>
    <w:semiHidden/>
    <w:unhideWhenUsed/>
    <w:rsid w:val="00E265E4"/>
    <w:rPr>
      <w:b/>
      <w:bCs/>
    </w:rPr>
  </w:style>
  <w:style w:type="character" w:customStyle="1" w:styleId="ObjetducommentaireCar">
    <w:name w:val="Objet du commentaire Car"/>
    <w:basedOn w:val="CommentaireCar"/>
    <w:link w:val="Objetducommentaire"/>
    <w:uiPriority w:val="99"/>
    <w:semiHidden/>
    <w:rsid w:val="00E265E4"/>
    <w:rPr>
      <w:b/>
      <w:bCs/>
    </w:rPr>
  </w:style>
</w:styles>
</file>

<file path=word/webSettings.xml><?xml version="1.0" encoding="utf-8"?>
<w:webSettings xmlns:r="http://schemas.openxmlformats.org/officeDocument/2006/relationships" xmlns:w="http://schemas.openxmlformats.org/wordprocessingml/2006/main">
  <w:divs>
    <w:div w:id="37435841">
      <w:bodyDiv w:val="1"/>
      <w:marLeft w:val="0"/>
      <w:marRight w:val="0"/>
      <w:marTop w:val="0"/>
      <w:marBottom w:val="0"/>
      <w:divBdr>
        <w:top w:val="none" w:sz="0" w:space="0" w:color="auto"/>
        <w:left w:val="none" w:sz="0" w:space="0" w:color="auto"/>
        <w:bottom w:val="none" w:sz="0" w:space="0" w:color="auto"/>
        <w:right w:val="none" w:sz="0" w:space="0" w:color="auto"/>
      </w:divBdr>
    </w:div>
    <w:div w:id="90929103">
      <w:bodyDiv w:val="1"/>
      <w:marLeft w:val="0"/>
      <w:marRight w:val="0"/>
      <w:marTop w:val="0"/>
      <w:marBottom w:val="0"/>
      <w:divBdr>
        <w:top w:val="none" w:sz="0" w:space="0" w:color="auto"/>
        <w:left w:val="none" w:sz="0" w:space="0" w:color="auto"/>
        <w:bottom w:val="none" w:sz="0" w:space="0" w:color="auto"/>
        <w:right w:val="none" w:sz="0" w:space="0" w:color="auto"/>
      </w:divBdr>
    </w:div>
    <w:div w:id="124013246">
      <w:bodyDiv w:val="1"/>
      <w:marLeft w:val="0"/>
      <w:marRight w:val="0"/>
      <w:marTop w:val="0"/>
      <w:marBottom w:val="0"/>
      <w:divBdr>
        <w:top w:val="none" w:sz="0" w:space="0" w:color="auto"/>
        <w:left w:val="none" w:sz="0" w:space="0" w:color="auto"/>
        <w:bottom w:val="none" w:sz="0" w:space="0" w:color="auto"/>
        <w:right w:val="none" w:sz="0" w:space="0" w:color="auto"/>
      </w:divBdr>
    </w:div>
    <w:div w:id="149489659">
      <w:bodyDiv w:val="1"/>
      <w:marLeft w:val="0"/>
      <w:marRight w:val="0"/>
      <w:marTop w:val="0"/>
      <w:marBottom w:val="0"/>
      <w:divBdr>
        <w:top w:val="none" w:sz="0" w:space="0" w:color="auto"/>
        <w:left w:val="none" w:sz="0" w:space="0" w:color="auto"/>
        <w:bottom w:val="none" w:sz="0" w:space="0" w:color="auto"/>
        <w:right w:val="none" w:sz="0" w:space="0" w:color="auto"/>
      </w:divBdr>
    </w:div>
    <w:div w:id="161429817">
      <w:bodyDiv w:val="1"/>
      <w:marLeft w:val="0"/>
      <w:marRight w:val="0"/>
      <w:marTop w:val="0"/>
      <w:marBottom w:val="0"/>
      <w:divBdr>
        <w:top w:val="none" w:sz="0" w:space="0" w:color="auto"/>
        <w:left w:val="none" w:sz="0" w:space="0" w:color="auto"/>
        <w:bottom w:val="none" w:sz="0" w:space="0" w:color="auto"/>
        <w:right w:val="none" w:sz="0" w:space="0" w:color="auto"/>
      </w:divBdr>
    </w:div>
    <w:div w:id="255401508">
      <w:bodyDiv w:val="1"/>
      <w:marLeft w:val="0"/>
      <w:marRight w:val="0"/>
      <w:marTop w:val="0"/>
      <w:marBottom w:val="0"/>
      <w:divBdr>
        <w:top w:val="none" w:sz="0" w:space="0" w:color="auto"/>
        <w:left w:val="none" w:sz="0" w:space="0" w:color="auto"/>
        <w:bottom w:val="none" w:sz="0" w:space="0" w:color="auto"/>
        <w:right w:val="none" w:sz="0" w:space="0" w:color="auto"/>
      </w:divBdr>
    </w:div>
    <w:div w:id="558787349">
      <w:bodyDiv w:val="1"/>
      <w:marLeft w:val="0"/>
      <w:marRight w:val="0"/>
      <w:marTop w:val="0"/>
      <w:marBottom w:val="0"/>
      <w:divBdr>
        <w:top w:val="none" w:sz="0" w:space="0" w:color="auto"/>
        <w:left w:val="none" w:sz="0" w:space="0" w:color="auto"/>
        <w:bottom w:val="none" w:sz="0" w:space="0" w:color="auto"/>
        <w:right w:val="none" w:sz="0" w:space="0" w:color="auto"/>
      </w:divBdr>
    </w:div>
    <w:div w:id="662466015">
      <w:bodyDiv w:val="1"/>
      <w:marLeft w:val="0"/>
      <w:marRight w:val="0"/>
      <w:marTop w:val="0"/>
      <w:marBottom w:val="0"/>
      <w:divBdr>
        <w:top w:val="none" w:sz="0" w:space="0" w:color="auto"/>
        <w:left w:val="none" w:sz="0" w:space="0" w:color="auto"/>
        <w:bottom w:val="none" w:sz="0" w:space="0" w:color="auto"/>
        <w:right w:val="none" w:sz="0" w:space="0" w:color="auto"/>
      </w:divBdr>
    </w:div>
    <w:div w:id="682513617">
      <w:bodyDiv w:val="1"/>
      <w:marLeft w:val="0"/>
      <w:marRight w:val="0"/>
      <w:marTop w:val="0"/>
      <w:marBottom w:val="0"/>
      <w:divBdr>
        <w:top w:val="none" w:sz="0" w:space="0" w:color="auto"/>
        <w:left w:val="none" w:sz="0" w:space="0" w:color="auto"/>
        <w:bottom w:val="none" w:sz="0" w:space="0" w:color="auto"/>
        <w:right w:val="none" w:sz="0" w:space="0" w:color="auto"/>
      </w:divBdr>
    </w:div>
    <w:div w:id="693576679">
      <w:bodyDiv w:val="1"/>
      <w:marLeft w:val="0"/>
      <w:marRight w:val="0"/>
      <w:marTop w:val="0"/>
      <w:marBottom w:val="0"/>
      <w:divBdr>
        <w:top w:val="none" w:sz="0" w:space="0" w:color="auto"/>
        <w:left w:val="none" w:sz="0" w:space="0" w:color="auto"/>
        <w:bottom w:val="none" w:sz="0" w:space="0" w:color="auto"/>
        <w:right w:val="none" w:sz="0" w:space="0" w:color="auto"/>
      </w:divBdr>
    </w:div>
    <w:div w:id="730276122">
      <w:bodyDiv w:val="1"/>
      <w:marLeft w:val="0"/>
      <w:marRight w:val="0"/>
      <w:marTop w:val="0"/>
      <w:marBottom w:val="0"/>
      <w:divBdr>
        <w:top w:val="none" w:sz="0" w:space="0" w:color="auto"/>
        <w:left w:val="none" w:sz="0" w:space="0" w:color="auto"/>
        <w:bottom w:val="none" w:sz="0" w:space="0" w:color="auto"/>
        <w:right w:val="none" w:sz="0" w:space="0" w:color="auto"/>
      </w:divBdr>
    </w:div>
    <w:div w:id="885608236">
      <w:bodyDiv w:val="1"/>
      <w:marLeft w:val="0"/>
      <w:marRight w:val="0"/>
      <w:marTop w:val="0"/>
      <w:marBottom w:val="0"/>
      <w:divBdr>
        <w:top w:val="none" w:sz="0" w:space="0" w:color="auto"/>
        <w:left w:val="none" w:sz="0" w:space="0" w:color="auto"/>
        <w:bottom w:val="none" w:sz="0" w:space="0" w:color="auto"/>
        <w:right w:val="none" w:sz="0" w:space="0" w:color="auto"/>
      </w:divBdr>
    </w:div>
    <w:div w:id="920676434">
      <w:bodyDiv w:val="1"/>
      <w:marLeft w:val="0"/>
      <w:marRight w:val="0"/>
      <w:marTop w:val="0"/>
      <w:marBottom w:val="0"/>
      <w:divBdr>
        <w:top w:val="none" w:sz="0" w:space="0" w:color="auto"/>
        <w:left w:val="none" w:sz="0" w:space="0" w:color="auto"/>
        <w:bottom w:val="none" w:sz="0" w:space="0" w:color="auto"/>
        <w:right w:val="none" w:sz="0" w:space="0" w:color="auto"/>
      </w:divBdr>
    </w:div>
    <w:div w:id="1050499490">
      <w:bodyDiv w:val="1"/>
      <w:marLeft w:val="0"/>
      <w:marRight w:val="0"/>
      <w:marTop w:val="0"/>
      <w:marBottom w:val="0"/>
      <w:divBdr>
        <w:top w:val="none" w:sz="0" w:space="0" w:color="auto"/>
        <w:left w:val="none" w:sz="0" w:space="0" w:color="auto"/>
        <w:bottom w:val="none" w:sz="0" w:space="0" w:color="auto"/>
        <w:right w:val="none" w:sz="0" w:space="0" w:color="auto"/>
      </w:divBdr>
    </w:div>
    <w:div w:id="1062751446">
      <w:bodyDiv w:val="1"/>
      <w:marLeft w:val="0"/>
      <w:marRight w:val="0"/>
      <w:marTop w:val="0"/>
      <w:marBottom w:val="0"/>
      <w:divBdr>
        <w:top w:val="none" w:sz="0" w:space="0" w:color="auto"/>
        <w:left w:val="none" w:sz="0" w:space="0" w:color="auto"/>
        <w:bottom w:val="none" w:sz="0" w:space="0" w:color="auto"/>
        <w:right w:val="none" w:sz="0" w:space="0" w:color="auto"/>
      </w:divBdr>
    </w:div>
    <w:div w:id="1072117921">
      <w:bodyDiv w:val="1"/>
      <w:marLeft w:val="0"/>
      <w:marRight w:val="0"/>
      <w:marTop w:val="0"/>
      <w:marBottom w:val="0"/>
      <w:divBdr>
        <w:top w:val="none" w:sz="0" w:space="0" w:color="auto"/>
        <w:left w:val="none" w:sz="0" w:space="0" w:color="auto"/>
        <w:bottom w:val="none" w:sz="0" w:space="0" w:color="auto"/>
        <w:right w:val="none" w:sz="0" w:space="0" w:color="auto"/>
      </w:divBdr>
    </w:div>
    <w:div w:id="1091967136">
      <w:bodyDiv w:val="1"/>
      <w:marLeft w:val="0"/>
      <w:marRight w:val="0"/>
      <w:marTop w:val="0"/>
      <w:marBottom w:val="0"/>
      <w:divBdr>
        <w:top w:val="none" w:sz="0" w:space="0" w:color="auto"/>
        <w:left w:val="none" w:sz="0" w:space="0" w:color="auto"/>
        <w:bottom w:val="none" w:sz="0" w:space="0" w:color="auto"/>
        <w:right w:val="none" w:sz="0" w:space="0" w:color="auto"/>
      </w:divBdr>
    </w:div>
    <w:div w:id="1101267888">
      <w:bodyDiv w:val="1"/>
      <w:marLeft w:val="0"/>
      <w:marRight w:val="0"/>
      <w:marTop w:val="0"/>
      <w:marBottom w:val="0"/>
      <w:divBdr>
        <w:top w:val="none" w:sz="0" w:space="0" w:color="auto"/>
        <w:left w:val="none" w:sz="0" w:space="0" w:color="auto"/>
        <w:bottom w:val="none" w:sz="0" w:space="0" w:color="auto"/>
        <w:right w:val="none" w:sz="0" w:space="0" w:color="auto"/>
      </w:divBdr>
    </w:div>
    <w:div w:id="1131904246">
      <w:bodyDiv w:val="1"/>
      <w:marLeft w:val="0"/>
      <w:marRight w:val="0"/>
      <w:marTop w:val="0"/>
      <w:marBottom w:val="0"/>
      <w:divBdr>
        <w:top w:val="none" w:sz="0" w:space="0" w:color="auto"/>
        <w:left w:val="none" w:sz="0" w:space="0" w:color="auto"/>
        <w:bottom w:val="none" w:sz="0" w:space="0" w:color="auto"/>
        <w:right w:val="none" w:sz="0" w:space="0" w:color="auto"/>
      </w:divBdr>
    </w:div>
    <w:div w:id="1132866564">
      <w:bodyDiv w:val="1"/>
      <w:marLeft w:val="0"/>
      <w:marRight w:val="0"/>
      <w:marTop w:val="0"/>
      <w:marBottom w:val="0"/>
      <w:divBdr>
        <w:top w:val="none" w:sz="0" w:space="0" w:color="auto"/>
        <w:left w:val="none" w:sz="0" w:space="0" w:color="auto"/>
        <w:bottom w:val="none" w:sz="0" w:space="0" w:color="auto"/>
        <w:right w:val="none" w:sz="0" w:space="0" w:color="auto"/>
      </w:divBdr>
    </w:div>
    <w:div w:id="1146895147">
      <w:bodyDiv w:val="1"/>
      <w:marLeft w:val="0"/>
      <w:marRight w:val="0"/>
      <w:marTop w:val="0"/>
      <w:marBottom w:val="0"/>
      <w:divBdr>
        <w:top w:val="none" w:sz="0" w:space="0" w:color="auto"/>
        <w:left w:val="none" w:sz="0" w:space="0" w:color="auto"/>
        <w:bottom w:val="none" w:sz="0" w:space="0" w:color="auto"/>
        <w:right w:val="none" w:sz="0" w:space="0" w:color="auto"/>
      </w:divBdr>
    </w:div>
    <w:div w:id="1155879858">
      <w:bodyDiv w:val="1"/>
      <w:marLeft w:val="0"/>
      <w:marRight w:val="0"/>
      <w:marTop w:val="0"/>
      <w:marBottom w:val="0"/>
      <w:divBdr>
        <w:top w:val="none" w:sz="0" w:space="0" w:color="auto"/>
        <w:left w:val="none" w:sz="0" w:space="0" w:color="auto"/>
        <w:bottom w:val="none" w:sz="0" w:space="0" w:color="auto"/>
        <w:right w:val="none" w:sz="0" w:space="0" w:color="auto"/>
      </w:divBdr>
    </w:div>
    <w:div w:id="1157184555">
      <w:bodyDiv w:val="1"/>
      <w:marLeft w:val="0"/>
      <w:marRight w:val="0"/>
      <w:marTop w:val="0"/>
      <w:marBottom w:val="0"/>
      <w:divBdr>
        <w:top w:val="none" w:sz="0" w:space="0" w:color="auto"/>
        <w:left w:val="none" w:sz="0" w:space="0" w:color="auto"/>
        <w:bottom w:val="none" w:sz="0" w:space="0" w:color="auto"/>
        <w:right w:val="none" w:sz="0" w:space="0" w:color="auto"/>
      </w:divBdr>
    </w:div>
    <w:div w:id="1158228969">
      <w:bodyDiv w:val="1"/>
      <w:marLeft w:val="0"/>
      <w:marRight w:val="0"/>
      <w:marTop w:val="0"/>
      <w:marBottom w:val="0"/>
      <w:divBdr>
        <w:top w:val="none" w:sz="0" w:space="0" w:color="auto"/>
        <w:left w:val="none" w:sz="0" w:space="0" w:color="auto"/>
        <w:bottom w:val="none" w:sz="0" w:space="0" w:color="auto"/>
        <w:right w:val="none" w:sz="0" w:space="0" w:color="auto"/>
      </w:divBdr>
    </w:div>
    <w:div w:id="1194684007">
      <w:bodyDiv w:val="1"/>
      <w:marLeft w:val="0"/>
      <w:marRight w:val="0"/>
      <w:marTop w:val="0"/>
      <w:marBottom w:val="0"/>
      <w:divBdr>
        <w:top w:val="none" w:sz="0" w:space="0" w:color="auto"/>
        <w:left w:val="none" w:sz="0" w:space="0" w:color="auto"/>
        <w:bottom w:val="none" w:sz="0" w:space="0" w:color="auto"/>
        <w:right w:val="none" w:sz="0" w:space="0" w:color="auto"/>
      </w:divBdr>
    </w:div>
    <w:div w:id="1199245394">
      <w:bodyDiv w:val="1"/>
      <w:marLeft w:val="0"/>
      <w:marRight w:val="0"/>
      <w:marTop w:val="0"/>
      <w:marBottom w:val="0"/>
      <w:divBdr>
        <w:top w:val="none" w:sz="0" w:space="0" w:color="auto"/>
        <w:left w:val="none" w:sz="0" w:space="0" w:color="auto"/>
        <w:bottom w:val="none" w:sz="0" w:space="0" w:color="auto"/>
        <w:right w:val="none" w:sz="0" w:space="0" w:color="auto"/>
      </w:divBdr>
    </w:div>
    <w:div w:id="1201623719">
      <w:bodyDiv w:val="1"/>
      <w:marLeft w:val="0"/>
      <w:marRight w:val="0"/>
      <w:marTop w:val="0"/>
      <w:marBottom w:val="0"/>
      <w:divBdr>
        <w:top w:val="none" w:sz="0" w:space="0" w:color="auto"/>
        <w:left w:val="none" w:sz="0" w:space="0" w:color="auto"/>
        <w:bottom w:val="none" w:sz="0" w:space="0" w:color="auto"/>
        <w:right w:val="none" w:sz="0" w:space="0" w:color="auto"/>
      </w:divBdr>
    </w:div>
    <w:div w:id="1264386756">
      <w:bodyDiv w:val="1"/>
      <w:marLeft w:val="0"/>
      <w:marRight w:val="0"/>
      <w:marTop w:val="0"/>
      <w:marBottom w:val="0"/>
      <w:divBdr>
        <w:top w:val="none" w:sz="0" w:space="0" w:color="auto"/>
        <w:left w:val="none" w:sz="0" w:space="0" w:color="auto"/>
        <w:bottom w:val="none" w:sz="0" w:space="0" w:color="auto"/>
        <w:right w:val="none" w:sz="0" w:space="0" w:color="auto"/>
      </w:divBdr>
    </w:div>
    <w:div w:id="1291131926">
      <w:bodyDiv w:val="1"/>
      <w:marLeft w:val="0"/>
      <w:marRight w:val="0"/>
      <w:marTop w:val="0"/>
      <w:marBottom w:val="0"/>
      <w:divBdr>
        <w:top w:val="none" w:sz="0" w:space="0" w:color="auto"/>
        <w:left w:val="none" w:sz="0" w:space="0" w:color="auto"/>
        <w:bottom w:val="none" w:sz="0" w:space="0" w:color="auto"/>
        <w:right w:val="none" w:sz="0" w:space="0" w:color="auto"/>
      </w:divBdr>
    </w:div>
    <w:div w:id="1307902412">
      <w:bodyDiv w:val="1"/>
      <w:marLeft w:val="0"/>
      <w:marRight w:val="0"/>
      <w:marTop w:val="0"/>
      <w:marBottom w:val="0"/>
      <w:divBdr>
        <w:top w:val="none" w:sz="0" w:space="0" w:color="auto"/>
        <w:left w:val="none" w:sz="0" w:space="0" w:color="auto"/>
        <w:bottom w:val="none" w:sz="0" w:space="0" w:color="auto"/>
        <w:right w:val="none" w:sz="0" w:space="0" w:color="auto"/>
      </w:divBdr>
    </w:div>
    <w:div w:id="1316489201">
      <w:bodyDiv w:val="1"/>
      <w:marLeft w:val="0"/>
      <w:marRight w:val="0"/>
      <w:marTop w:val="0"/>
      <w:marBottom w:val="0"/>
      <w:divBdr>
        <w:top w:val="none" w:sz="0" w:space="0" w:color="auto"/>
        <w:left w:val="none" w:sz="0" w:space="0" w:color="auto"/>
        <w:bottom w:val="none" w:sz="0" w:space="0" w:color="auto"/>
        <w:right w:val="none" w:sz="0" w:space="0" w:color="auto"/>
      </w:divBdr>
    </w:div>
    <w:div w:id="1396666430">
      <w:bodyDiv w:val="1"/>
      <w:marLeft w:val="0"/>
      <w:marRight w:val="0"/>
      <w:marTop w:val="0"/>
      <w:marBottom w:val="0"/>
      <w:divBdr>
        <w:top w:val="none" w:sz="0" w:space="0" w:color="auto"/>
        <w:left w:val="none" w:sz="0" w:space="0" w:color="auto"/>
        <w:bottom w:val="none" w:sz="0" w:space="0" w:color="auto"/>
        <w:right w:val="none" w:sz="0" w:space="0" w:color="auto"/>
      </w:divBdr>
    </w:div>
    <w:div w:id="1397626565">
      <w:bodyDiv w:val="1"/>
      <w:marLeft w:val="0"/>
      <w:marRight w:val="0"/>
      <w:marTop w:val="0"/>
      <w:marBottom w:val="0"/>
      <w:divBdr>
        <w:top w:val="none" w:sz="0" w:space="0" w:color="auto"/>
        <w:left w:val="none" w:sz="0" w:space="0" w:color="auto"/>
        <w:bottom w:val="none" w:sz="0" w:space="0" w:color="auto"/>
        <w:right w:val="none" w:sz="0" w:space="0" w:color="auto"/>
      </w:divBdr>
    </w:div>
    <w:div w:id="1455637099">
      <w:bodyDiv w:val="1"/>
      <w:marLeft w:val="0"/>
      <w:marRight w:val="0"/>
      <w:marTop w:val="0"/>
      <w:marBottom w:val="0"/>
      <w:divBdr>
        <w:top w:val="none" w:sz="0" w:space="0" w:color="auto"/>
        <w:left w:val="none" w:sz="0" w:space="0" w:color="auto"/>
        <w:bottom w:val="none" w:sz="0" w:space="0" w:color="auto"/>
        <w:right w:val="none" w:sz="0" w:space="0" w:color="auto"/>
      </w:divBdr>
    </w:div>
    <w:div w:id="1474910954">
      <w:bodyDiv w:val="1"/>
      <w:marLeft w:val="0"/>
      <w:marRight w:val="0"/>
      <w:marTop w:val="0"/>
      <w:marBottom w:val="0"/>
      <w:divBdr>
        <w:top w:val="none" w:sz="0" w:space="0" w:color="auto"/>
        <w:left w:val="none" w:sz="0" w:space="0" w:color="auto"/>
        <w:bottom w:val="none" w:sz="0" w:space="0" w:color="auto"/>
        <w:right w:val="none" w:sz="0" w:space="0" w:color="auto"/>
      </w:divBdr>
    </w:div>
    <w:div w:id="1516383395">
      <w:bodyDiv w:val="1"/>
      <w:marLeft w:val="0"/>
      <w:marRight w:val="0"/>
      <w:marTop w:val="0"/>
      <w:marBottom w:val="0"/>
      <w:divBdr>
        <w:top w:val="none" w:sz="0" w:space="0" w:color="auto"/>
        <w:left w:val="none" w:sz="0" w:space="0" w:color="auto"/>
        <w:bottom w:val="none" w:sz="0" w:space="0" w:color="auto"/>
        <w:right w:val="none" w:sz="0" w:space="0" w:color="auto"/>
      </w:divBdr>
    </w:div>
    <w:div w:id="1538008569">
      <w:bodyDiv w:val="1"/>
      <w:marLeft w:val="0"/>
      <w:marRight w:val="0"/>
      <w:marTop w:val="0"/>
      <w:marBottom w:val="0"/>
      <w:divBdr>
        <w:top w:val="none" w:sz="0" w:space="0" w:color="auto"/>
        <w:left w:val="none" w:sz="0" w:space="0" w:color="auto"/>
        <w:bottom w:val="none" w:sz="0" w:space="0" w:color="auto"/>
        <w:right w:val="none" w:sz="0" w:space="0" w:color="auto"/>
      </w:divBdr>
    </w:div>
    <w:div w:id="1555578816">
      <w:bodyDiv w:val="1"/>
      <w:marLeft w:val="0"/>
      <w:marRight w:val="0"/>
      <w:marTop w:val="0"/>
      <w:marBottom w:val="0"/>
      <w:divBdr>
        <w:top w:val="none" w:sz="0" w:space="0" w:color="auto"/>
        <w:left w:val="none" w:sz="0" w:space="0" w:color="auto"/>
        <w:bottom w:val="none" w:sz="0" w:space="0" w:color="auto"/>
        <w:right w:val="none" w:sz="0" w:space="0" w:color="auto"/>
      </w:divBdr>
    </w:div>
    <w:div w:id="1617984574">
      <w:bodyDiv w:val="1"/>
      <w:marLeft w:val="0"/>
      <w:marRight w:val="0"/>
      <w:marTop w:val="0"/>
      <w:marBottom w:val="0"/>
      <w:divBdr>
        <w:top w:val="none" w:sz="0" w:space="0" w:color="auto"/>
        <w:left w:val="none" w:sz="0" w:space="0" w:color="auto"/>
        <w:bottom w:val="none" w:sz="0" w:space="0" w:color="auto"/>
        <w:right w:val="none" w:sz="0" w:space="0" w:color="auto"/>
      </w:divBdr>
    </w:div>
    <w:div w:id="1622688799">
      <w:bodyDiv w:val="1"/>
      <w:marLeft w:val="0"/>
      <w:marRight w:val="0"/>
      <w:marTop w:val="0"/>
      <w:marBottom w:val="0"/>
      <w:divBdr>
        <w:top w:val="none" w:sz="0" w:space="0" w:color="auto"/>
        <w:left w:val="none" w:sz="0" w:space="0" w:color="auto"/>
        <w:bottom w:val="none" w:sz="0" w:space="0" w:color="auto"/>
        <w:right w:val="none" w:sz="0" w:space="0" w:color="auto"/>
      </w:divBdr>
    </w:div>
    <w:div w:id="1637107347">
      <w:bodyDiv w:val="1"/>
      <w:marLeft w:val="0"/>
      <w:marRight w:val="0"/>
      <w:marTop w:val="0"/>
      <w:marBottom w:val="0"/>
      <w:divBdr>
        <w:top w:val="none" w:sz="0" w:space="0" w:color="auto"/>
        <w:left w:val="none" w:sz="0" w:space="0" w:color="auto"/>
        <w:bottom w:val="none" w:sz="0" w:space="0" w:color="auto"/>
        <w:right w:val="none" w:sz="0" w:space="0" w:color="auto"/>
      </w:divBdr>
    </w:div>
    <w:div w:id="1645430598">
      <w:bodyDiv w:val="1"/>
      <w:marLeft w:val="0"/>
      <w:marRight w:val="0"/>
      <w:marTop w:val="0"/>
      <w:marBottom w:val="0"/>
      <w:divBdr>
        <w:top w:val="none" w:sz="0" w:space="0" w:color="auto"/>
        <w:left w:val="none" w:sz="0" w:space="0" w:color="auto"/>
        <w:bottom w:val="none" w:sz="0" w:space="0" w:color="auto"/>
        <w:right w:val="none" w:sz="0" w:space="0" w:color="auto"/>
      </w:divBdr>
    </w:div>
    <w:div w:id="1713728167">
      <w:bodyDiv w:val="1"/>
      <w:marLeft w:val="0"/>
      <w:marRight w:val="0"/>
      <w:marTop w:val="0"/>
      <w:marBottom w:val="0"/>
      <w:divBdr>
        <w:top w:val="none" w:sz="0" w:space="0" w:color="auto"/>
        <w:left w:val="none" w:sz="0" w:space="0" w:color="auto"/>
        <w:bottom w:val="none" w:sz="0" w:space="0" w:color="auto"/>
        <w:right w:val="none" w:sz="0" w:space="0" w:color="auto"/>
      </w:divBdr>
    </w:div>
    <w:div w:id="1751851805">
      <w:bodyDiv w:val="1"/>
      <w:marLeft w:val="0"/>
      <w:marRight w:val="0"/>
      <w:marTop w:val="0"/>
      <w:marBottom w:val="0"/>
      <w:divBdr>
        <w:top w:val="none" w:sz="0" w:space="0" w:color="auto"/>
        <w:left w:val="none" w:sz="0" w:space="0" w:color="auto"/>
        <w:bottom w:val="none" w:sz="0" w:space="0" w:color="auto"/>
        <w:right w:val="none" w:sz="0" w:space="0" w:color="auto"/>
      </w:divBdr>
    </w:div>
    <w:div w:id="1756630943">
      <w:bodyDiv w:val="1"/>
      <w:marLeft w:val="0"/>
      <w:marRight w:val="0"/>
      <w:marTop w:val="0"/>
      <w:marBottom w:val="0"/>
      <w:divBdr>
        <w:top w:val="none" w:sz="0" w:space="0" w:color="auto"/>
        <w:left w:val="none" w:sz="0" w:space="0" w:color="auto"/>
        <w:bottom w:val="none" w:sz="0" w:space="0" w:color="auto"/>
        <w:right w:val="none" w:sz="0" w:space="0" w:color="auto"/>
      </w:divBdr>
    </w:div>
    <w:div w:id="1799182175">
      <w:bodyDiv w:val="1"/>
      <w:marLeft w:val="0"/>
      <w:marRight w:val="0"/>
      <w:marTop w:val="0"/>
      <w:marBottom w:val="0"/>
      <w:divBdr>
        <w:top w:val="none" w:sz="0" w:space="0" w:color="auto"/>
        <w:left w:val="none" w:sz="0" w:space="0" w:color="auto"/>
        <w:bottom w:val="none" w:sz="0" w:space="0" w:color="auto"/>
        <w:right w:val="none" w:sz="0" w:space="0" w:color="auto"/>
      </w:divBdr>
    </w:div>
    <w:div w:id="1864903960">
      <w:bodyDiv w:val="1"/>
      <w:marLeft w:val="0"/>
      <w:marRight w:val="0"/>
      <w:marTop w:val="0"/>
      <w:marBottom w:val="0"/>
      <w:divBdr>
        <w:top w:val="none" w:sz="0" w:space="0" w:color="auto"/>
        <w:left w:val="none" w:sz="0" w:space="0" w:color="auto"/>
        <w:bottom w:val="none" w:sz="0" w:space="0" w:color="auto"/>
        <w:right w:val="none" w:sz="0" w:space="0" w:color="auto"/>
      </w:divBdr>
    </w:div>
    <w:div w:id="1915316013">
      <w:bodyDiv w:val="1"/>
      <w:marLeft w:val="0"/>
      <w:marRight w:val="0"/>
      <w:marTop w:val="0"/>
      <w:marBottom w:val="0"/>
      <w:divBdr>
        <w:top w:val="none" w:sz="0" w:space="0" w:color="auto"/>
        <w:left w:val="none" w:sz="0" w:space="0" w:color="auto"/>
        <w:bottom w:val="none" w:sz="0" w:space="0" w:color="auto"/>
        <w:right w:val="none" w:sz="0" w:space="0" w:color="auto"/>
      </w:divBdr>
    </w:div>
    <w:div w:id="1943301245">
      <w:bodyDiv w:val="1"/>
      <w:marLeft w:val="0"/>
      <w:marRight w:val="0"/>
      <w:marTop w:val="0"/>
      <w:marBottom w:val="0"/>
      <w:divBdr>
        <w:top w:val="none" w:sz="0" w:space="0" w:color="auto"/>
        <w:left w:val="none" w:sz="0" w:space="0" w:color="auto"/>
        <w:bottom w:val="none" w:sz="0" w:space="0" w:color="auto"/>
        <w:right w:val="none" w:sz="0" w:space="0" w:color="auto"/>
      </w:divBdr>
    </w:div>
    <w:div w:id="2120100470">
      <w:bodyDiv w:val="1"/>
      <w:marLeft w:val="0"/>
      <w:marRight w:val="0"/>
      <w:marTop w:val="0"/>
      <w:marBottom w:val="0"/>
      <w:divBdr>
        <w:top w:val="none" w:sz="0" w:space="0" w:color="auto"/>
        <w:left w:val="none" w:sz="0" w:space="0" w:color="auto"/>
        <w:bottom w:val="none" w:sz="0" w:space="0" w:color="auto"/>
        <w:right w:val="none" w:sz="0" w:space="0" w:color="auto"/>
      </w:divBdr>
    </w:div>
    <w:div w:id="21405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elmarizgui\Desktop\resultatseECM(trim1-08-trim2-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elmarizgui\Desktop\resultatseECM(trim1-08-trim2-2016).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elmarizgui\Desktop\resultatseECM(trim1-08-trim2-201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elmarizgui\Desktop\resultatseECM(trim1-08-trim2-201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elmarizgui\Desktop\resultatseECM(trim1-08-trim2-201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elmarizgui\Desktop\resultatseECM(trim1-08-trim2-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600"/>
            </a:pPr>
            <a:r>
              <a:rPr lang="en-US" sz="1600"/>
              <a:t>Evolution de l'Indice de Confiance des Ménages</a:t>
            </a:r>
            <a:endParaRPr lang="fr-FR" sz="1600"/>
          </a:p>
        </c:rich>
      </c:tx>
    </c:title>
    <c:plotArea>
      <c:layout>
        <c:manualLayout>
          <c:layoutTarget val="inner"/>
          <c:xMode val="edge"/>
          <c:yMode val="edge"/>
          <c:x val="7.5453597218059928E-2"/>
          <c:y val="0.2045578952606617"/>
          <c:w val="0.90115707681978863"/>
          <c:h val="0.5318501448864833"/>
        </c:manualLayout>
      </c:layout>
      <c:barChart>
        <c:barDir val="col"/>
        <c:grouping val="clustered"/>
        <c:ser>
          <c:idx val="0"/>
          <c:order val="0"/>
          <c:tx>
            <c:strRef>
              <c:f>'graphe fr'!$A$17</c:f>
              <c:strCache>
                <c:ptCount val="1"/>
                <c:pt idx="0">
                  <c:v>ICM</c:v>
                </c:pt>
              </c:strCache>
            </c:strRef>
          </c:tx>
          <c:dLbls>
            <c:dLbl>
              <c:idx val="29"/>
              <c:showVal val="1"/>
            </c:dLbl>
            <c:dLbl>
              <c:idx val="32"/>
              <c:showVal val="1"/>
            </c:dLbl>
            <c:dLbl>
              <c:idx val="33"/>
              <c:layout>
                <c:manualLayout>
                  <c:x val="2.7526880974633656E-3"/>
                  <c:y val="-4.7197648888142901E-2"/>
                </c:manualLayout>
              </c:layout>
              <c:showVal val="1"/>
            </c:dLbl>
            <c:delete val="1"/>
          </c:dLbls>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fr'!$B$17:$AI$17</c:f>
              <c:numCache>
                <c:formatCode>#,##0.0</c:formatCode>
                <c:ptCount val="34"/>
                <c:pt idx="0">
                  <c:v>85.866502294191648</c:v>
                </c:pt>
                <c:pt idx="1">
                  <c:v>77.678707955852218</c:v>
                </c:pt>
                <c:pt idx="2">
                  <c:v>75.552480635755813</c:v>
                </c:pt>
                <c:pt idx="3">
                  <c:v>80.136884034903971</c:v>
                </c:pt>
                <c:pt idx="4">
                  <c:v>76.902419880745626</c:v>
                </c:pt>
                <c:pt idx="5">
                  <c:v>77.636131881705708</c:v>
                </c:pt>
                <c:pt idx="6">
                  <c:v>79.135624759962667</c:v>
                </c:pt>
                <c:pt idx="7">
                  <c:v>79.463913413558046</c:v>
                </c:pt>
                <c:pt idx="8">
                  <c:v>80.136086093618758</c:v>
                </c:pt>
                <c:pt idx="9">
                  <c:v>78.8333883305732</c:v>
                </c:pt>
                <c:pt idx="10">
                  <c:v>78.629956901853419</c:v>
                </c:pt>
                <c:pt idx="11">
                  <c:v>74.744893710814793</c:v>
                </c:pt>
                <c:pt idx="12">
                  <c:v>78.40640613060404</c:v>
                </c:pt>
                <c:pt idx="13">
                  <c:v>85.789532632532158</c:v>
                </c:pt>
                <c:pt idx="14">
                  <c:v>86.506225251482533</c:v>
                </c:pt>
                <c:pt idx="15">
                  <c:v>84.477214694878143</c:v>
                </c:pt>
                <c:pt idx="16">
                  <c:v>82.880478542820455</c:v>
                </c:pt>
                <c:pt idx="17">
                  <c:v>80.673652783725359</c:v>
                </c:pt>
                <c:pt idx="18">
                  <c:v>77.553867036568548</c:v>
                </c:pt>
                <c:pt idx="19">
                  <c:v>78.40335368135041</c:v>
                </c:pt>
                <c:pt idx="20">
                  <c:v>75.830193123476278</c:v>
                </c:pt>
                <c:pt idx="21">
                  <c:v>74.26831493920966</c:v>
                </c:pt>
                <c:pt idx="22">
                  <c:v>75.40113716912164</c:v>
                </c:pt>
                <c:pt idx="23">
                  <c:v>74.15325435026638</c:v>
                </c:pt>
                <c:pt idx="24">
                  <c:v>74.110620959006027</c:v>
                </c:pt>
                <c:pt idx="25">
                  <c:v>74.014553099962356</c:v>
                </c:pt>
                <c:pt idx="26">
                  <c:v>73.148145370690258</c:v>
                </c:pt>
                <c:pt idx="27">
                  <c:v>71.583460003653258</c:v>
                </c:pt>
                <c:pt idx="28">
                  <c:v>73.659282965035374</c:v>
                </c:pt>
                <c:pt idx="29">
                  <c:v>76.126311562995369</c:v>
                </c:pt>
                <c:pt idx="30">
                  <c:v>76.315005733685226</c:v>
                </c:pt>
                <c:pt idx="31">
                  <c:v>77.131028825386352</c:v>
                </c:pt>
                <c:pt idx="32">
                  <c:v>71.648499016392478</c:v>
                </c:pt>
                <c:pt idx="33">
                  <c:v>75.703427371681059</c:v>
                </c:pt>
              </c:numCache>
            </c:numRef>
          </c:val>
        </c:ser>
        <c:axId val="106798464"/>
        <c:axId val="128013440"/>
      </c:barChart>
      <c:catAx>
        <c:axId val="106798464"/>
        <c:scaling>
          <c:orientation val="minMax"/>
        </c:scaling>
        <c:axPos val="b"/>
        <c:tickLblPos val="nextTo"/>
        <c:crossAx val="128013440"/>
        <c:crosses val="autoZero"/>
        <c:auto val="1"/>
        <c:lblAlgn val="ctr"/>
        <c:lblOffset val="100"/>
      </c:catAx>
      <c:valAx>
        <c:axId val="128013440"/>
        <c:scaling>
          <c:orientation val="minMax"/>
        </c:scaling>
        <c:axPos val="l"/>
        <c:numFmt formatCode="#,##0" sourceLinked="0"/>
        <c:tickLblPos val="nextTo"/>
        <c:crossAx val="106798464"/>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200"/>
            </a:pPr>
            <a:r>
              <a:rPr lang="fr-FR" sz="1200" b="1" i="0" baseline="0"/>
              <a:t>Perception des évolutions passée et future du niveau de vie </a:t>
            </a:r>
            <a:r>
              <a:rPr lang="fr-FR" sz="1200" b="1" i="0" baseline="30000"/>
              <a:t>1</a:t>
            </a:r>
          </a:p>
        </c:rich>
      </c:tx>
    </c:title>
    <c:plotArea>
      <c:layout>
        <c:manualLayout>
          <c:layoutTarget val="inner"/>
          <c:xMode val="edge"/>
          <c:yMode val="edge"/>
          <c:x val="7.1179729474066644E-2"/>
          <c:y val="0.18152551270074288"/>
          <c:w val="0.9054309445637817"/>
          <c:h val="0.56851390186395878"/>
        </c:manualLayout>
      </c:layout>
      <c:lineChart>
        <c:grouping val="standard"/>
        <c:ser>
          <c:idx val="0"/>
          <c:order val="0"/>
          <c:tx>
            <c:strRef>
              <c:f>'graphe fr'!$A$10</c:f>
              <c:strCache>
                <c:ptCount val="1"/>
                <c:pt idx="0">
                  <c:v>Evolution  passée du niveau de vie</c:v>
                </c:pt>
              </c:strCache>
            </c:strRef>
          </c:tx>
          <c:marker>
            <c:symbol val="triangle"/>
            <c:size val="5"/>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fr'!$B$10:$AI$10</c:f>
              <c:numCache>
                <c:formatCode>#,##0.0</c:formatCode>
                <c:ptCount val="34"/>
                <c:pt idx="0">
                  <c:v>-10.399945582052929</c:v>
                </c:pt>
                <c:pt idx="1">
                  <c:v>-25.15337945599229</c:v>
                </c:pt>
                <c:pt idx="2">
                  <c:v>-31.141291421499876</c:v>
                </c:pt>
                <c:pt idx="3">
                  <c:v>-29.393844818665286</c:v>
                </c:pt>
                <c:pt idx="4">
                  <c:v>-36.652789359955584</c:v>
                </c:pt>
                <c:pt idx="5">
                  <c:v>-29.108394514506987</c:v>
                </c:pt>
                <c:pt idx="6">
                  <c:v>-25.702364309825629</c:v>
                </c:pt>
                <c:pt idx="7">
                  <c:v>-26.546435956901789</c:v>
                </c:pt>
                <c:pt idx="8">
                  <c:v>-25.723634629572889</c:v>
                </c:pt>
                <c:pt idx="9">
                  <c:v>-28.56499551903989</c:v>
                </c:pt>
                <c:pt idx="10">
                  <c:v>-27.930454212484364</c:v>
                </c:pt>
                <c:pt idx="11">
                  <c:v>-37.236760344983665</c:v>
                </c:pt>
                <c:pt idx="12">
                  <c:v>-26.050959167650237</c:v>
                </c:pt>
                <c:pt idx="13">
                  <c:v>-16.961438303130727</c:v>
                </c:pt>
                <c:pt idx="14">
                  <c:v>-13.439142519852076</c:v>
                </c:pt>
                <c:pt idx="15">
                  <c:v>-20.224270151200944</c:v>
                </c:pt>
                <c:pt idx="16">
                  <c:v>-26.170201326733839</c:v>
                </c:pt>
                <c:pt idx="17">
                  <c:v>-21.816848529134631</c:v>
                </c:pt>
                <c:pt idx="18">
                  <c:v>-27.85707555673623</c:v>
                </c:pt>
                <c:pt idx="19">
                  <c:v>-28.088708351168538</c:v>
                </c:pt>
                <c:pt idx="20">
                  <c:v>-29.212341127418195</c:v>
                </c:pt>
                <c:pt idx="21">
                  <c:v>-23.102864483982131</c:v>
                </c:pt>
                <c:pt idx="22">
                  <c:v>-21.158266803557588</c:v>
                </c:pt>
                <c:pt idx="23">
                  <c:v>-19.887264929132375</c:v>
                </c:pt>
                <c:pt idx="24">
                  <c:v>-18.060219769201886</c:v>
                </c:pt>
                <c:pt idx="25">
                  <c:v>-17.740461010850293</c:v>
                </c:pt>
                <c:pt idx="26">
                  <c:v>-17.387590506775499</c:v>
                </c:pt>
                <c:pt idx="27">
                  <c:v>-16.459915505713987</c:v>
                </c:pt>
                <c:pt idx="28">
                  <c:v>-14.108179132101393</c:v>
                </c:pt>
                <c:pt idx="29">
                  <c:v>-12.785821926678448</c:v>
                </c:pt>
                <c:pt idx="30">
                  <c:v>-15.129825087046068</c:v>
                </c:pt>
                <c:pt idx="31">
                  <c:v>-13.828410383657548</c:v>
                </c:pt>
                <c:pt idx="32" formatCode="###0.0">
                  <c:v>-22.864633579953594</c:v>
                </c:pt>
                <c:pt idx="33" formatCode="###0.0">
                  <c:v>-15.196177330129153</c:v>
                </c:pt>
              </c:numCache>
            </c:numRef>
          </c:val>
        </c:ser>
        <c:ser>
          <c:idx val="1"/>
          <c:order val="1"/>
          <c:tx>
            <c:strRef>
              <c:f>'graphe fr'!$A$11</c:f>
              <c:strCache>
                <c:ptCount val="1"/>
                <c:pt idx="0">
                  <c:v>Evolution future du niveau de vie</c:v>
                </c:pt>
              </c:strCache>
            </c:strRef>
          </c:tx>
          <c:marker>
            <c:symbol val="square"/>
            <c:size val="4"/>
            <c:spPr>
              <a:ln w="3175">
                <a:noFill/>
              </a:ln>
            </c:spPr>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fr'!$B$11:$AI$11</c:f>
              <c:numCache>
                <c:formatCode>#,##0.0</c:formatCode>
                <c:ptCount val="34"/>
                <c:pt idx="0">
                  <c:v>14.440493946063453</c:v>
                </c:pt>
                <c:pt idx="1">
                  <c:v>-11.52673084245559</c:v>
                </c:pt>
                <c:pt idx="2">
                  <c:v>-21.380291437825413</c:v>
                </c:pt>
                <c:pt idx="3">
                  <c:v>-3.4692228168248267</c:v>
                </c:pt>
                <c:pt idx="4">
                  <c:v>-9.3118753956095954</c:v>
                </c:pt>
                <c:pt idx="5">
                  <c:v>-3.5223109272796771</c:v>
                </c:pt>
                <c:pt idx="6">
                  <c:v>8.4334302751113852E-2</c:v>
                </c:pt>
                <c:pt idx="7">
                  <c:v>2.1853913991610052</c:v>
                </c:pt>
                <c:pt idx="8">
                  <c:v>0.39154986438086126</c:v>
                </c:pt>
                <c:pt idx="9">
                  <c:v>2.7314646872285109</c:v>
                </c:pt>
                <c:pt idx="10">
                  <c:v>0.19418325799955019</c:v>
                </c:pt>
                <c:pt idx="11">
                  <c:v>-11.371112777150765</c:v>
                </c:pt>
                <c:pt idx="12">
                  <c:v>-1.8875512037963251</c:v>
                </c:pt>
                <c:pt idx="13">
                  <c:v>18.132139936578689</c:v>
                </c:pt>
                <c:pt idx="14">
                  <c:v>11.870106120928359</c:v>
                </c:pt>
                <c:pt idx="15">
                  <c:v>13.146309479543481</c:v>
                </c:pt>
                <c:pt idx="16">
                  <c:v>11.211772002164619</c:v>
                </c:pt>
                <c:pt idx="17">
                  <c:v>8.9776180181468028</c:v>
                </c:pt>
                <c:pt idx="18">
                  <c:v>-3.2327838268829292</c:v>
                </c:pt>
                <c:pt idx="19">
                  <c:v>-1.2159862376115478</c:v>
                </c:pt>
                <c:pt idx="20">
                  <c:v>-5.0957647237932591</c:v>
                </c:pt>
                <c:pt idx="21">
                  <c:v>-4.2068608448306524</c:v>
                </c:pt>
                <c:pt idx="22">
                  <c:v>-3.0973555754801207</c:v>
                </c:pt>
                <c:pt idx="23">
                  <c:v>-7.9340099346010531</c:v>
                </c:pt>
                <c:pt idx="24">
                  <c:v>-11.389732068783712</c:v>
                </c:pt>
                <c:pt idx="25">
                  <c:v>-13.063768224593518</c:v>
                </c:pt>
                <c:pt idx="26">
                  <c:v>-13.090700094553394</c:v>
                </c:pt>
                <c:pt idx="27">
                  <c:v>-12.672429336417776</c:v>
                </c:pt>
                <c:pt idx="28">
                  <c:v>-8.8537661336825266</c:v>
                </c:pt>
                <c:pt idx="29">
                  <c:v>-7.2727206831162023</c:v>
                </c:pt>
                <c:pt idx="30">
                  <c:v>-7.7131091840762114</c:v>
                </c:pt>
                <c:pt idx="31">
                  <c:v>-8.0828133778612727</c:v>
                </c:pt>
                <c:pt idx="32" formatCode="###0.0">
                  <c:v>-14.22824639578895</c:v>
                </c:pt>
                <c:pt idx="33" formatCode="###0.0">
                  <c:v>-7.5906192549525784</c:v>
                </c:pt>
              </c:numCache>
            </c:numRef>
          </c:val>
        </c:ser>
        <c:marker val="1"/>
        <c:axId val="128037632"/>
        <c:axId val="128039552"/>
      </c:lineChart>
      <c:catAx>
        <c:axId val="128037632"/>
        <c:scaling>
          <c:orientation val="minMax"/>
        </c:scaling>
        <c:axPos val="b"/>
        <c:majorTickMark val="none"/>
        <c:tickLblPos val="low"/>
        <c:spPr>
          <a:ln w="9525">
            <a:solidFill>
              <a:schemeClr val="tx1"/>
            </a:solidFill>
          </a:ln>
        </c:spPr>
        <c:crossAx val="128039552"/>
        <c:crosses val="autoZero"/>
        <c:auto val="1"/>
        <c:lblAlgn val="ctr"/>
        <c:lblOffset val="100"/>
      </c:catAx>
      <c:valAx>
        <c:axId val="128039552"/>
        <c:scaling>
          <c:orientation val="minMax"/>
        </c:scaling>
        <c:axPos val="l"/>
        <c:numFmt formatCode="#,##0" sourceLinked="0"/>
        <c:majorTickMark val="none"/>
        <c:tickLblPos val="nextTo"/>
        <c:spPr>
          <a:ln w="9525">
            <a:solidFill>
              <a:schemeClr val="bg1">
                <a:lumMod val="50000"/>
              </a:schemeClr>
            </a:solidFill>
          </a:ln>
        </c:spPr>
        <c:crossAx val="128037632"/>
        <c:crosses val="autoZero"/>
        <c:crossBetween val="between"/>
      </c:valAx>
      <c:spPr>
        <a:noFill/>
        <a:ln>
          <a:solidFill>
            <a:schemeClr val="bg1"/>
          </a:solidFill>
        </a:ln>
      </c:spPr>
    </c:plotArea>
    <c:legend>
      <c:legendPos val="b"/>
      <c:layout>
        <c:manualLayout>
          <c:xMode val="edge"/>
          <c:yMode val="edge"/>
          <c:x val="0.46334455641481981"/>
          <c:y val="0.6516026513634986"/>
          <c:w val="0.48793967998312382"/>
          <c:h val="0.117888874060234"/>
        </c:manualLayout>
      </c:layout>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600"/>
            </a:pPr>
            <a:r>
              <a:rPr lang="fr-FR" sz="1400"/>
              <a:t>Solde d'opinion sur</a:t>
            </a:r>
            <a:r>
              <a:rPr lang="fr-FR" sz="1400" baseline="0"/>
              <a:t> le chômage</a:t>
            </a:r>
            <a:r>
              <a:rPr lang="fr-FR" sz="1400" baseline="30000"/>
              <a:t>1</a:t>
            </a:r>
            <a:endParaRPr lang="fr-FR" sz="1600" baseline="30000"/>
          </a:p>
        </c:rich>
      </c:tx>
    </c:title>
    <c:plotArea>
      <c:layout>
        <c:manualLayout>
          <c:layoutTarget val="inner"/>
          <c:xMode val="edge"/>
          <c:yMode val="edge"/>
          <c:x val="6.7471089822043723E-2"/>
          <c:y val="0.20355303810504641"/>
          <c:w val="0.90913958421580454"/>
          <c:h val="0.6677136972193628"/>
        </c:manualLayout>
      </c:layout>
      <c:lineChart>
        <c:grouping val="standard"/>
        <c:ser>
          <c:idx val="0"/>
          <c:order val="0"/>
          <c:tx>
            <c:strRef>
              <c:f>'graphe fr'!$A$9</c:f>
              <c:strCache>
                <c:ptCount val="1"/>
                <c:pt idx="0">
                  <c:v>Perspective d'évolution du nombre de chômeur</c:v>
                </c:pt>
              </c:strCache>
            </c:strRef>
          </c:tx>
          <c:marker>
            <c:symbol val="none"/>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fr'!$B$9:$AI$9</c:f>
              <c:numCache>
                <c:formatCode>#,##0.0</c:formatCode>
                <c:ptCount val="34"/>
                <c:pt idx="0">
                  <c:v>-52.095692279179424</c:v>
                </c:pt>
                <c:pt idx="1">
                  <c:v>-56.601297669292876</c:v>
                </c:pt>
                <c:pt idx="2">
                  <c:v>-51.593765595534528</c:v>
                </c:pt>
                <c:pt idx="3">
                  <c:v>-51.137343653505525</c:v>
                </c:pt>
                <c:pt idx="4">
                  <c:v>-50.999102607130283</c:v>
                </c:pt>
                <c:pt idx="5">
                  <c:v>-59.135165785990033</c:v>
                </c:pt>
                <c:pt idx="6">
                  <c:v>-57.930600458568307</c:v>
                </c:pt>
                <c:pt idx="7">
                  <c:v>-57.517749523976327</c:v>
                </c:pt>
                <c:pt idx="8">
                  <c:v>-59.239397454073007</c:v>
                </c:pt>
                <c:pt idx="9">
                  <c:v>-61.048152851769579</c:v>
                </c:pt>
                <c:pt idx="10">
                  <c:v>-56.106436371502731</c:v>
                </c:pt>
                <c:pt idx="11">
                  <c:v>-52.335316844022621</c:v>
                </c:pt>
                <c:pt idx="12">
                  <c:v>-52.408437207990346</c:v>
                </c:pt>
                <c:pt idx="13">
                  <c:v>-45.98227848623327</c:v>
                </c:pt>
                <c:pt idx="14">
                  <c:v>-40.986479794930496</c:v>
                </c:pt>
                <c:pt idx="15">
                  <c:v>-41.619683700101234</c:v>
                </c:pt>
                <c:pt idx="16">
                  <c:v>-44.058495214148614</c:v>
                </c:pt>
                <c:pt idx="17">
                  <c:v>-48.557155794606146</c:v>
                </c:pt>
                <c:pt idx="18">
                  <c:v>-56.657119953107134</c:v>
                </c:pt>
                <c:pt idx="19">
                  <c:v>-58.054676707354794</c:v>
                </c:pt>
                <c:pt idx="20">
                  <c:v>-61.683132655398175</c:v>
                </c:pt>
                <c:pt idx="21">
                  <c:v>-67.848891093145681</c:v>
                </c:pt>
                <c:pt idx="22">
                  <c:v>-69.816287861188869</c:v>
                </c:pt>
                <c:pt idx="23">
                  <c:v>-68.20001271186625</c:v>
                </c:pt>
                <c:pt idx="24">
                  <c:v>-69.100751044168078</c:v>
                </c:pt>
                <c:pt idx="25">
                  <c:v>-66.49396988110972</c:v>
                </c:pt>
                <c:pt idx="26">
                  <c:v>-68.825577821249368</c:v>
                </c:pt>
                <c:pt idx="27">
                  <c:v>-68.019160185663324</c:v>
                </c:pt>
                <c:pt idx="28">
                  <c:v>-65.155740215393095</c:v>
                </c:pt>
                <c:pt idx="29">
                  <c:v>-67.056481822588822</c:v>
                </c:pt>
                <c:pt idx="30">
                  <c:v>-66.189276460398091</c:v>
                </c:pt>
                <c:pt idx="31">
                  <c:v>-64.100777949741385</c:v>
                </c:pt>
                <c:pt idx="32" formatCode="###0.0">
                  <c:v>-67.7344428363606</c:v>
                </c:pt>
                <c:pt idx="33" formatCode="###0.0">
                  <c:v>-68.976178952187198</c:v>
                </c:pt>
              </c:numCache>
            </c:numRef>
          </c:val>
        </c:ser>
        <c:marker val="1"/>
        <c:axId val="128052608"/>
        <c:axId val="100025472"/>
      </c:lineChart>
      <c:catAx>
        <c:axId val="128052608"/>
        <c:scaling>
          <c:orientation val="minMax"/>
        </c:scaling>
        <c:axPos val="b"/>
        <c:tickLblPos val="nextTo"/>
        <c:txPr>
          <a:bodyPr/>
          <a:lstStyle/>
          <a:p>
            <a:pPr>
              <a:defRPr sz="900"/>
            </a:pPr>
            <a:endParaRPr lang="fr-FR"/>
          </a:p>
        </c:txPr>
        <c:crossAx val="100025472"/>
        <c:crosses val="autoZero"/>
        <c:auto val="1"/>
        <c:lblAlgn val="ctr"/>
        <c:lblOffset val="100"/>
      </c:catAx>
      <c:valAx>
        <c:axId val="100025472"/>
        <c:scaling>
          <c:orientation val="minMax"/>
        </c:scaling>
        <c:axPos val="l"/>
        <c:numFmt formatCode="#,##0" sourceLinked="0"/>
        <c:tickLblPos val="nextTo"/>
        <c:txPr>
          <a:bodyPr/>
          <a:lstStyle/>
          <a:p>
            <a:pPr>
              <a:defRPr sz="900"/>
            </a:pPr>
            <a:endParaRPr lang="fr-FR"/>
          </a:p>
        </c:txPr>
        <c:crossAx val="128052608"/>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600"/>
            </a:pPr>
            <a:r>
              <a:rPr lang="en-US" sz="1400" b="1" i="0" baseline="0"/>
              <a:t>Perception de l'opportunité d'achat de biens durables </a:t>
            </a:r>
            <a:r>
              <a:rPr lang="en-US" sz="1600" b="1" i="0" baseline="30000"/>
              <a:t>1</a:t>
            </a:r>
            <a:endParaRPr lang="fr-FR" sz="1600" baseline="30000"/>
          </a:p>
        </c:rich>
      </c:tx>
    </c:title>
    <c:plotArea>
      <c:layout>
        <c:manualLayout>
          <c:layoutTarget val="inner"/>
          <c:xMode val="edge"/>
          <c:yMode val="edge"/>
          <c:x val="6.747108982204382E-2"/>
          <c:y val="0.23366963402571711"/>
          <c:w val="0.90913958421580454"/>
          <c:h val="0.6120276953511391"/>
        </c:manualLayout>
      </c:layout>
      <c:lineChart>
        <c:grouping val="standard"/>
        <c:ser>
          <c:idx val="0"/>
          <c:order val="0"/>
          <c:tx>
            <c:strRef>
              <c:f>'graphe fr'!$A$12</c:f>
              <c:strCache>
                <c:ptCount val="1"/>
                <c:pt idx="0">
                  <c:v>Opportunité d'achat</c:v>
                </c:pt>
              </c:strCache>
            </c:strRef>
          </c:tx>
          <c:marker>
            <c:symbol val="none"/>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fr'!$B$12:$AI$12</c:f>
              <c:numCache>
                <c:formatCode>#,##0.0</c:formatCode>
                <c:ptCount val="34"/>
                <c:pt idx="0">
                  <c:v>-30.018449770831623</c:v>
                </c:pt>
                <c:pt idx="1">
                  <c:v>-34.254528080670752</c:v>
                </c:pt>
                <c:pt idx="2">
                  <c:v>-37.471777984571169</c:v>
                </c:pt>
                <c:pt idx="3">
                  <c:v>-39.103064640682895</c:v>
                </c:pt>
                <c:pt idx="4">
                  <c:v>-41.765350509034171</c:v>
                </c:pt>
                <c:pt idx="5">
                  <c:v>-46.542730671354157</c:v>
                </c:pt>
                <c:pt idx="6">
                  <c:v>-43.408027388108131</c:v>
                </c:pt>
                <c:pt idx="7">
                  <c:v>-42.642623532569331</c:v>
                </c:pt>
                <c:pt idx="8">
                  <c:v>-34.756506471721544</c:v>
                </c:pt>
                <c:pt idx="9">
                  <c:v>-37.532519098272012</c:v>
                </c:pt>
                <c:pt idx="10">
                  <c:v>-36.012077907569903</c:v>
                </c:pt>
                <c:pt idx="11">
                  <c:v>-44.335673139521013</c:v>
                </c:pt>
                <c:pt idx="12">
                  <c:v>-39.860076277616336</c:v>
                </c:pt>
                <c:pt idx="13">
                  <c:v>-39.017818744674372</c:v>
                </c:pt>
                <c:pt idx="14">
                  <c:v>-36.350911088685244</c:v>
                </c:pt>
                <c:pt idx="15">
                  <c:v>-38.491211120248494</c:v>
                </c:pt>
                <c:pt idx="16">
                  <c:v>-32.485234146306901</c:v>
                </c:pt>
                <c:pt idx="17">
                  <c:v>-37.388587169100184</c:v>
                </c:pt>
                <c:pt idx="18">
                  <c:v>-29.521996232881474</c:v>
                </c:pt>
                <c:pt idx="19">
                  <c:v>-29.332441443088875</c:v>
                </c:pt>
                <c:pt idx="20">
                  <c:v>-28.348240299081571</c:v>
                </c:pt>
                <c:pt idx="21">
                  <c:v>-31.722199742496027</c:v>
                </c:pt>
                <c:pt idx="22">
                  <c:v>-29.53704552622213</c:v>
                </c:pt>
                <c:pt idx="23">
                  <c:v>-31.849081241594892</c:v>
                </c:pt>
                <c:pt idx="24">
                  <c:v>-31.319060011477994</c:v>
                </c:pt>
                <c:pt idx="25">
                  <c:v>-28.892463445062127</c:v>
                </c:pt>
                <c:pt idx="26">
                  <c:v>-33.067265037911191</c:v>
                </c:pt>
                <c:pt idx="27">
                  <c:v>-38.061946980941102</c:v>
                </c:pt>
                <c:pt idx="28">
                  <c:v>-36.986420638663795</c:v>
                </c:pt>
                <c:pt idx="29">
                  <c:v>-35.967938268219903</c:v>
                </c:pt>
                <c:pt idx="30">
                  <c:v>-34.247070009141204</c:v>
                </c:pt>
                <c:pt idx="31">
                  <c:v>-37.509325471422294</c:v>
                </c:pt>
                <c:pt idx="32" formatCode="###0.0">
                  <c:v>-40.239810197161113</c:v>
                </c:pt>
                <c:pt idx="33" formatCode="###0.0">
                  <c:v>-34.794169125290885</c:v>
                </c:pt>
              </c:numCache>
            </c:numRef>
          </c:val>
        </c:ser>
        <c:marker val="1"/>
        <c:axId val="106750336"/>
        <c:axId val="106751872"/>
      </c:lineChart>
      <c:catAx>
        <c:axId val="106750336"/>
        <c:scaling>
          <c:orientation val="minMax"/>
        </c:scaling>
        <c:axPos val="b"/>
        <c:tickLblPos val="nextTo"/>
        <c:txPr>
          <a:bodyPr/>
          <a:lstStyle/>
          <a:p>
            <a:pPr>
              <a:defRPr sz="900"/>
            </a:pPr>
            <a:endParaRPr lang="fr-FR"/>
          </a:p>
        </c:txPr>
        <c:crossAx val="106751872"/>
        <c:crosses val="autoZero"/>
        <c:auto val="1"/>
        <c:lblAlgn val="ctr"/>
        <c:lblOffset val="100"/>
      </c:catAx>
      <c:valAx>
        <c:axId val="106751872"/>
        <c:scaling>
          <c:orientation val="minMax"/>
        </c:scaling>
        <c:axPos val="l"/>
        <c:numFmt formatCode="#,##0" sourceLinked="0"/>
        <c:tickLblPos val="nextTo"/>
        <c:txPr>
          <a:bodyPr/>
          <a:lstStyle/>
          <a:p>
            <a:pPr>
              <a:defRPr sz="900"/>
            </a:pPr>
            <a:endParaRPr lang="fr-FR"/>
          </a:p>
        </c:txPr>
        <c:crossAx val="106750336"/>
        <c:crosses val="autoZero"/>
        <c:crossBetween val="between"/>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400"/>
            </a:pPr>
            <a:r>
              <a:rPr lang="fr-FR" sz="1400" b="1" i="0" baseline="0"/>
              <a:t>Perception de la situation financière des ménages </a:t>
            </a:r>
            <a:r>
              <a:rPr lang="fr-FR" sz="1400" b="1" i="0" baseline="30000"/>
              <a:t>1</a:t>
            </a:r>
            <a:endParaRPr lang="fr-FR" sz="1400" baseline="30000"/>
          </a:p>
        </c:rich>
      </c:tx>
    </c:title>
    <c:plotArea>
      <c:layout/>
      <c:lineChart>
        <c:grouping val="standard"/>
        <c:ser>
          <c:idx val="0"/>
          <c:order val="0"/>
          <c:tx>
            <c:strRef>
              <c:f>'graphe fr'!$A$13</c:f>
              <c:strCache>
                <c:ptCount val="1"/>
                <c:pt idx="0">
                  <c:v>Situation financière actuelle des ménages</c:v>
                </c:pt>
              </c:strCache>
            </c:strRef>
          </c:tx>
          <c:marker>
            <c:symbol val="triangle"/>
            <c:size val="5"/>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fr'!$B$13:$AI$13</c:f>
              <c:numCache>
                <c:formatCode>#,##0.0</c:formatCode>
                <c:ptCount val="34"/>
                <c:pt idx="0">
                  <c:v>-33.000396349797541</c:v>
                </c:pt>
                <c:pt idx="1">
                  <c:v>-32.92085732825101</c:v>
                </c:pt>
                <c:pt idx="2">
                  <c:v>-34.418326375664194</c:v>
                </c:pt>
                <c:pt idx="3">
                  <c:v>-33.119220631579381</c:v>
                </c:pt>
                <c:pt idx="4">
                  <c:v>-31.284887127595891</c:v>
                </c:pt>
                <c:pt idx="5">
                  <c:v>-26.871936633729426</c:v>
                </c:pt>
                <c:pt idx="6">
                  <c:v>-28.286909450889887</c:v>
                </c:pt>
                <c:pt idx="7">
                  <c:v>-25.297554133135563</c:v>
                </c:pt>
                <c:pt idx="8">
                  <c:v>-27.535808431365773</c:v>
                </c:pt>
                <c:pt idx="9">
                  <c:v>-27.628417792744592</c:v>
                </c:pt>
                <c:pt idx="10">
                  <c:v>-29.997502753451052</c:v>
                </c:pt>
                <c:pt idx="11">
                  <c:v>-28.062624892496189</c:v>
                </c:pt>
                <c:pt idx="12">
                  <c:v>-30.64549893190361</c:v>
                </c:pt>
                <c:pt idx="13">
                  <c:v>-27.092549889444111</c:v>
                </c:pt>
                <c:pt idx="14">
                  <c:v>-24.28899054728441</c:v>
                </c:pt>
                <c:pt idx="15">
                  <c:v>-25.669712181349599</c:v>
                </c:pt>
                <c:pt idx="16">
                  <c:v>-25.435462945688826</c:v>
                </c:pt>
                <c:pt idx="17">
                  <c:v>-31.040689498948886</c:v>
                </c:pt>
                <c:pt idx="18">
                  <c:v>-30.846093343724089</c:v>
                </c:pt>
                <c:pt idx="19">
                  <c:v>-29.426966691861189</c:v>
                </c:pt>
                <c:pt idx="20">
                  <c:v>-29.764200665198015</c:v>
                </c:pt>
                <c:pt idx="21">
                  <c:v>-30.168616451396016</c:v>
                </c:pt>
                <c:pt idx="22">
                  <c:v>-29.484131282651077</c:v>
                </c:pt>
                <c:pt idx="23">
                  <c:v>-29.485585569479809</c:v>
                </c:pt>
                <c:pt idx="24">
                  <c:v>-31.290770339914989</c:v>
                </c:pt>
                <c:pt idx="25">
                  <c:v>-29.704256665370011</c:v>
                </c:pt>
                <c:pt idx="26">
                  <c:v>-28.344504427944035</c:v>
                </c:pt>
                <c:pt idx="27">
                  <c:v>-30.637429411694178</c:v>
                </c:pt>
                <c:pt idx="28">
                  <c:v>-32.404955656558201</c:v>
                </c:pt>
                <c:pt idx="29">
                  <c:v>-27.991516068681889</c:v>
                </c:pt>
                <c:pt idx="30">
                  <c:v>-25.071467645625653</c:v>
                </c:pt>
                <c:pt idx="31">
                  <c:v>-25.699936983325738</c:v>
                </c:pt>
                <c:pt idx="32" formatCode="###0.0">
                  <c:v>-27.232686212381203</c:v>
                </c:pt>
                <c:pt idx="33" formatCode="###0.0">
                  <c:v>-22.997618165471859</c:v>
                </c:pt>
              </c:numCache>
            </c:numRef>
          </c:val>
        </c:ser>
        <c:ser>
          <c:idx val="1"/>
          <c:order val="1"/>
          <c:tx>
            <c:strRef>
              <c:f>'graphe fr'!$A$14</c:f>
              <c:strCache>
                <c:ptCount val="1"/>
                <c:pt idx="0">
                  <c:v>Evolution  passée de la situation financière des ménages</c:v>
                </c:pt>
              </c:strCache>
            </c:strRef>
          </c:tx>
          <c:marker>
            <c:symbol val="square"/>
            <c:size val="3"/>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fr'!$B$14:$AI$14</c:f>
              <c:numCache>
                <c:formatCode>#,##0.0</c:formatCode>
                <c:ptCount val="34"/>
                <c:pt idx="0">
                  <c:v>-11.760493904860514</c:v>
                </c:pt>
                <c:pt idx="1">
                  <c:v>-11.376439540974285</c:v>
                </c:pt>
                <c:pt idx="2">
                  <c:v>-11.707546774199256</c:v>
                </c:pt>
                <c:pt idx="3">
                  <c:v>-9.5250570435126427</c:v>
                </c:pt>
                <c:pt idx="4">
                  <c:v>-18.438210074457221</c:v>
                </c:pt>
                <c:pt idx="5">
                  <c:v>-13.353492384896832</c:v>
                </c:pt>
                <c:pt idx="6">
                  <c:v>-8.3398771422969418</c:v>
                </c:pt>
                <c:pt idx="7">
                  <c:v>-11.02764060888175</c:v>
                </c:pt>
                <c:pt idx="8">
                  <c:v>-9.9712946623485852</c:v>
                </c:pt>
                <c:pt idx="9">
                  <c:v>-7.900036816111526</c:v>
                </c:pt>
                <c:pt idx="10">
                  <c:v>-7.5448517126855705</c:v>
                </c:pt>
                <c:pt idx="11">
                  <c:v>-12.80990794833837</c:v>
                </c:pt>
                <c:pt idx="12">
                  <c:v>-10.526395373972909</c:v>
                </c:pt>
                <c:pt idx="13">
                  <c:v>-8.9058745431594577</c:v>
                </c:pt>
                <c:pt idx="14">
                  <c:v>-6.3663328535796895</c:v>
                </c:pt>
                <c:pt idx="15">
                  <c:v>-9.8004349690184824</c:v>
                </c:pt>
                <c:pt idx="16">
                  <c:v>-14.12986220998387</c:v>
                </c:pt>
                <c:pt idx="17">
                  <c:v>-16.595107957258964</c:v>
                </c:pt>
                <c:pt idx="18">
                  <c:v>-16.673706990082124</c:v>
                </c:pt>
                <c:pt idx="19">
                  <c:v>-15.707035536653336</c:v>
                </c:pt>
                <c:pt idx="20">
                  <c:v>-19.633449783694058</c:v>
                </c:pt>
                <c:pt idx="21">
                  <c:v>-23.788807201688929</c:v>
                </c:pt>
                <c:pt idx="22">
                  <c:v>-21.891965579068639</c:v>
                </c:pt>
                <c:pt idx="23">
                  <c:v>-21.870867995539985</c:v>
                </c:pt>
                <c:pt idx="24">
                  <c:v>-21.277780753263979</c:v>
                </c:pt>
                <c:pt idx="25">
                  <c:v>-23.337257864101161</c:v>
                </c:pt>
                <c:pt idx="26">
                  <c:v>-25.773771694272</c:v>
                </c:pt>
                <c:pt idx="27">
                  <c:v>-29.150994705705731</c:v>
                </c:pt>
                <c:pt idx="28">
                  <c:v>-26.965288381475617</c:v>
                </c:pt>
                <c:pt idx="29">
                  <c:v>-20.216971341645095</c:v>
                </c:pt>
                <c:pt idx="30">
                  <c:v>-20.789363149769116</c:v>
                </c:pt>
                <c:pt idx="31">
                  <c:v>-18.50333400384844</c:v>
                </c:pt>
                <c:pt idx="32" formatCode="###0.0">
                  <c:v>-27.398022856415189</c:v>
                </c:pt>
                <c:pt idx="33" formatCode="###0.0">
                  <c:v>-22.820131487915329</c:v>
                </c:pt>
              </c:numCache>
            </c:numRef>
          </c:val>
        </c:ser>
        <c:ser>
          <c:idx val="2"/>
          <c:order val="2"/>
          <c:tx>
            <c:strRef>
              <c:f>'graphe fr'!$A$15</c:f>
              <c:strCache>
                <c:ptCount val="1"/>
                <c:pt idx="0">
                  <c:v>Evolution  future de la situation financière des ménages</c:v>
                </c:pt>
              </c:strCache>
            </c:strRef>
          </c:tx>
          <c:marker>
            <c:symbol val="triangle"/>
            <c:size val="4"/>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fr'!$B$15:$AI$15</c:f>
              <c:numCache>
                <c:formatCode>#,##0.0</c:formatCode>
                <c:ptCount val="34"/>
                <c:pt idx="0">
                  <c:v>23.9</c:v>
                </c:pt>
                <c:pt idx="1">
                  <c:v>15.58418860861071</c:v>
                </c:pt>
                <c:pt idx="2">
                  <c:v>16.580364039590329</c:v>
                </c:pt>
                <c:pt idx="3">
                  <c:v>26.705941849103041</c:v>
                </c:pt>
                <c:pt idx="4">
                  <c:v>26.769154239001889</c:v>
                </c:pt>
                <c:pt idx="5">
                  <c:v>21.986954089697061</c:v>
                </c:pt>
                <c:pt idx="6">
                  <c:v>17.532817766676647</c:v>
                </c:pt>
                <c:pt idx="7">
                  <c:v>17.09400625121032</c:v>
                </c:pt>
                <c:pt idx="8">
                  <c:v>17.787694440036187</c:v>
                </c:pt>
                <c:pt idx="9">
                  <c:v>11.776375704730402</c:v>
                </c:pt>
                <c:pt idx="10">
                  <c:v>7.8068380126684715</c:v>
                </c:pt>
                <c:pt idx="11">
                  <c:v>9.3656519222157506</c:v>
                </c:pt>
                <c:pt idx="12">
                  <c:v>10.223761077165181</c:v>
                </c:pt>
                <c:pt idx="13">
                  <c:v>20.354548457792731</c:v>
                </c:pt>
                <c:pt idx="14">
                  <c:v>15.105327443781253</c:v>
                </c:pt>
                <c:pt idx="15">
                  <c:v>13.999505506513676</c:v>
                </c:pt>
                <c:pt idx="16">
                  <c:v>11.230833640450298</c:v>
                </c:pt>
                <c:pt idx="17">
                  <c:v>11.136340416980383</c:v>
                </c:pt>
                <c:pt idx="18">
                  <c:v>7.6658451594012655</c:v>
                </c:pt>
                <c:pt idx="19">
                  <c:v>10.649290737183625</c:v>
                </c:pt>
                <c:pt idx="20">
                  <c:v>4.5484811189173895</c:v>
                </c:pt>
                <c:pt idx="21">
                  <c:v>0.71644439200690369</c:v>
                </c:pt>
                <c:pt idx="22">
                  <c:v>2.7930128120198785</c:v>
                </c:pt>
                <c:pt idx="23">
                  <c:v>-1.7003971659207282</c:v>
                </c:pt>
                <c:pt idx="24">
                  <c:v>1.2126606998519158</c:v>
                </c:pt>
                <c:pt idx="25">
                  <c:v>-2.6659512091834952</c:v>
                </c:pt>
                <c:pt idx="26">
                  <c:v>-1.4735728224612341</c:v>
                </c:pt>
                <c:pt idx="27">
                  <c:v>-3.9139038482871729</c:v>
                </c:pt>
                <c:pt idx="28">
                  <c:v>8.9330913123193523E-2</c:v>
                </c:pt>
                <c:pt idx="29">
                  <c:v>4.1756310519058966</c:v>
                </c:pt>
                <c:pt idx="30">
                  <c:v>3.3451516718598637</c:v>
                </c:pt>
                <c:pt idx="31">
                  <c:v>7.6417999475620588</c:v>
                </c:pt>
                <c:pt idx="32" formatCode="###0.0">
                  <c:v>1.2373351928093912</c:v>
                </c:pt>
                <c:pt idx="33" formatCode="###0.0">
                  <c:v>2.2988859177154</c:v>
                </c:pt>
              </c:numCache>
            </c:numRef>
          </c:val>
        </c:ser>
        <c:marker val="1"/>
        <c:axId val="106777216"/>
        <c:axId val="100090240"/>
      </c:lineChart>
      <c:catAx>
        <c:axId val="106777216"/>
        <c:scaling>
          <c:orientation val="minMax"/>
        </c:scaling>
        <c:axPos val="b"/>
        <c:majorTickMark val="none"/>
        <c:tickLblPos val="low"/>
        <c:spPr>
          <a:ln>
            <a:solidFill>
              <a:schemeClr val="tx1"/>
            </a:solidFill>
          </a:ln>
        </c:spPr>
        <c:crossAx val="100090240"/>
        <c:crosses val="autoZero"/>
        <c:auto val="1"/>
        <c:lblAlgn val="ctr"/>
        <c:lblOffset val="100"/>
      </c:catAx>
      <c:valAx>
        <c:axId val="100090240"/>
        <c:scaling>
          <c:orientation val="minMax"/>
        </c:scaling>
        <c:axPos val="l"/>
        <c:numFmt formatCode="#,##0" sourceLinked="0"/>
        <c:majorTickMark val="none"/>
        <c:tickLblPos val="nextTo"/>
        <c:spPr>
          <a:ln w="9525">
            <a:solidFill>
              <a:schemeClr val="bg1">
                <a:lumMod val="65000"/>
              </a:schemeClr>
            </a:solidFill>
          </a:ln>
        </c:spPr>
        <c:crossAx val="106777216"/>
        <c:crosses val="autoZero"/>
        <c:crossBetween val="between"/>
      </c:valAx>
    </c:plotArea>
    <c:legend>
      <c:legendPos val="b"/>
      <c:layout>
        <c:manualLayout>
          <c:xMode val="edge"/>
          <c:yMode val="edge"/>
          <c:x val="0.45835370271967646"/>
          <c:y val="0.76004522025108689"/>
          <c:w val="0.51683026584867076"/>
          <c:h val="0.22790658697783303"/>
        </c:manualLayout>
      </c:layout>
      <c:txPr>
        <a:bodyPr/>
        <a:lstStyle/>
        <a:p>
          <a:pPr>
            <a:defRPr sz="900"/>
          </a:pPr>
          <a:endParaRPr lang="fr-FR"/>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Perception des évolutions passée et future des prix des produits alimentaires </a:t>
            </a:r>
            <a:r>
              <a:rPr lang="fr-FR" baseline="30000"/>
              <a:t>1</a:t>
            </a:r>
          </a:p>
        </c:rich>
      </c:tx>
      <c:layout>
        <c:manualLayout>
          <c:xMode val="edge"/>
          <c:yMode val="edge"/>
          <c:x val="0.12986201378082754"/>
          <c:y val="3.8095238095238099E-2"/>
        </c:manualLayout>
      </c:layout>
    </c:title>
    <c:plotArea>
      <c:layout/>
      <c:lineChart>
        <c:grouping val="standard"/>
        <c:ser>
          <c:idx val="0"/>
          <c:order val="0"/>
          <c:tx>
            <c:strRef>
              <c:f>'graphe fr'!$A$19</c:f>
              <c:strCache>
                <c:ptCount val="1"/>
                <c:pt idx="0">
                  <c:v>Evolution  future des prix des produits alimentaires</c:v>
                </c:pt>
              </c:strCache>
            </c:strRef>
          </c:tx>
          <c:marker>
            <c:symbol val="triangle"/>
            <c:size val="5"/>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fr'!$B$19:$AI$19</c:f>
              <c:numCache>
                <c:formatCode>#,##0.0</c:formatCode>
                <c:ptCount val="34"/>
                <c:pt idx="0">
                  <c:v>-74.061389031284818</c:v>
                </c:pt>
                <c:pt idx="1">
                  <c:v>-77.716574651610827</c:v>
                </c:pt>
                <c:pt idx="2">
                  <c:v>-78.940542419693813</c:v>
                </c:pt>
                <c:pt idx="3">
                  <c:v>-49.653420650313109</c:v>
                </c:pt>
                <c:pt idx="4">
                  <c:v>-34.869529990694446</c:v>
                </c:pt>
                <c:pt idx="5">
                  <c:v>-33.523065681383294</c:v>
                </c:pt>
                <c:pt idx="6">
                  <c:v>-50.919242344766445</c:v>
                </c:pt>
                <c:pt idx="7">
                  <c:v>-47.871947864454299</c:v>
                </c:pt>
                <c:pt idx="8">
                  <c:v>-46.515022811526009</c:v>
                </c:pt>
                <c:pt idx="9">
                  <c:v>-56.832932011428063</c:v>
                </c:pt>
                <c:pt idx="10">
                  <c:v>-62.176731306137157</c:v>
                </c:pt>
                <c:pt idx="11">
                  <c:v>-70.131788082403347</c:v>
                </c:pt>
                <c:pt idx="12">
                  <c:v>-73.412747182583047</c:v>
                </c:pt>
                <c:pt idx="13">
                  <c:v>-58.832065504603946</c:v>
                </c:pt>
                <c:pt idx="14">
                  <c:v>-72.59048616904964</c:v>
                </c:pt>
                <c:pt idx="15">
                  <c:v>-72.965887012433882</c:v>
                </c:pt>
                <c:pt idx="16">
                  <c:v>-69.834720496858949</c:v>
                </c:pt>
                <c:pt idx="17">
                  <c:v>-71.450027411204985</c:v>
                </c:pt>
                <c:pt idx="18">
                  <c:v>-73.578371466432827</c:v>
                </c:pt>
                <c:pt idx="19">
                  <c:v>-70.049698245525676</c:v>
                </c:pt>
                <c:pt idx="20">
                  <c:v>-76.096296687301276</c:v>
                </c:pt>
                <c:pt idx="21">
                  <c:v>-73.37547664691084</c:v>
                </c:pt>
                <c:pt idx="22">
                  <c:v>-76.007455926126042</c:v>
                </c:pt>
                <c:pt idx="23">
                  <c:v>-76.048555842623855</c:v>
                </c:pt>
                <c:pt idx="24">
                  <c:v>-77.551787041299889</c:v>
                </c:pt>
                <c:pt idx="25">
                  <c:v>-78.042355521266373</c:v>
                </c:pt>
                <c:pt idx="26">
                  <c:v>-76.898841721729141</c:v>
                </c:pt>
                <c:pt idx="27">
                  <c:v>-77.2</c:v>
                </c:pt>
                <c:pt idx="28">
                  <c:v>-77.231717010323948</c:v>
                </c:pt>
                <c:pt idx="29">
                  <c:v>-75.641194802119557</c:v>
                </c:pt>
                <c:pt idx="30">
                  <c:v>-75.301499740412396</c:v>
                </c:pt>
                <c:pt idx="31">
                  <c:v>-75.201077205088083</c:v>
                </c:pt>
                <c:pt idx="32">
                  <c:v>-79.25874198980361</c:v>
                </c:pt>
                <c:pt idx="33">
                  <c:v>-77.326465444648022</c:v>
                </c:pt>
              </c:numCache>
            </c:numRef>
          </c:val>
        </c:ser>
        <c:ser>
          <c:idx val="1"/>
          <c:order val="1"/>
          <c:tx>
            <c:strRef>
              <c:f>'graphe fr'!$A$20</c:f>
              <c:strCache>
                <c:ptCount val="1"/>
                <c:pt idx="0">
                  <c:v>Evolution  passée des prix des produits alimentaires</c:v>
                </c:pt>
              </c:strCache>
            </c:strRef>
          </c:tx>
          <c:marker>
            <c:symbol val="square"/>
            <c:size val="4"/>
          </c:marker>
          <c:cat>
            <c:strRef>
              <c:f>'graphe fr'!$B$8:$AI$8</c:f>
              <c:strCache>
                <c:ptCount val="3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strCache>
            </c:strRef>
          </c:cat>
          <c:val>
            <c:numRef>
              <c:f>'graphe fr'!$B$20:$AI$20</c:f>
              <c:numCache>
                <c:formatCode>#,##0.0</c:formatCode>
                <c:ptCount val="34"/>
                <c:pt idx="0">
                  <c:v>-93.561530615416999</c:v>
                </c:pt>
                <c:pt idx="1">
                  <c:v>-95.947220816722407</c:v>
                </c:pt>
                <c:pt idx="2">
                  <c:v>-98.048475442965014</c:v>
                </c:pt>
                <c:pt idx="3">
                  <c:v>-96.216541508823312</c:v>
                </c:pt>
                <c:pt idx="4">
                  <c:v>-93.990402062896209</c:v>
                </c:pt>
                <c:pt idx="5">
                  <c:v>-87.215803326852651</c:v>
                </c:pt>
                <c:pt idx="6">
                  <c:v>-85.738329527783449</c:v>
                </c:pt>
                <c:pt idx="7">
                  <c:v>-83.278098478100958</c:v>
                </c:pt>
                <c:pt idx="8">
                  <c:v>-79.493520436579956</c:v>
                </c:pt>
                <c:pt idx="9">
                  <c:v>-87.814557184919167</c:v>
                </c:pt>
                <c:pt idx="10">
                  <c:v>-89.729007404339953</c:v>
                </c:pt>
                <c:pt idx="11">
                  <c:v>-90.967802162493058</c:v>
                </c:pt>
                <c:pt idx="12">
                  <c:v>-95.526783459398686</c:v>
                </c:pt>
                <c:pt idx="13">
                  <c:v>-87.197236284295727</c:v>
                </c:pt>
                <c:pt idx="14">
                  <c:v>-89.924388392525145</c:v>
                </c:pt>
                <c:pt idx="15">
                  <c:v>-92.4952165541483</c:v>
                </c:pt>
                <c:pt idx="16">
                  <c:v>-91.625316584480743</c:v>
                </c:pt>
                <c:pt idx="17">
                  <c:v>-91.140544889708991</c:v>
                </c:pt>
                <c:pt idx="18">
                  <c:v>-91.653648288633619</c:v>
                </c:pt>
                <c:pt idx="19">
                  <c:v>-90.602273539903038</c:v>
                </c:pt>
                <c:pt idx="20">
                  <c:v>-91.630328830978868</c:v>
                </c:pt>
                <c:pt idx="21">
                  <c:v>-88.947630714849396</c:v>
                </c:pt>
                <c:pt idx="22">
                  <c:v>-90.507981291878522</c:v>
                </c:pt>
                <c:pt idx="23">
                  <c:v>-90.842402571703019</c:v>
                </c:pt>
                <c:pt idx="24">
                  <c:v>-89.421972084851788</c:v>
                </c:pt>
                <c:pt idx="25">
                  <c:v>-84.135715875788264</c:v>
                </c:pt>
                <c:pt idx="26">
                  <c:v>-81.763249669624329</c:v>
                </c:pt>
                <c:pt idx="27">
                  <c:v>-84.521199779532196</c:v>
                </c:pt>
                <c:pt idx="28">
                  <c:v>-87.223881643150108</c:v>
                </c:pt>
                <c:pt idx="29">
                  <c:v>-85.304961002513068</c:v>
                </c:pt>
                <c:pt idx="30">
                  <c:v>-84.284507159523358</c:v>
                </c:pt>
                <c:pt idx="31">
                  <c:v>-85.427496568127424</c:v>
                </c:pt>
                <c:pt idx="32">
                  <c:v>-85.452277394276848</c:v>
                </c:pt>
                <c:pt idx="33">
                  <c:v>-87.871778057967319</c:v>
                </c:pt>
              </c:numCache>
            </c:numRef>
          </c:val>
        </c:ser>
        <c:marker val="1"/>
        <c:axId val="100119296"/>
        <c:axId val="100120832"/>
      </c:lineChart>
      <c:catAx>
        <c:axId val="100119296"/>
        <c:scaling>
          <c:orientation val="minMax"/>
        </c:scaling>
        <c:axPos val="b"/>
        <c:majorTickMark val="none"/>
        <c:tickLblPos val="nextTo"/>
        <c:spPr>
          <a:ln>
            <a:solidFill>
              <a:schemeClr val="bg1">
                <a:lumMod val="65000"/>
              </a:schemeClr>
            </a:solidFill>
          </a:ln>
        </c:spPr>
        <c:crossAx val="100120832"/>
        <c:crosses val="autoZero"/>
        <c:auto val="1"/>
        <c:lblAlgn val="ctr"/>
        <c:lblOffset val="100"/>
      </c:catAx>
      <c:valAx>
        <c:axId val="100120832"/>
        <c:scaling>
          <c:orientation val="minMax"/>
          <c:min val="-100"/>
        </c:scaling>
        <c:axPos val="l"/>
        <c:numFmt formatCode="#,##0" sourceLinked="0"/>
        <c:majorTickMark val="none"/>
        <c:tickLblPos val="nextTo"/>
        <c:spPr>
          <a:ln w="9525">
            <a:solidFill>
              <a:sysClr val="window" lastClr="FFFFFF">
                <a:lumMod val="65000"/>
              </a:sysClr>
            </a:solidFill>
          </a:ln>
        </c:spPr>
        <c:crossAx val="100119296"/>
        <c:crosses val="autoZero"/>
        <c:crossBetween val="between"/>
      </c:valAx>
    </c:plotArea>
    <c:legend>
      <c:legendPos val="b"/>
      <c:layout>
        <c:manualLayout>
          <c:xMode val="edge"/>
          <c:yMode val="edge"/>
          <c:x val="0.51683495708050364"/>
          <c:y val="0.81033619205242657"/>
          <c:w val="0.43411660508203154"/>
          <c:h val="0.18966380794757343"/>
        </c:manualLayout>
      </c:layout>
    </c:legend>
    <c:plotVisOnly val="1"/>
  </c:chart>
  <c:txPr>
    <a:bodyPr/>
    <a:lstStyle/>
    <a:p>
      <a:pPr>
        <a:defRPr sz="1000"/>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0.02311</cdr:x>
      <cdr:y>0.91694</cdr:y>
    </cdr:from>
    <cdr:to>
      <cdr:x>0.30394</cdr:x>
      <cdr:y>0.97062</cdr:y>
    </cdr:to>
    <cdr:sp macro="" textlink="">
      <cdr:nvSpPr>
        <cdr:cNvPr id="2" name="ZoneTexte 1"/>
        <cdr:cNvSpPr txBox="1"/>
      </cdr:nvSpPr>
      <cdr:spPr>
        <a:xfrm xmlns:a="http://schemas.openxmlformats.org/drawingml/2006/main">
          <a:off x="138025" y="2395393"/>
          <a:ext cx="1677335" cy="1402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drawings/drawing2.xml><?xml version="1.0" encoding="utf-8"?>
<c:userShapes xmlns:c="http://schemas.openxmlformats.org/drawingml/2006/chart">
  <cdr:relSizeAnchor xmlns:cdr="http://schemas.openxmlformats.org/drawingml/2006/chartDrawing">
    <cdr:from>
      <cdr:x>0.04377</cdr:x>
      <cdr:y>0.92237</cdr:y>
    </cdr:from>
    <cdr:to>
      <cdr:x>0.36311</cdr:x>
      <cdr:y>0.96629</cdr:y>
    </cdr:to>
    <cdr:sp macro="" textlink="">
      <cdr:nvSpPr>
        <cdr:cNvPr id="2" name="ZoneTexte 1"/>
        <cdr:cNvSpPr txBox="1"/>
      </cdr:nvSpPr>
      <cdr:spPr>
        <a:xfrm xmlns:a="http://schemas.openxmlformats.org/drawingml/2006/main">
          <a:off x="261440" y="2591735"/>
          <a:ext cx="1907338" cy="12341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drawings/drawing3.xml><?xml version="1.0" encoding="utf-8"?>
<c:userShapes xmlns:c="http://schemas.openxmlformats.org/drawingml/2006/chart">
  <cdr:relSizeAnchor xmlns:cdr="http://schemas.openxmlformats.org/drawingml/2006/chartDrawing">
    <cdr:from>
      <cdr:x>0.0635</cdr:x>
      <cdr:y>0.91437</cdr:y>
    </cdr:from>
    <cdr:to>
      <cdr:x>0.30394</cdr:x>
      <cdr:y>0.97806</cdr:y>
    </cdr:to>
    <cdr:sp macro="" textlink="">
      <cdr:nvSpPr>
        <cdr:cNvPr id="2" name="ZoneTexte 1"/>
        <cdr:cNvSpPr txBox="1"/>
      </cdr:nvSpPr>
      <cdr:spPr>
        <a:xfrm xmlns:a="http://schemas.openxmlformats.org/drawingml/2006/main">
          <a:off x="379246" y="2255146"/>
          <a:ext cx="1436113" cy="157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drawings/drawing4.xml><?xml version="1.0" encoding="utf-8"?>
<c:userShapes xmlns:c="http://schemas.openxmlformats.org/drawingml/2006/chart">
  <cdr:relSizeAnchor xmlns:cdr="http://schemas.openxmlformats.org/drawingml/2006/chartDrawing">
    <cdr:from>
      <cdr:x>0.06443</cdr:x>
      <cdr:y>0.91227</cdr:y>
    </cdr:from>
    <cdr:to>
      <cdr:x>0.45985</cdr:x>
      <cdr:y>0.9647</cdr:y>
    </cdr:to>
    <cdr:sp macro="" textlink="">
      <cdr:nvSpPr>
        <cdr:cNvPr id="2" name="ZoneTexte 1"/>
        <cdr:cNvSpPr txBox="1"/>
      </cdr:nvSpPr>
      <cdr:spPr>
        <a:xfrm xmlns:a="http://schemas.openxmlformats.org/drawingml/2006/main">
          <a:off x="384856" y="2928324"/>
          <a:ext cx="2361733" cy="16829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drawings/drawing5.xml><?xml version="1.0" encoding="utf-8"?>
<c:userShapes xmlns:c="http://schemas.openxmlformats.org/drawingml/2006/chart">
  <cdr:relSizeAnchor xmlns:cdr="http://schemas.openxmlformats.org/drawingml/2006/chartDrawing">
    <cdr:from>
      <cdr:x>0.0421</cdr:x>
      <cdr:y>0.8178</cdr:y>
    </cdr:from>
    <cdr:to>
      <cdr:x>0.38716</cdr:x>
      <cdr:y>0.92601</cdr:y>
    </cdr:to>
    <cdr:sp macro="" textlink="">
      <cdr:nvSpPr>
        <cdr:cNvPr id="2" name="ZoneTexte 1"/>
        <cdr:cNvSpPr txBox="1"/>
      </cdr:nvSpPr>
      <cdr:spPr>
        <a:xfrm xmlns:a="http://schemas.openxmlformats.org/drawingml/2006/main">
          <a:off x="261440" y="2586126"/>
          <a:ext cx="2142950" cy="3421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drawings/drawing6.xml><?xml version="1.0" encoding="utf-8"?>
<c:userShapes xmlns:c="http://schemas.openxmlformats.org/drawingml/2006/chart">
  <cdr:relSizeAnchor xmlns:cdr="http://schemas.openxmlformats.org/drawingml/2006/chartDrawing">
    <cdr:from>
      <cdr:x>0.04095</cdr:x>
      <cdr:y>0.8403</cdr:y>
    </cdr:from>
    <cdr:to>
      <cdr:x>0.3462</cdr:x>
      <cdr:y>0.93033</cdr:y>
    </cdr:to>
    <cdr:sp macro="" textlink="">
      <cdr:nvSpPr>
        <cdr:cNvPr id="2" name="ZoneTexte 1"/>
        <cdr:cNvSpPr txBox="1"/>
      </cdr:nvSpPr>
      <cdr:spPr>
        <a:xfrm xmlns:a="http://schemas.openxmlformats.org/drawingml/2006/main">
          <a:off x="244611" y="2513198"/>
          <a:ext cx="1823190" cy="2692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Source: HCP</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E4FA-CBC4-4AEF-9D74-9BBBD730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1354</Words>
  <Characters>7452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8789</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 </cp:lastModifiedBy>
  <cp:revision>2</cp:revision>
  <cp:lastPrinted>2016-08-10T11:54:00Z</cp:lastPrinted>
  <dcterms:created xsi:type="dcterms:W3CDTF">2016-08-10T18:57:00Z</dcterms:created>
  <dcterms:modified xsi:type="dcterms:W3CDTF">2016-08-10T18:57:00Z</dcterms:modified>
</cp:coreProperties>
</file>