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theme/themeOverride2.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79" w:rsidRPr="003A2CE4" w:rsidRDefault="00A9710F" w:rsidP="002A7221">
      <w:r>
        <w:rPr>
          <w:noProof/>
        </w:rPr>
        <w:pict>
          <v:shapetype id="_x0000_t202" coordsize="21600,21600" o:spt="202" path="m,l,21600r21600,l21600,xe">
            <v:stroke joinstyle="miter"/>
            <v:path gradientshapeok="t" o:connecttype="rect"/>
          </v:shapetype>
          <v:shape id="Text Box 112" o:spid="_x0000_s1161" type="#_x0000_t202" style="position:absolute;margin-left:504.8pt;margin-top:-59.65pt;width:43.05pt;height:201.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IhgIAABM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" stroked="f">
            <v:textbox>
              <w:txbxContent>
                <w:p w:rsidR="00AD53FD" w:rsidRDefault="00AD53FD"/>
              </w:txbxContent>
            </v:textbox>
          </v:shape>
        </w:pict>
      </w:r>
      <w:r w:rsidRPr="00A9710F">
        <w:rPr>
          <w:rFonts w:eastAsia="Arial Unicode MS"/>
          <w:noProof/>
        </w:rPr>
        <w:pict>
          <v:shape id="_x0000_s1133" type="#_x0000_t75" style="position:absolute;margin-left:386.8pt;margin-top:-49.9pt;width:118pt;height:59.3pt;z-index:251651072" wrapcoords="-106 0 -106 21308 21600 21308 21600 0 -106 0">
            <v:imagedata r:id="rId7" o:title=""/>
            <w10:wrap type="tight"/>
          </v:shape>
          <o:OLEObject Type="Embed" ProgID="PBrush" ShapeID="_x0000_s1133" DrawAspect="Content" ObjectID="_1527845657" r:id="rId8"/>
        </w:pict>
      </w:r>
      <w:r>
        <w:rPr>
          <w:noProof/>
        </w:rPr>
        <w:pict>
          <v:group id="Group 5" o:spid="_x0000_s1150" style="position:absolute;margin-left:-146.55pt;margin-top:-51.45pt;width:910.15pt;height:205.35pt;z-index:251649024" coordorigin="105626194,104688723" coordsize="8335958,352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">
            <v:shape id="Freeform 6" o:spid="_x0000_s1151" style="position:absolute;left:105682152;top:104688723;width:8280000;height:18717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7oMIA&#10;AADbAAAADwAAAGRycy9kb3ducmV2LnhtbESPQWvCQBCF70L/wzJCb3U3glKiq4gQrEejeB6y0yQ1&#10;OxuyW0376zuHgrcZ3pv3vllvR9+pOw2xDWwhmxlQxFVwLdcWLufi7R1UTMgOu8Bk4YcibDcvkzXm&#10;Ljz4RPcy1UpCOOZooUmpz7WOVUMe4yz0xKJ9hsFjknWotRvwIeG+03Njltpjy9LQYE/7hqpb+e0t&#10;mOWXOxanYnFdlMcD8s5kv9nN2tfpuFuBSjSmp/n/+sMJvsDKLzK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PugwgAAANsAAAAPAAAAAAAAAAAAAAAAAJgCAABkcnMvZG93&#10;bnJldi54bWxQSwUGAAAAAAQABAD1AAAAhwMAAAAA&#10;" path="m4248000,2160000v-456000,-30000,-912000,-60000,-1368000,-360000c2424000,1500000,1992000,660000,1512000,360000,1032000,60000,252000,60000,,e" filled="f" strokecolor="#e36c0a" strokeweight="20pt">
              <v:shadow color="#ccc"/>
              <v:path arrowok="t" o:connecttype="custom" o:connectlocs="8280000,1871718;5613559,1559765;2947119,311953;0,0" o:connectangles="0,0,0,0"/>
            </v:shape>
            <v:shape id="Freeform 7" o:spid="_x0000_s1152" style="position:absolute;left:107050152;top:104688723;width:6912000;height:1871718;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4fsQA&#10;AADbAAAADwAAAGRycy9kb3ducmV2LnhtbESPT2sCMRTE74V+h/AK3jTrSv+wGqUUxeqptcXzY/Pc&#10;LN28bJO4rn56UxB6HGbmN8xs0dtGdORD7VjBeJSBIC6drrlS8P21Gr6ACBFZY+OYFJwpwGJ+fzfD&#10;QrsTf1K3i5VIEA4FKjAxtoWUoTRkMYxcS5y8g/MWY5K+ktrjKcFtI/Mse5IWa04LBlt6M1T+7I5W&#10;wXIz+dCXx+3zuju0v8bi3m8wV2rw0L9OQUTq43/41n7XCvIx/H1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uH7EAAAA2wAAAA8AAAAAAAAAAAAAAAAAmAIAAGRycy9k&#10;b3ducmV2LnhtbFBLBQYAAAAABAAEAPUAAACJAwAAAAA=&#10;" path="m1008000,144000l3168000,1512000r936000,360000l5328000,1944000,5328000,,,,1008000,144000xe" filled="f" fillcolor="#f28d2c" strokecolor="#e36c0a">
              <v:shadow color="#ccc"/>
              <v:path arrowok="t" o:connecttype="custom" o:connectlocs="1307676,138646;4109838,1455781;5324108,1802395;6912000,1871718;6912000,0;0,0;1307676,138646" o:connectangles="0,0,0,0,0,0,0"/>
            </v:shape>
            <v:shape id="Freeform 8" o:spid="_x0000_s1153" style="position:absolute;left:105626194;top:104829689;width:8335958;height:199814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I8MA&#10;AADbAAAADwAAAGRycy9kb3ducmV2LnhtbESPwWrDMBBE74X+g9hCb40cH9zgRDYhtKTX2k1Cbou1&#10;lk2slbGUxP37qlDocZiZN8ymnO0gbjT53rGC5SIBQdw43bNR8FW/v6xA+ICscXBMCr7JQ1k8Pmww&#10;1+7On3SrghERwj5HBV0IYy6lbzqy6BduJI5e6yaLIcrJSD3hPcLtINMkyaTFnuNChyPtOmou1dUq&#10;kKe2zfZHZyqzejN9/TryoT0r9fw0b9cgAs3hP/zX/tAK0hR+v8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qI8MAAADbAAAADwAAAAAAAAAAAAAAAACYAgAAZHJzL2Rv&#10;d25yZXYueG1sUEsFBgAAAAAEAAQA9QAAAIgDAAAAAA==&#10;" path="m4248000,2160000v-456000,-30000,-912000,-60000,-1368000,-360000c2424000,1500000,1992000,660000,1512000,360000,1032000,60000,252000,60000,,e" filled="f" strokecolor="#e36c0a" strokeweight="1pt">
              <v:shadow color="#ccc"/>
              <v:path arrowok="t" o:connecttype="custom" o:connectlocs="8335958,1998140;5651497,1665117;2967036,333023;0,0" o:connectangles="0,0,0,0"/>
            </v:shape>
            <v:shape id="Freeform 9" o:spid="_x0000_s1154" style="position:absolute;left:105708410;top:104861339;width:8197784;height:2152137;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PuMMA&#10;AADbAAAADwAAAGRycy9kb3ducmV2LnhtbESPzWrDMBCE74G+g9hAb7GcFFzjRAmhtDTX2P0ht8Va&#10;yybWylhq4rx9VCj0OMzMN8xmN9leXGj0nWMFyyQFQVw73bFR8FG9LXIQPiBr7B2Tght52G0fZhss&#10;tLvykS5lMCJC2BeooA1hKKT0dUsWfeIG4ug1brQYohyN1CNeI9z2cpWmmbTYcVxocaCXlupz+WMV&#10;yO+myd6/nClN/mq66nngz+ak1ON82q9BBJrCf/ivfdAKVk/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MPuMMAAADbAAAADwAAAAAAAAAAAAAAAACYAgAAZHJzL2Rv&#10;d25yZXYueG1sUEsFBgAAAAAEAAQA9QAAAIgDAAAAAA==&#10;" path="m4248000,2160000v-456000,-30000,-912000,-60000,-1368000,-360000c2424000,1500000,1992000,660000,1512000,360000,1032000,60000,252000,60000,,e" filled="f" strokecolor="#e36c0a" strokeweight="1pt">
              <v:shadow color="#ccc"/>
              <v:path arrowok="t" o:connecttype="custom" o:connectlocs="8197784,2152137;5557820,1793448;2917855,358690;0,0" o:connectangles="0,0,0,0"/>
            </v:shape>
            <v:shape id="Freeform 10" o:spid="_x0000_s1155" style="position:absolute;left:105726458;top:104892989;width:8163694;height:2335922;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zMMA&#10;AADbAAAADwAAAGRycy9kb3ducmV2LnhtbESPzWrDMBCE74G+g9hAb7GcUFzjRAmhtDTX2P0ht8Va&#10;yybWylhq4rx9VCj0OMzMN8xmN9leXGj0nWMFyyQFQVw73bFR8FG9LXIQPiBr7B2Tght52G0fZhss&#10;tLvykS5lMCJC2BeooA1hKKT0dUsWfeIG4ug1brQYohyN1CNeI9z2cpWmmbTYcVxocaCXlupz+WMV&#10;yO+myd6/nClN/mq66nngz+ak1ON82q9BBJrCf/ivfdAKVk/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XzMMAAADbAAAADwAAAAAAAAAAAAAAAACYAgAAZHJzL2Rv&#10;d25yZXYueG1sUEsFBgAAAAAEAAQA9QAAAIgDAAAAAA==&#10;" path="m4248000,2160000v-456000,-30000,-912000,-60000,-1368000,-360000c2424000,1500000,1992000,660000,1512000,360000,1032000,60000,252000,60000,,e" filled="f" strokecolor="#e36c0a" strokeweight="1pt">
              <v:shadow color="#ccc"/>
              <v:path arrowok="t" o:connecttype="custom" o:connectlocs="8163694,2335922;5534708,1946602;2905722,389320;0,0" o:connectangles="0,0,0,0"/>
            </v:shape>
            <v:shape id="Freeform 11" o:spid="_x0000_s1156" style="position:absolute;left:105744506;top:104924639;width:8073646;height:248991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yV8MA&#10;AADbAAAADwAAAGRycy9kb3ducmV2LnhtbESPzWrDMBCE74G+g9hAb7GcQF3jRAmhtDTX2P0ht8Va&#10;yybWylhq4rx9VCj0OMzMN8xmN9leXGj0nWMFyyQFQVw73bFR8FG9LXIQPiBr7B2Tght52G0fZhss&#10;tLvykS5lMCJC2BeooA1hKKT0dUsWfeIG4ug1brQYohyN1CNeI9z2cpWmmbTYcVxocaCXlupz+WMV&#10;yO+myd6/nClN/mq66nngz+ak1ON82q9BBJrCf/ivfdAKVk/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YyV8MAAADbAAAADwAAAAAAAAAAAAAAAACYAgAAZHJzL2Rv&#10;d25yZXYueG1sUEsFBgAAAAAEAAQA9QAAAIgDAAAAAA==&#10;" path="m4248000,2160000v-456000,-30000,-912000,-60000,-1368000,-360000c2424000,1500000,1992000,660000,1512000,360000,1032000,60000,252000,60000,,e" filled="f" strokecolor="#e36c0a" strokeweight="1pt">
              <v:shadow color="#ccc"/>
              <v:path arrowok="t" o:connecttype="custom" o:connectlocs="8073646,2489919;5473658,2074933;2873671,414987;0,0" o:connectangles="0,0,0,0"/>
            </v:shape>
            <v:shape id="Freeform 12" o:spid="_x0000_s1157" style="position:absolute;left:105762554;top:104956289;width:8039556;height:265881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Ju8EA&#10;AADbAAAADwAAAGRycy9kb3ducmV2LnhtbESPQYvCMBSE7wv+h/AEb2uqB5VqFBEXvVrdFW+P5jUt&#10;Ni+lyWr990YQPA4z8w2zWHW2FjdqfeVYwWiYgCDOna7YKDgdf75nIHxA1lg7JgUP8rBa9r4WmGp3&#10;5wPdsmBEhLBPUUEZQpNK6fOSLPqha4ijV7jWYoiyNVK3eI9wW8txkkykxYrjQokNbUrKr9m/VSDP&#10;RTHZ/TmTmdnWVMdpw7/FRalBv1vPQQTqwif8bu+1gvEUXl/i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ICbvBAAAA2wAAAA8AAAAAAAAAAAAAAAAAmAIAAGRycy9kb3du&#10;cmV2LnhtbFBLBQYAAAAABAAEAPUAAACGAwAAAAA=&#10;" path="m4248000,2160000v-456000,-30000,-912000,-60000,-1368000,-360000c2424000,1500000,1992000,660000,1512000,360000,1032000,60000,252000,60000,,e" filled="f" strokecolor="#e36c0a" strokeweight="1pt">
              <v:shadow color="#ccc"/>
              <v:path arrowok="t" o:connecttype="custom" o:connectlocs="8039556,2658811;5450546,2215676;2861537,443135;0,0" o:connectangles="0,0,0,0"/>
            </v:shape>
            <v:shape id="Freeform 13" o:spid="_x0000_s1158" style="position:absolute;left:105684350;top:104973046;width:8125592;height:284259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dycAA&#10;AADbAAAADwAAAGRycy9kb3ducmV2LnhtbERPz2uDMBS+D/o/hDfobY3z0IltlDFatut07djtYZ5R&#10;al7EpNb+98thsOPH93tfLnYQM02+d6zgeZOAIG6c7tko+KqPTxkIH5A1Do5JwZ08lMXqYY+5djf+&#10;pLkKRsQQ9jkq6EIYcyl905FFv3EjceRaN1kMEU5G6glvMdwOMk2SrbTYc2zocKS3jppLdbUK5Hfb&#10;bt/PzlQmO5i+fhn51P4otX5cXncgAi3hX/zn/tAK0jg2fok/QB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edycAAAADbAAAADwAAAAAAAAAAAAAAAACYAgAAZHJzL2Rvd25y&#10;ZXYueG1sUEsFBgAAAAAEAAQA9QAAAIUDAAAAAA==&#10;" path="m4248000,2160000v-456000,-30000,-912000,-60000,-1368000,-360000c2424000,1500000,1992000,660000,1512000,360000,1032000,60000,252000,60000,,e" filled="f" strokecolor="#e36c0a" strokeweight="1pt">
              <v:shadow color="#ccc"/>
              <v:path arrowok="t" o:connecttype="custom" o:connectlocs="8125592,2842595;5508876,2368829;2892160,473766;0,0" o:connectangles="0,0,0,0"/>
            </v:shape>
            <v:shape id="Freeform 14" o:spid="_x0000_s1159" style="position:absolute;left:105686356;top:105004696;width:8139628;height:301148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s4UsIA&#10;AADbAAAADwAAAGRycy9kb3ducmV2LnhtbESPT4vCMBTE74LfITzBm6Z68E81ioiLe926q3h7NK9p&#10;sXkpTVa7334jCB6HmfkNs952thZ3an3lWMFknIAgzp2u2Cj4Pn2MFiB8QNZYOyYFf+Rhu+n31phq&#10;9+AvumfBiAhhn6KCMoQmldLnJVn0Y9cQR69wrcUQZWukbvER4baW0ySZSYsVx4USG9qXlN+yX6tA&#10;Xopidjw7k5nFwVSnecM/xVWp4aDbrUAE6sI7/Gp/agXTJTy/x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zhSwgAAANsAAAAPAAAAAAAAAAAAAAAAAJgCAABkcnMvZG93&#10;bnJldi54bWxQSwUGAAAAAAQABAD1AAAAhwMAAAAA&#10;" path="m4248000,2160000v-456000,-30000,-912000,-60000,-1368000,-360000c2424000,1500000,1992000,660000,1512000,360000,1032000,60000,252000,60000,,e" filled="f" strokecolor="#e36c0a" strokeweight="1pt">
              <v:shadow color="#ccc"/>
              <v:path arrowok="t" o:connecttype="custom" o:connectlocs="8139628,3011486;5518392,2509572;2897156,501914;0,0" o:connectangles="0,0,0,0"/>
            </v:shape>
            <v:shape id="Freeform 15" o:spid="_x0000_s1160" style="position:absolute;left:105720446;top:105036346;width:8065622;height:3180377;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06sQA&#10;AADcAAAADwAAAGRycy9kb3ducmV2LnhtbESPT2vCQBTE74LfYXlCb7rRUpXoJkhpaa+N//D2yL5s&#10;gtm3IbvV9Nt3CwWPw8z8htnmg23FjXrfOFYwnyUgiEunGzYKDvv36RqED8gaW8ek4Ic85Nl4tMVU&#10;uzt/0a0IRkQI+xQV1CF0qZS+rMmin7mOOHqV6y2GKHsjdY/3CLetXCTJUlpsOC7U2NFrTeW1+LYK&#10;5Lmqlh8nZwqzfjPNftXxsboo9TQZdhsQgYbwCP+3P7WC55cF/J2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jNOrEAAAA3AAAAA8AAAAAAAAAAAAAAAAAmAIAAGRycy9k&#10;b3ducmV2LnhtbFBLBQYAAAAABAAEAPUAAACJAwAAAAA=&#10;" path="m4248000,2160000v-456000,-30000,-912000,-60000,-1368000,-360000c2424000,1500000,1992000,660000,1512000,360000,1032000,60000,252000,60000,,e" filled="f" strokecolor="#e36c0a" strokeweight="1pt">
              <v:shadow color="#ccc"/>
              <v:path arrowok="t" o:connecttype="custom" o:connectlocs="8065622,3180377;5468218,2650314;2870815,530063;0,0" o:connectangles="0,0,0,0"/>
            </v:shape>
          </v:group>
        </w:pict>
      </w:r>
      <w:r>
        <w:rPr>
          <w:noProof/>
        </w:rPr>
        <w:pict>
          <v:shape id="Text Box 111" o:spid="_x0000_s1149" type="#_x0000_t202" style="position:absolute;margin-left:-197.2pt;margin-top:-63.05pt;width:59.8pt;height:4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" stroked="f">
            <v:textbox>
              <w:txbxContent>
                <w:p w:rsidR="00AD53FD" w:rsidRDefault="00AD53FD"/>
              </w:txbxContent>
            </v:textbox>
          </v:shape>
        </w:pict>
      </w:r>
      <w:r w:rsidR="0079711E">
        <w:t xml:space="preserve">                </w:t>
      </w:r>
    </w:p>
    <w:p w:rsidR="008B7C79" w:rsidRPr="003A2CE4" w:rsidRDefault="00A9710F" w:rsidP="003A2CE4">
      <w:pPr>
        <w:jc w:val="both"/>
      </w:pPr>
      <w:r>
        <w:rPr>
          <w:noProof/>
        </w:rPr>
        <w:pict>
          <v:shape id="Text Box 120" o:spid="_x0000_s1148" type="#_x0000_t202" style="position:absolute;left:0;text-align:left;margin-left:-19.2pt;margin-top:8.1pt;width:331.65pt;height:80.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" filled="f" stroked="f" strokecolor="#e46c0a" strokeweight="1.5pt">
            <v:textbox>
              <w:txbxContent>
                <w:p w:rsidR="00312DB8" w:rsidRPr="000B1D9D" w:rsidRDefault="00312DB8" w:rsidP="00312DB8">
                  <w:pPr>
                    <w:rPr>
                      <w:rFonts w:ascii="Bookman Old Style" w:hAnsi="Bookman Old Style"/>
                      <w:b/>
                      <w:bCs/>
                      <w:color w:val="E36C0A"/>
                      <w:sz w:val="30"/>
                      <w:szCs w:val="30"/>
                    </w:rPr>
                  </w:pPr>
                  <w:r w:rsidRPr="000B1D9D">
                    <w:rPr>
                      <w:rFonts w:ascii="Bookman Old Style" w:hAnsi="Bookman Old Style"/>
                      <w:b/>
                      <w:bCs/>
                      <w:color w:val="943634"/>
                      <w:sz w:val="28"/>
                      <w:szCs w:val="28"/>
                    </w:rPr>
                    <w:t xml:space="preserve">    </w:t>
                  </w:r>
                  <w:r w:rsidRPr="000B1D9D">
                    <w:rPr>
                      <w:rFonts w:ascii="Bookman Old Style" w:hAnsi="Bookman Old Style"/>
                      <w:b/>
                      <w:bCs/>
                      <w:color w:val="943634"/>
                      <w:sz w:val="30"/>
                      <w:szCs w:val="30"/>
                    </w:rPr>
                    <w:t>Enquête trimestrielle</w:t>
                  </w:r>
                  <w:r w:rsidRPr="00C673F9">
                    <w:rPr>
                      <w:rFonts w:ascii="Bookman Old Style" w:hAnsi="Bookman Old Style"/>
                      <w:sz w:val="30"/>
                      <w:szCs w:val="30"/>
                    </w:rPr>
                    <w:t xml:space="preserve"> </w:t>
                  </w:r>
                  <w:r w:rsidRPr="000B1D9D">
                    <w:rPr>
                      <w:rFonts w:ascii="Bookman Old Style" w:hAnsi="Bookman Old Style"/>
                      <w:b/>
                      <w:bCs/>
                      <w:color w:val="943634"/>
                      <w:sz w:val="30"/>
                      <w:szCs w:val="30"/>
                    </w:rPr>
                    <w:t>de</w:t>
                  </w:r>
                  <w:r w:rsidRPr="00C673F9">
                    <w:rPr>
                      <w:rFonts w:ascii="Bookman Old Style" w:hAnsi="Bookman Old Style"/>
                      <w:sz w:val="30"/>
                      <w:szCs w:val="30"/>
                    </w:rPr>
                    <w:t xml:space="preserve"> </w:t>
                  </w:r>
                  <w:r w:rsidRPr="000B1D9D">
                    <w:rPr>
                      <w:rFonts w:ascii="Bookman Old Style" w:hAnsi="Bookman Old Style"/>
                      <w:b/>
                      <w:bCs/>
                      <w:color w:val="E36C0A"/>
                      <w:sz w:val="30"/>
                      <w:szCs w:val="30"/>
                    </w:rPr>
                    <w:t xml:space="preserve">Conjoncture </w:t>
                  </w:r>
                </w:p>
                <w:p w:rsidR="00312DB8" w:rsidRPr="00586E7E" w:rsidRDefault="00312DB8" w:rsidP="00312DB8">
                  <w:pPr>
                    <w:rPr>
                      <w:rFonts w:ascii="Bookman Old Style" w:hAnsi="Bookman Old Style"/>
                      <w:sz w:val="12"/>
                      <w:szCs w:val="12"/>
                    </w:rPr>
                  </w:pPr>
                </w:p>
                <w:p w:rsidR="00312DB8" w:rsidRPr="000B1D9D" w:rsidRDefault="00312DB8" w:rsidP="00FA41B2">
                  <w:pPr>
                    <w:pStyle w:val="Paragraphedeliste"/>
                    <w:numPr>
                      <w:ilvl w:val="0"/>
                      <w:numId w:val="26"/>
                    </w:numPr>
                    <w:rPr>
                      <w:rFonts w:ascii="Bookman Old Style" w:hAnsi="Bookman Old Style"/>
                      <w:b/>
                      <w:bCs/>
                      <w:color w:val="E36C0A"/>
                      <w:sz w:val="28"/>
                      <w:szCs w:val="28"/>
                    </w:rPr>
                  </w:pPr>
                  <w:r w:rsidRPr="000B1D9D">
                    <w:rPr>
                      <w:rFonts w:ascii="Bookman Old Style" w:hAnsi="Bookman Old Style"/>
                      <w:b/>
                      <w:bCs/>
                      <w:color w:val="E36C0A"/>
                      <w:sz w:val="28"/>
                      <w:szCs w:val="28"/>
                    </w:rPr>
                    <w:t xml:space="preserve">Services marchands non financiers </w:t>
                  </w:r>
                </w:p>
                <w:p w:rsidR="00312DB8" w:rsidRPr="000B1D9D" w:rsidRDefault="00312DB8" w:rsidP="00FA41B2">
                  <w:pPr>
                    <w:pStyle w:val="Paragraphedeliste"/>
                    <w:numPr>
                      <w:ilvl w:val="0"/>
                      <w:numId w:val="26"/>
                    </w:numPr>
                    <w:rPr>
                      <w:rFonts w:ascii="Bookman Old Style" w:hAnsi="Bookman Old Style"/>
                      <w:b/>
                      <w:bCs/>
                      <w:color w:val="E36C0A"/>
                      <w:sz w:val="28"/>
                      <w:szCs w:val="28"/>
                    </w:rPr>
                  </w:pPr>
                  <w:r w:rsidRPr="000B1D9D">
                    <w:rPr>
                      <w:rFonts w:ascii="Bookman Old Style" w:hAnsi="Bookman Old Style"/>
                      <w:b/>
                      <w:bCs/>
                      <w:color w:val="E36C0A"/>
                      <w:sz w:val="28"/>
                      <w:szCs w:val="28"/>
                    </w:rPr>
                    <w:t>Commerce de gros</w:t>
                  </w:r>
                </w:p>
              </w:txbxContent>
            </v:textbox>
          </v:shape>
        </w:pict>
      </w:r>
    </w:p>
    <w:p w:rsidR="008B7C79" w:rsidRPr="003A2CE4" w:rsidRDefault="008B7C79" w:rsidP="003A2CE4">
      <w:pPr>
        <w:jc w:val="both"/>
      </w:pPr>
    </w:p>
    <w:p w:rsidR="008B7C79" w:rsidRPr="003A2CE4" w:rsidRDefault="008B7C79" w:rsidP="003A2CE4">
      <w:pPr>
        <w:jc w:val="both"/>
      </w:pPr>
    </w:p>
    <w:p w:rsidR="008B7C79" w:rsidRPr="003A2CE4" w:rsidRDefault="008B7C79" w:rsidP="003A2CE4">
      <w:pPr>
        <w:jc w:val="both"/>
      </w:pPr>
    </w:p>
    <w:p w:rsidR="008B7C79" w:rsidRPr="003A2CE4" w:rsidRDefault="008B7C79" w:rsidP="003A2CE4">
      <w:pPr>
        <w:jc w:val="both"/>
      </w:pPr>
    </w:p>
    <w:p w:rsidR="003A2CE4" w:rsidRDefault="003A2CE4" w:rsidP="003A2CE4">
      <w:pPr>
        <w:spacing w:after="240" w:line="276" w:lineRule="auto"/>
        <w:ind w:right="-168"/>
        <w:jc w:val="both"/>
        <w:rPr>
          <w:rFonts w:eastAsia="Arial Unicode MS"/>
          <w:b/>
          <w:bCs/>
          <w:iCs/>
          <w:color w:val="1F497D"/>
        </w:rPr>
      </w:pPr>
      <w:bookmarkStart w:id="0" w:name="_Ref424139032"/>
    </w:p>
    <w:bookmarkEnd w:id="0"/>
    <w:p w:rsidR="00302E80" w:rsidRDefault="00A9710F" w:rsidP="00006861">
      <w:pPr>
        <w:spacing w:after="240" w:line="276" w:lineRule="auto"/>
        <w:ind w:right="-168"/>
        <w:jc w:val="both"/>
        <w:rPr>
          <w:rFonts w:ascii="Trebuchet MS" w:eastAsia="Arial Unicode MS" w:hAnsi="Trebuchet MS"/>
          <w:b/>
          <w:bCs/>
          <w:color w:val="660033"/>
          <w:sz w:val="32"/>
          <w:szCs w:val="32"/>
        </w:rPr>
      </w:pPr>
      <w:r w:rsidRPr="00A9710F">
        <w:rPr>
          <w:noProof/>
        </w:rPr>
        <w:pict>
          <v:shape id="Text Box 108" o:spid="_x0000_s1147" type="#_x0000_t202" style="position:absolute;left:0;text-align:left;margin-left:350.65pt;margin-top:26.25pt;width:143.1pt;height:2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" stroked="f">
            <v:textbox>
              <w:txbxContent>
                <w:p w:rsidR="00AD53FD" w:rsidRPr="00305B12" w:rsidRDefault="0038590B" w:rsidP="00EF2312">
                  <w:pPr>
                    <w:jc w:val="center"/>
                    <w:rPr>
                      <w:rFonts w:ascii="Trebuchet MS" w:hAnsi="Trebuchet MS"/>
                      <w:b/>
                      <w:bCs/>
                      <w:color w:val="660033"/>
                      <w:sz w:val="28"/>
                      <w:szCs w:val="28"/>
                    </w:rPr>
                  </w:pPr>
                  <w:r>
                    <w:rPr>
                      <w:rFonts w:ascii="Trebuchet MS" w:hAnsi="Trebuchet MS"/>
                      <w:b/>
                      <w:bCs/>
                      <w:color w:val="660033"/>
                      <w:sz w:val="28"/>
                      <w:szCs w:val="28"/>
                    </w:rPr>
                    <w:t>Juin</w:t>
                  </w:r>
                  <w:r w:rsidR="00EF2312">
                    <w:rPr>
                      <w:rFonts w:ascii="Trebuchet MS" w:hAnsi="Trebuchet MS"/>
                      <w:b/>
                      <w:bCs/>
                      <w:color w:val="660033"/>
                      <w:sz w:val="28"/>
                      <w:szCs w:val="28"/>
                    </w:rPr>
                    <w:t xml:space="preserve"> </w:t>
                  </w:r>
                  <w:r w:rsidR="00AD53FD" w:rsidRPr="00305B12">
                    <w:rPr>
                      <w:rFonts w:ascii="Trebuchet MS" w:hAnsi="Trebuchet MS"/>
                      <w:b/>
                      <w:bCs/>
                      <w:color w:val="660033"/>
                      <w:sz w:val="28"/>
                      <w:szCs w:val="28"/>
                    </w:rPr>
                    <w:t>201</w:t>
                  </w:r>
                  <w:r w:rsidR="00EF2312">
                    <w:rPr>
                      <w:rFonts w:ascii="Trebuchet MS" w:hAnsi="Trebuchet MS"/>
                      <w:b/>
                      <w:bCs/>
                      <w:color w:val="660033"/>
                      <w:sz w:val="28"/>
                      <w:szCs w:val="28"/>
                    </w:rPr>
                    <w:t>6</w:t>
                  </w:r>
                </w:p>
              </w:txbxContent>
            </v:textbox>
          </v:shape>
        </w:pict>
      </w:r>
    </w:p>
    <w:p w:rsidR="00302E80" w:rsidRDefault="00A9710F" w:rsidP="00006861">
      <w:pPr>
        <w:spacing w:after="240" w:line="276" w:lineRule="auto"/>
        <w:ind w:right="-168"/>
        <w:jc w:val="both"/>
        <w:rPr>
          <w:rFonts w:ascii="Trebuchet MS" w:eastAsia="Arial Unicode MS" w:hAnsi="Trebuchet MS"/>
          <w:b/>
          <w:bCs/>
          <w:color w:val="660033"/>
          <w:sz w:val="32"/>
          <w:szCs w:val="32"/>
        </w:rPr>
      </w:pPr>
      <w:r w:rsidRPr="00A9710F">
        <w:rPr>
          <w:rFonts w:ascii="Trebuchet MS" w:eastAsia="Arial Unicode MS" w:hAnsi="Trebuchet MS"/>
          <w:b/>
          <w:bCs/>
          <w:noProof/>
          <w:color w:val="660033"/>
          <w:sz w:val="28"/>
          <w:szCs w:val="28"/>
        </w:rPr>
        <w:pict>
          <v:shape id="_x0000_s1166" type="#_x0000_t202" style="position:absolute;left:0;text-align:left;margin-left:13.05pt;margin-top:24.05pt;width:462.15pt;height:128.25pt;z-index:251670528" fillcolor="#fbd4b4">
            <v:textbox style="mso-next-textbox:#_x0000_s1166">
              <w:txbxContent>
                <w:p w:rsidR="000252E3" w:rsidRPr="000252E3" w:rsidRDefault="000252E3" w:rsidP="00B870F1">
                  <w:pPr>
                    <w:spacing w:after="120"/>
                    <w:jc w:val="center"/>
                    <w:rPr>
                      <w:b/>
                      <w:bCs/>
                      <w:color w:val="C00000"/>
                      <w:sz w:val="26"/>
                      <w:szCs w:val="26"/>
                    </w:rPr>
                  </w:pPr>
                  <w:r w:rsidRPr="000252E3">
                    <w:rPr>
                      <w:b/>
                      <w:bCs/>
                      <w:color w:val="C00000"/>
                      <w:sz w:val="26"/>
                      <w:szCs w:val="26"/>
                    </w:rPr>
                    <w:t xml:space="preserve">Note d'information sur les résultats des enquêtes de conjoncture auprès des entreprises relevant des secteurs du commerce de gros et des </w:t>
                  </w:r>
                  <w:r w:rsidR="00B870F1">
                    <w:rPr>
                      <w:b/>
                      <w:bCs/>
                      <w:color w:val="C00000"/>
                      <w:sz w:val="26"/>
                      <w:szCs w:val="26"/>
                    </w:rPr>
                    <w:t>S</w:t>
                  </w:r>
                  <w:r w:rsidRPr="000252E3">
                    <w:rPr>
                      <w:b/>
                      <w:bCs/>
                      <w:color w:val="C00000"/>
                      <w:sz w:val="26"/>
                      <w:szCs w:val="26"/>
                    </w:rPr>
                    <w:t>ervices marchands non financiers</w:t>
                  </w:r>
                </w:p>
                <w:p w:rsidR="000252E3" w:rsidRDefault="000252E3" w:rsidP="00081377">
                  <w:pPr>
                    <w:tabs>
                      <w:tab w:val="left" w:pos="0"/>
                    </w:tabs>
                    <w:suppressAutoHyphens/>
                    <w:spacing w:before="120" w:after="120"/>
                    <w:jc w:val="both"/>
                    <w:rPr>
                      <w:rFonts w:eastAsia="Arial Unicode MS"/>
                      <w:sz w:val="20"/>
                      <w:szCs w:val="20"/>
                    </w:rPr>
                  </w:pPr>
                  <w:r>
                    <w:rPr>
                      <w:rFonts w:eastAsia="Arial Unicode MS"/>
                      <w:sz w:val="20"/>
                      <w:szCs w:val="20"/>
                    </w:rPr>
                    <w:t xml:space="preserve">La présente note </w:t>
                  </w:r>
                  <w:r w:rsidR="00081377" w:rsidRPr="00081377">
                    <w:rPr>
                      <w:rFonts w:eastAsia="Arial Unicode MS"/>
                      <w:sz w:val="20"/>
                      <w:szCs w:val="20"/>
                    </w:rPr>
                    <w:t>relate les principales appréciations</w:t>
                  </w:r>
                  <w:r>
                    <w:rPr>
                      <w:rFonts w:eastAsia="Arial Unicode MS"/>
                      <w:sz w:val="20"/>
                      <w:szCs w:val="20"/>
                    </w:rPr>
                    <w:t xml:space="preserve"> </w:t>
                  </w:r>
                  <w:r w:rsidRPr="007F4BA9">
                    <w:rPr>
                      <w:rFonts w:eastAsia="Arial Unicode MS"/>
                      <w:sz w:val="20"/>
                      <w:szCs w:val="20"/>
                    </w:rPr>
                    <w:t>des chefs d’entreprises, tel</w:t>
                  </w:r>
                  <w:r w:rsidR="00081377">
                    <w:rPr>
                      <w:rFonts w:eastAsia="Arial Unicode MS"/>
                      <w:sz w:val="20"/>
                      <w:szCs w:val="20"/>
                    </w:rPr>
                    <w:t xml:space="preserve"> </w:t>
                  </w:r>
                  <w:r w:rsidRPr="007F4BA9">
                    <w:rPr>
                      <w:rFonts w:eastAsia="Arial Unicode MS"/>
                      <w:sz w:val="20"/>
                      <w:szCs w:val="20"/>
                    </w:rPr>
                    <w:t>qu’</w:t>
                  </w:r>
                  <w:r w:rsidR="00081377">
                    <w:rPr>
                      <w:rFonts w:eastAsia="Arial Unicode MS"/>
                      <w:sz w:val="20"/>
                      <w:szCs w:val="20"/>
                    </w:rPr>
                    <w:t xml:space="preserve">il </w:t>
                  </w:r>
                  <w:r w:rsidRPr="007F4BA9">
                    <w:rPr>
                      <w:rFonts w:eastAsia="Arial Unicode MS"/>
                      <w:sz w:val="20"/>
                      <w:szCs w:val="20"/>
                    </w:rPr>
                    <w:t xml:space="preserve">ressort des enquêtes de conjoncture réalisées par le HCP au titre du </w:t>
                  </w:r>
                  <w:r>
                    <w:rPr>
                      <w:rFonts w:eastAsia="Arial Unicode MS"/>
                      <w:sz w:val="20"/>
                      <w:szCs w:val="20"/>
                    </w:rPr>
                    <w:t xml:space="preserve">2ème </w:t>
                  </w:r>
                  <w:r w:rsidRPr="007F4BA9">
                    <w:rPr>
                      <w:rFonts w:eastAsia="Arial Unicode MS"/>
                      <w:sz w:val="20"/>
                      <w:szCs w:val="20"/>
                    </w:rPr>
                    <w:t>trimestre 201</w:t>
                  </w:r>
                  <w:r>
                    <w:rPr>
                      <w:rFonts w:eastAsia="Arial Unicode MS"/>
                      <w:sz w:val="20"/>
                      <w:szCs w:val="20"/>
                    </w:rPr>
                    <w:t xml:space="preserve">6 </w:t>
                  </w:r>
                  <w:r w:rsidRPr="007F4BA9">
                    <w:rPr>
                      <w:rFonts w:eastAsia="Arial Unicode MS"/>
                      <w:sz w:val="20"/>
                      <w:szCs w:val="20"/>
                    </w:rPr>
                    <w:t>auprès des entreprises opérant dans le</w:t>
                  </w:r>
                  <w:r>
                    <w:rPr>
                      <w:rFonts w:eastAsia="Arial Unicode MS"/>
                      <w:sz w:val="20"/>
                      <w:szCs w:val="20"/>
                    </w:rPr>
                    <w:t xml:space="preserve">s secteurs du commerce de gros et des services marchands non financiers </w:t>
                  </w:r>
                  <w:r w:rsidRPr="007F4BA9">
                    <w:rPr>
                      <w:rFonts w:eastAsia="Arial Unicode MS"/>
                      <w:sz w:val="20"/>
                      <w:szCs w:val="20"/>
                    </w:rPr>
                    <w:t xml:space="preserve">. </w:t>
                  </w:r>
                </w:p>
                <w:p w:rsidR="000252E3" w:rsidRDefault="00081377" w:rsidP="00081377">
                  <w:pPr>
                    <w:tabs>
                      <w:tab w:val="left" w:pos="0"/>
                    </w:tabs>
                    <w:suppressAutoHyphens/>
                    <w:spacing w:before="120" w:after="120"/>
                    <w:jc w:val="both"/>
                    <w:rPr>
                      <w:rFonts w:eastAsia="Arial Unicode MS"/>
                      <w:sz w:val="20"/>
                      <w:szCs w:val="20"/>
                    </w:rPr>
                  </w:pPr>
                  <w:r w:rsidRPr="00081377">
                    <w:rPr>
                      <w:rFonts w:eastAsia="Arial Unicode MS"/>
                      <w:sz w:val="20"/>
                      <w:szCs w:val="20"/>
                    </w:rPr>
                    <w:t>Ces appréciations portent</w:t>
                  </w:r>
                  <w:r w:rsidRPr="007F4BA9">
                    <w:rPr>
                      <w:rFonts w:eastAsia="Arial Unicode MS"/>
                      <w:sz w:val="20"/>
                      <w:szCs w:val="20"/>
                    </w:rPr>
                    <w:t xml:space="preserve"> </w:t>
                  </w:r>
                  <w:r w:rsidR="000252E3" w:rsidRPr="007F4BA9">
                    <w:rPr>
                      <w:rFonts w:eastAsia="Arial Unicode MS"/>
                      <w:sz w:val="20"/>
                      <w:szCs w:val="20"/>
                    </w:rPr>
                    <w:t xml:space="preserve">sur l’évolution de l’activité au cours du </w:t>
                  </w:r>
                  <w:r w:rsidR="000252E3">
                    <w:rPr>
                      <w:rFonts w:eastAsia="Arial Unicode MS"/>
                      <w:sz w:val="20"/>
                      <w:szCs w:val="20"/>
                    </w:rPr>
                    <w:t xml:space="preserve">1er </w:t>
                  </w:r>
                  <w:r w:rsidR="000252E3" w:rsidRPr="007F4BA9">
                    <w:rPr>
                      <w:rFonts w:eastAsia="Arial Unicode MS"/>
                      <w:sz w:val="20"/>
                      <w:szCs w:val="20"/>
                    </w:rPr>
                    <w:t xml:space="preserve">trimestre </w:t>
                  </w:r>
                  <w:r w:rsidR="000252E3">
                    <w:rPr>
                      <w:rFonts w:eastAsia="Arial Unicode MS"/>
                      <w:sz w:val="20"/>
                      <w:szCs w:val="20"/>
                    </w:rPr>
                    <w:t xml:space="preserve">2016 </w:t>
                  </w:r>
                  <w:r w:rsidR="000252E3" w:rsidRPr="007F4BA9">
                    <w:rPr>
                      <w:rFonts w:eastAsia="Arial Unicode MS"/>
                      <w:sz w:val="20"/>
                      <w:szCs w:val="20"/>
                    </w:rPr>
                    <w:t xml:space="preserve">et les pronostics pour le </w:t>
                  </w:r>
                  <w:r w:rsidR="000252E3">
                    <w:rPr>
                      <w:rFonts w:eastAsia="Arial Unicode MS"/>
                      <w:sz w:val="20"/>
                      <w:szCs w:val="20"/>
                    </w:rPr>
                    <w:t xml:space="preserve">2ème </w:t>
                  </w:r>
                  <w:r w:rsidR="000252E3" w:rsidRPr="007F4BA9">
                    <w:rPr>
                      <w:rFonts w:eastAsia="Arial Unicode MS"/>
                      <w:sz w:val="20"/>
                      <w:szCs w:val="20"/>
                    </w:rPr>
                    <w:t>trimestre 201</w:t>
                  </w:r>
                  <w:r w:rsidR="000252E3">
                    <w:rPr>
                      <w:rFonts w:eastAsia="Arial Unicode MS"/>
                      <w:sz w:val="20"/>
                      <w:szCs w:val="20"/>
                    </w:rPr>
                    <w:t>6</w:t>
                  </w:r>
                  <w:r w:rsidR="000252E3" w:rsidRPr="007F4BA9">
                    <w:rPr>
                      <w:rFonts w:eastAsia="Arial Unicode MS"/>
                      <w:sz w:val="20"/>
                      <w:szCs w:val="20"/>
                    </w:rPr>
                    <w:t>.</w:t>
                  </w:r>
                  <w:r w:rsidR="000252E3">
                    <w:rPr>
                      <w:rFonts w:eastAsia="Arial Unicode MS"/>
                      <w:sz w:val="20"/>
                      <w:szCs w:val="20"/>
                    </w:rPr>
                    <w:t xml:space="preserve"> </w:t>
                  </w:r>
                </w:p>
              </w:txbxContent>
            </v:textbox>
          </v:shape>
        </w:pict>
      </w:r>
      <w:r w:rsidRPr="00A9710F">
        <w:rPr>
          <w:noProof/>
        </w:rPr>
        <w:pict>
          <v:shapetype id="_x0000_t32" coordsize="21600,21600" o:spt="32" o:oned="t" path="m,l21600,21600e" filled="f">
            <v:path arrowok="t" fillok="f" o:connecttype="none"/>
            <o:lock v:ext="edit" shapetype="t"/>
          </v:shapetype>
          <v:shape id="AutoShape 350" o:spid="_x0000_s1146" type="#_x0000_t32" style="position:absolute;left:0;text-align:left;margin-left:13.05pt;margin-top:15.35pt;width:497.7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" strokecolor="#e36c0a"/>
        </w:pict>
      </w:r>
      <w:r w:rsidR="00BE79F4">
        <w:rPr>
          <w:rFonts w:ascii="Trebuchet MS" w:eastAsia="Arial Unicode MS" w:hAnsi="Trebuchet MS"/>
          <w:b/>
          <w:bCs/>
          <w:color w:val="660033"/>
          <w:sz w:val="32"/>
          <w:szCs w:val="32"/>
        </w:rPr>
        <w:t xml:space="preserve">       </w:t>
      </w:r>
    </w:p>
    <w:p w:rsidR="00506785" w:rsidRPr="00506785" w:rsidRDefault="00506785" w:rsidP="00506785">
      <w:pPr>
        <w:spacing w:after="240"/>
        <w:ind w:left="360" w:right="-168"/>
        <w:jc w:val="both"/>
        <w:rPr>
          <w:rFonts w:ascii="Trebuchet MS" w:eastAsia="Arial Unicode MS" w:hAnsi="Trebuchet MS"/>
          <w:b/>
          <w:bCs/>
          <w:color w:val="660033"/>
          <w:sz w:val="28"/>
          <w:szCs w:val="28"/>
        </w:rPr>
      </w:pPr>
    </w:p>
    <w:p w:rsidR="00506785" w:rsidRPr="00506785" w:rsidRDefault="00506785" w:rsidP="00506785">
      <w:pPr>
        <w:spacing w:after="240"/>
        <w:ind w:left="360" w:right="-168"/>
        <w:jc w:val="both"/>
        <w:rPr>
          <w:rFonts w:ascii="Trebuchet MS" w:eastAsia="Arial Unicode MS" w:hAnsi="Trebuchet MS"/>
          <w:b/>
          <w:bCs/>
          <w:color w:val="660033"/>
          <w:sz w:val="28"/>
          <w:szCs w:val="28"/>
        </w:rPr>
      </w:pPr>
    </w:p>
    <w:p w:rsidR="00506785" w:rsidRPr="00506785" w:rsidRDefault="00506785" w:rsidP="00506785">
      <w:pPr>
        <w:spacing w:after="240"/>
        <w:ind w:left="360" w:right="-168"/>
        <w:jc w:val="both"/>
        <w:rPr>
          <w:rFonts w:ascii="Trebuchet MS" w:eastAsia="Arial Unicode MS" w:hAnsi="Trebuchet MS"/>
          <w:b/>
          <w:bCs/>
          <w:color w:val="660033"/>
          <w:sz w:val="28"/>
          <w:szCs w:val="28"/>
        </w:rPr>
      </w:pPr>
    </w:p>
    <w:p w:rsidR="00506785" w:rsidRPr="00506785" w:rsidRDefault="00506785" w:rsidP="00506785">
      <w:pPr>
        <w:spacing w:after="240"/>
        <w:ind w:left="360" w:right="-168"/>
        <w:jc w:val="both"/>
        <w:rPr>
          <w:rFonts w:ascii="Trebuchet MS" w:eastAsia="Arial Unicode MS" w:hAnsi="Trebuchet MS"/>
          <w:b/>
          <w:bCs/>
          <w:color w:val="660033"/>
          <w:sz w:val="28"/>
          <w:szCs w:val="28"/>
        </w:rPr>
      </w:pPr>
    </w:p>
    <w:p w:rsidR="005D3D8B" w:rsidRDefault="005D3D8B" w:rsidP="005D3D8B">
      <w:pPr>
        <w:pStyle w:val="Paragraphedeliste"/>
        <w:spacing w:after="240"/>
        <w:ind w:right="-168"/>
        <w:jc w:val="both"/>
        <w:rPr>
          <w:rFonts w:ascii="Trebuchet MS" w:eastAsia="Arial Unicode MS" w:hAnsi="Trebuchet MS"/>
          <w:b/>
          <w:bCs/>
          <w:color w:val="660033"/>
          <w:sz w:val="26"/>
          <w:szCs w:val="26"/>
        </w:rPr>
      </w:pPr>
    </w:p>
    <w:p w:rsidR="007F6E9E" w:rsidRPr="00A05D54" w:rsidRDefault="007F6E9E" w:rsidP="00081377">
      <w:pPr>
        <w:pStyle w:val="Paragraphedeliste"/>
        <w:numPr>
          <w:ilvl w:val="0"/>
          <w:numId w:val="20"/>
        </w:numPr>
        <w:spacing w:after="240"/>
        <w:ind w:right="-168"/>
        <w:jc w:val="both"/>
        <w:rPr>
          <w:rFonts w:ascii="Trebuchet MS" w:eastAsia="Arial Unicode MS" w:hAnsi="Trebuchet MS"/>
          <w:b/>
          <w:bCs/>
          <w:color w:val="660033"/>
          <w:sz w:val="26"/>
          <w:szCs w:val="26"/>
        </w:rPr>
      </w:pPr>
      <w:r w:rsidRPr="00A05D54">
        <w:rPr>
          <w:rFonts w:ascii="Trebuchet MS" w:eastAsia="Arial Unicode MS" w:hAnsi="Trebuchet MS"/>
          <w:b/>
          <w:bCs/>
          <w:color w:val="660033"/>
          <w:sz w:val="26"/>
          <w:szCs w:val="26"/>
        </w:rPr>
        <w:t xml:space="preserve">Appréciations des chefs d’entreprises pour le </w:t>
      </w:r>
      <w:r w:rsidR="00081377">
        <w:rPr>
          <w:rFonts w:ascii="Trebuchet MS" w:eastAsia="Arial Unicode MS" w:hAnsi="Trebuchet MS"/>
          <w:b/>
          <w:bCs/>
          <w:color w:val="660033"/>
          <w:sz w:val="26"/>
          <w:szCs w:val="26"/>
        </w:rPr>
        <w:t xml:space="preserve">premier </w:t>
      </w:r>
      <w:r w:rsidRPr="00A05D54">
        <w:rPr>
          <w:rFonts w:ascii="Trebuchet MS" w:eastAsia="Arial Unicode MS" w:hAnsi="Trebuchet MS"/>
          <w:b/>
          <w:bCs/>
          <w:color w:val="660033"/>
          <w:sz w:val="26"/>
          <w:szCs w:val="26"/>
        </w:rPr>
        <w:t>trimestre 2016</w:t>
      </w:r>
    </w:p>
    <w:p w:rsidR="00711A4F" w:rsidRPr="007F6E9E" w:rsidRDefault="00A9710F" w:rsidP="005B3B22">
      <w:pPr>
        <w:rPr>
          <w:rFonts w:ascii="Trebuchet MS" w:eastAsia="Arial Unicode MS" w:hAnsi="Trebuchet MS"/>
          <w:b/>
          <w:bCs/>
          <w:color w:val="660033"/>
          <w:sz w:val="10"/>
          <w:szCs w:val="10"/>
        </w:rPr>
      </w:pPr>
      <w:r w:rsidRPr="00A9710F">
        <w:rPr>
          <w:noProof/>
          <w:sz w:val="6"/>
          <w:szCs w:val="6"/>
        </w:rPr>
        <w:pict>
          <v:shape id="_x0000_s1141" type="#_x0000_t202" style="position:absolute;margin-left:-197.2pt;margin-top:-63.05pt;width:59.8pt;height: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" stroked="f">
            <v:textbox style="mso-next-textbox:#_x0000_s1141">
              <w:txbxContent>
                <w:p w:rsidR="00711A4F" w:rsidRDefault="00711A4F"/>
              </w:txbxContent>
            </v:textbox>
          </v:shape>
        </w:pict>
      </w:r>
    </w:p>
    <w:p w:rsidR="00711A4F" w:rsidRPr="00A05D54" w:rsidRDefault="00711A4F" w:rsidP="004E5E98">
      <w:pPr>
        <w:pStyle w:val="Paragraphedeliste"/>
        <w:numPr>
          <w:ilvl w:val="1"/>
          <w:numId w:val="23"/>
        </w:numPr>
        <w:spacing w:after="120"/>
        <w:jc w:val="both"/>
        <w:rPr>
          <w:rFonts w:ascii="Trebuchet MS" w:eastAsia="Arial Unicode MS" w:hAnsi="Trebuchet MS"/>
          <w:b/>
          <w:bCs/>
          <w:color w:val="660033"/>
          <w:sz w:val="26"/>
          <w:szCs w:val="26"/>
        </w:rPr>
      </w:pPr>
      <w:r w:rsidRPr="00A05D54">
        <w:rPr>
          <w:rFonts w:ascii="Trebuchet MS" w:eastAsia="Arial Unicode MS" w:hAnsi="Trebuchet MS"/>
          <w:b/>
          <w:bCs/>
          <w:color w:val="660033"/>
          <w:sz w:val="26"/>
          <w:szCs w:val="26"/>
        </w:rPr>
        <w:t>Secteur des Services marchands non financiers</w:t>
      </w:r>
    </w:p>
    <w:p w:rsidR="00711A4F" w:rsidRPr="00711A4F" w:rsidRDefault="00711A4F" w:rsidP="00711A4F">
      <w:pPr>
        <w:spacing w:before="120" w:after="120" w:line="276" w:lineRule="auto"/>
        <w:jc w:val="both"/>
        <w:rPr>
          <w:rFonts w:eastAsia="Arial Unicode MS"/>
          <w:sz w:val="14"/>
          <w:szCs w:val="14"/>
        </w:rPr>
        <w:sectPr w:rsidR="00711A4F" w:rsidRPr="00711A4F" w:rsidSect="005B3B22">
          <w:footerReference w:type="default" r:id="rId9"/>
          <w:footerReference w:type="first" r:id="rId10"/>
          <w:type w:val="continuous"/>
          <w:pgSz w:w="11906" w:h="16838"/>
          <w:pgMar w:top="1258" w:right="1417" w:bottom="1258" w:left="1417" w:header="708" w:footer="275" w:gutter="0"/>
          <w:pgNumType w:start="1"/>
          <w:cols w:space="708"/>
          <w:titlePg/>
          <w:docGrid w:linePitch="360"/>
        </w:sectPr>
      </w:pPr>
    </w:p>
    <w:p w:rsidR="00081377" w:rsidRPr="000B1D9D" w:rsidRDefault="00EE654F" w:rsidP="00B870F1">
      <w:pPr>
        <w:spacing w:line="276" w:lineRule="auto"/>
        <w:jc w:val="both"/>
      </w:pPr>
      <w:r>
        <w:rPr>
          <w:noProof/>
        </w:rPr>
        <w:lastRenderedPageBreak/>
        <w:drawing>
          <wp:anchor distT="0" distB="0" distL="114300" distR="114300" simplePos="0" relativeHeight="251660288" behindDoc="0" locked="0" layoutInCell="1" allowOverlap="1">
            <wp:simplePos x="0" y="0"/>
            <wp:positionH relativeFrom="margin">
              <wp:posOffset>3234055</wp:posOffset>
            </wp:positionH>
            <wp:positionV relativeFrom="margin">
              <wp:posOffset>4754245</wp:posOffset>
            </wp:positionV>
            <wp:extent cx="2762250" cy="3000375"/>
            <wp:effectExtent l="0" t="0" r="0" b="0"/>
            <wp:wrapSquare wrapText="bothSides"/>
            <wp:docPr id="116" name="Graphique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E5AD3" w:rsidRPr="000B1D9D">
        <w:t xml:space="preserve"> </w:t>
      </w:r>
      <w:r w:rsidR="00081377" w:rsidRPr="000B1D9D">
        <w:t xml:space="preserve">Au </w:t>
      </w:r>
      <w:r w:rsidR="00081377" w:rsidRPr="00081377">
        <w:t>premier</w:t>
      </w:r>
      <w:r w:rsidR="00081377" w:rsidRPr="000B1D9D">
        <w:t xml:space="preserve"> trimestre 2016, l’activité du secteur des </w:t>
      </w:r>
      <w:r w:rsidR="00B870F1">
        <w:rPr>
          <w:rFonts w:eastAsia="Arial Unicode MS"/>
          <w:b/>
          <w:bCs/>
          <w:color w:val="660033"/>
        </w:rPr>
        <w:t>S</w:t>
      </w:r>
      <w:r w:rsidR="00081377" w:rsidRPr="00B870F1">
        <w:rPr>
          <w:rFonts w:eastAsia="Arial Unicode MS"/>
          <w:b/>
          <w:bCs/>
          <w:color w:val="660033"/>
        </w:rPr>
        <w:t>ervices marchands non financiers</w:t>
      </w:r>
      <w:r w:rsidR="00081377" w:rsidRPr="000B1D9D">
        <w:rPr>
          <w:b/>
          <w:bCs/>
        </w:rPr>
        <w:t xml:space="preserve"> </w:t>
      </w:r>
      <w:r w:rsidR="00081377" w:rsidRPr="000B1D9D">
        <w:t xml:space="preserve">aurait </w:t>
      </w:r>
      <w:r w:rsidR="00081377">
        <w:t xml:space="preserve">affiché, </w:t>
      </w:r>
      <w:r w:rsidR="00081377" w:rsidRPr="000B1D9D">
        <w:t>selon plus de la moitié des patrons</w:t>
      </w:r>
      <w:r w:rsidR="00081377">
        <w:t>, u</w:t>
      </w:r>
      <w:r w:rsidR="00081377" w:rsidRPr="000B1D9D">
        <w:t xml:space="preserve">ne </w:t>
      </w:r>
      <w:r w:rsidR="00081377">
        <w:t xml:space="preserve">hausse et, </w:t>
      </w:r>
      <w:r w:rsidR="00081377">
        <w:rPr>
          <w:rFonts w:eastAsia="Arial Unicode MS"/>
          <w:sz w:val="22"/>
          <w:szCs w:val="22"/>
        </w:rPr>
        <w:t xml:space="preserve">plutôt, </w:t>
      </w:r>
      <w:r w:rsidR="00081377" w:rsidRPr="00FF24EF">
        <w:rPr>
          <w:rFonts w:eastAsia="Arial Unicode MS"/>
          <w:sz w:val="22"/>
          <w:szCs w:val="22"/>
        </w:rPr>
        <w:t>une baisse</w:t>
      </w:r>
      <w:r w:rsidR="00081377">
        <w:rPr>
          <w:rFonts w:eastAsia="Arial Unicode MS"/>
          <w:sz w:val="22"/>
          <w:szCs w:val="22"/>
        </w:rPr>
        <w:t xml:space="preserve"> </w:t>
      </w:r>
      <w:r w:rsidR="00081377" w:rsidRPr="000B1D9D">
        <w:t xml:space="preserve">selon 18%. </w:t>
      </w:r>
    </w:p>
    <w:p w:rsidR="00081377" w:rsidRPr="00081377" w:rsidRDefault="00081377" w:rsidP="00081377">
      <w:pPr>
        <w:spacing w:line="276" w:lineRule="auto"/>
        <w:jc w:val="both"/>
        <w:rPr>
          <w:sz w:val="10"/>
          <w:szCs w:val="10"/>
        </w:rPr>
      </w:pPr>
    </w:p>
    <w:p w:rsidR="00081377" w:rsidRPr="000B1D9D" w:rsidRDefault="00081377" w:rsidP="00081377">
      <w:pPr>
        <w:spacing w:line="276" w:lineRule="auto"/>
        <w:jc w:val="both"/>
      </w:pPr>
      <w:r w:rsidRPr="000B1D9D">
        <w:t xml:space="preserve">Cette </w:t>
      </w:r>
      <w:r>
        <w:t xml:space="preserve">nette </w:t>
      </w:r>
      <w:r w:rsidRPr="000B1D9D">
        <w:t xml:space="preserve">amélioration aurait résulté de la hausse </w:t>
      </w:r>
      <w:r>
        <w:t xml:space="preserve">d'activité </w:t>
      </w:r>
      <w:r w:rsidRPr="000B1D9D">
        <w:t xml:space="preserve">enregistrée au niveau des branches de « Télécommunications » et </w:t>
      </w:r>
      <w:r w:rsidRPr="00081377">
        <w:t>des</w:t>
      </w:r>
      <w:r w:rsidRPr="000B1D9D">
        <w:t xml:space="preserve"> « Transports aériens »</w:t>
      </w:r>
      <w:r>
        <w:t xml:space="preserve">, </w:t>
      </w:r>
      <w:r w:rsidRPr="000B1D9D">
        <w:t xml:space="preserve">alors que la baisse </w:t>
      </w:r>
      <w:r w:rsidRPr="00081377">
        <w:t>aurait été principalement enregistrée au niveau</w:t>
      </w:r>
      <w:r w:rsidRPr="000B1D9D">
        <w:t xml:space="preserve"> </w:t>
      </w:r>
      <w:r>
        <w:t>de l'</w:t>
      </w:r>
      <w:r w:rsidRPr="000B1D9D">
        <w:t xml:space="preserve">« Hébergement ».  </w:t>
      </w:r>
    </w:p>
    <w:p w:rsidR="00356D34" w:rsidRPr="007F6E9E" w:rsidRDefault="00356D34" w:rsidP="00081377">
      <w:pPr>
        <w:spacing w:line="276" w:lineRule="auto"/>
        <w:jc w:val="both"/>
        <w:rPr>
          <w:sz w:val="10"/>
          <w:szCs w:val="10"/>
        </w:rPr>
      </w:pPr>
    </w:p>
    <w:p w:rsidR="007E5AD3" w:rsidRPr="000B1D9D" w:rsidRDefault="007E5AD3" w:rsidP="00B870F1">
      <w:pPr>
        <w:spacing w:line="276" w:lineRule="auto"/>
        <w:jc w:val="both"/>
      </w:pPr>
      <w:r w:rsidRPr="000B1D9D">
        <w:t xml:space="preserve">L’amélioration de l’activité globale des </w:t>
      </w:r>
      <w:r w:rsidR="00B870F1">
        <w:rPr>
          <w:rFonts w:eastAsia="Arial Unicode MS"/>
          <w:b/>
          <w:bCs/>
          <w:color w:val="660033"/>
        </w:rPr>
        <w:t>S</w:t>
      </w:r>
      <w:r w:rsidRPr="00B870F1">
        <w:rPr>
          <w:rFonts w:eastAsia="Arial Unicode MS"/>
          <w:b/>
          <w:bCs/>
          <w:color w:val="660033"/>
        </w:rPr>
        <w:t>ervices marchands non financiers</w:t>
      </w:r>
      <w:r w:rsidRPr="000B1D9D">
        <w:rPr>
          <w:b/>
          <w:bCs/>
        </w:rPr>
        <w:t xml:space="preserve"> </w:t>
      </w:r>
      <w:r w:rsidRPr="000B1D9D">
        <w:t>serait</w:t>
      </w:r>
      <w:r w:rsidRPr="000B1D9D">
        <w:rPr>
          <w:b/>
          <w:bCs/>
        </w:rPr>
        <w:t xml:space="preserve"> </w:t>
      </w:r>
      <w:r w:rsidRPr="000B1D9D">
        <w:t>accompagnée</w:t>
      </w:r>
      <w:r w:rsidR="008661AF">
        <w:t xml:space="preserve">, </w:t>
      </w:r>
      <w:r w:rsidR="00F836F1">
        <w:t>également</w:t>
      </w:r>
      <w:r w:rsidR="008661AF">
        <w:t xml:space="preserve">, </w:t>
      </w:r>
      <w:r w:rsidRPr="000B1D9D">
        <w:t xml:space="preserve">par une légère progression des prestations à l’étranger. </w:t>
      </w:r>
    </w:p>
    <w:p w:rsidR="00356D34" w:rsidRPr="007F6E9E" w:rsidRDefault="00356D34" w:rsidP="007E5AD3">
      <w:pPr>
        <w:spacing w:line="276" w:lineRule="auto"/>
        <w:jc w:val="both"/>
        <w:rPr>
          <w:sz w:val="8"/>
          <w:szCs w:val="8"/>
        </w:rPr>
      </w:pPr>
    </w:p>
    <w:p w:rsidR="007E5AD3" w:rsidRPr="000B1D9D" w:rsidRDefault="007E5AD3" w:rsidP="007E5AD3">
      <w:pPr>
        <w:spacing w:line="276" w:lineRule="auto"/>
        <w:jc w:val="both"/>
      </w:pPr>
      <w:r w:rsidRPr="000B1D9D">
        <w:t xml:space="preserve">Les carnets de commande du secteur ont été, jugés d’un niveau normal par 81% des patrons et inférieur à la normale par 14%. </w:t>
      </w:r>
    </w:p>
    <w:p w:rsidR="002770BB" w:rsidRPr="007F6E9E" w:rsidRDefault="002770BB" w:rsidP="007E5AD3">
      <w:pPr>
        <w:spacing w:line="276" w:lineRule="auto"/>
        <w:jc w:val="both"/>
        <w:rPr>
          <w:sz w:val="14"/>
          <w:szCs w:val="14"/>
        </w:rPr>
      </w:pPr>
    </w:p>
    <w:p w:rsidR="007E5AD3" w:rsidRDefault="007E5AD3" w:rsidP="007E5AD3">
      <w:pPr>
        <w:spacing w:line="276" w:lineRule="auto"/>
        <w:jc w:val="both"/>
      </w:pPr>
      <w:r w:rsidRPr="000B1D9D">
        <w:t>S’agissant de l’emploi, la majorité des chefs d’entreprises auraient déclaré une stagnation des effectifs.  Dans ces conditions, le taux d’utilisation de la capacité des prestations (TUC) aurait accusé une diminution, en passant de 83% au 4</w:t>
      </w:r>
      <w:r w:rsidRPr="000B1D9D">
        <w:rPr>
          <w:vertAlign w:val="superscript"/>
        </w:rPr>
        <w:t>ème</w:t>
      </w:r>
      <w:r w:rsidRPr="000B1D9D">
        <w:t xml:space="preserve"> trimestre 2015 à 81% au 1</w:t>
      </w:r>
      <w:r w:rsidRPr="000B1D9D">
        <w:rPr>
          <w:vertAlign w:val="superscript"/>
        </w:rPr>
        <w:t>er</w:t>
      </w:r>
      <w:r w:rsidRPr="000B1D9D">
        <w:t xml:space="preserve"> trimestre 2016.</w:t>
      </w:r>
    </w:p>
    <w:p w:rsidR="00CF7036" w:rsidRPr="007F6E9E" w:rsidRDefault="00CF7036" w:rsidP="007E5AD3">
      <w:pPr>
        <w:spacing w:line="276" w:lineRule="auto"/>
        <w:jc w:val="both"/>
        <w:rPr>
          <w:sz w:val="20"/>
          <w:szCs w:val="20"/>
        </w:rPr>
      </w:pPr>
    </w:p>
    <w:p w:rsidR="00CF7036" w:rsidRDefault="00CF7036" w:rsidP="007E5AD3">
      <w:pPr>
        <w:spacing w:line="276" w:lineRule="auto"/>
        <w:jc w:val="both"/>
        <w:rPr>
          <w:sz w:val="20"/>
          <w:szCs w:val="20"/>
        </w:rPr>
      </w:pPr>
    </w:p>
    <w:p w:rsidR="00081377" w:rsidRDefault="00081377" w:rsidP="007E5AD3">
      <w:pPr>
        <w:spacing w:line="276" w:lineRule="auto"/>
        <w:jc w:val="both"/>
        <w:rPr>
          <w:sz w:val="20"/>
          <w:szCs w:val="20"/>
        </w:rPr>
      </w:pPr>
    </w:p>
    <w:p w:rsidR="00711A4F" w:rsidRPr="00A05D54" w:rsidRDefault="00B870F1" w:rsidP="004E5E98">
      <w:pPr>
        <w:pStyle w:val="Paragraphedeliste"/>
        <w:numPr>
          <w:ilvl w:val="1"/>
          <w:numId w:val="23"/>
        </w:numPr>
        <w:spacing w:after="120"/>
        <w:jc w:val="both"/>
        <w:rPr>
          <w:rFonts w:ascii="Trebuchet MS" w:eastAsia="Arial Unicode MS" w:hAnsi="Trebuchet MS"/>
          <w:b/>
          <w:bCs/>
          <w:color w:val="660033"/>
          <w:sz w:val="26"/>
          <w:szCs w:val="26"/>
        </w:rPr>
      </w:pPr>
      <w:r>
        <w:rPr>
          <w:rFonts w:ascii="Trebuchet MS" w:eastAsia="Arial Unicode MS" w:hAnsi="Trebuchet MS"/>
          <w:b/>
          <w:bCs/>
          <w:noProof/>
          <w:color w:val="660033"/>
          <w:sz w:val="26"/>
          <w:szCs w:val="26"/>
          <w:lang w:eastAsia="fr-FR"/>
        </w:rPr>
        <w:drawing>
          <wp:anchor distT="0" distB="0" distL="114300" distR="114300" simplePos="0" relativeHeight="251661312" behindDoc="0" locked="0" layoutInCell="1" allowOverlap="1">
            <wp:simplePos x="0" y="0"/>
            <wp:positionH relativeFrom="margin">
              <wp:posOffset>2881630</wp:posOffset>
            </wp:positionH>
            <wp:positionV relativeFrom="margin">
              <wp:posOffset>782320</wp:posOffset>
            </wp:positionV>
            <wp:extent cx="3495675" cy="2886075"/>
            <wp:effectExtent l="0" t="0" r="0" b="0"/>
            <wp:wrapSquare wrapText="bothSides"/>
            <wp:docPr id="115" name="Graphiqu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11A4F" w:rsidRPr="00A05D54">
        <w:rPr>
          <w:rFonts w:ascii="Trebuchet MS" w:eastAsia="Arial Unicode MS" w:hAnsi="Trebuchet MS"/>
          <w:b/>
          <w:bCs/>
          <w:color w:val="660033"/>
          <w:sz w:val="26"/>
          <w:szCs w:val="26"/>
        </w:rPr>
        <w:t>Secteur du Commerce de gros</w:t>
      </w:r>
    </w:p>
    <w:p w:rsidR="0001021C" w:rsidRPr="008661AF" w:rsidRDefault="002612E0" w:rsidP="00081377">
      <w:pPr>
        <w:spacing w:after="120"/>
        <w:jc w:val="both"/>
        <w:rPr>
          <w:rFonts w:eastAsia="Arial Unicode MS"/>
        </w:rPr>
      </w:pPr>
      <w:r w:rsidRPr="008661AF">
        <w:t xml:space="preserve">Les résultats de l’enquête font ressortir que </w:t>
      </w:r>
      <w:r w:rsidRPr="008661AF">
        <w:rPr>
          <w:rFonts w:eastAsia="Arial Unicode MS"/>
        </w:rPr>
        <w:t>l</w:t>
      </w:r>
      <w:r w:rsidR="0001021C" w:rsidRPr="008661AF">
        <w:rPr>
          <w:rFonts w:eastAsia="Arial Unicode MS"/>
        </w:rPr>
        <w:t>es ventes</w:t>
      </w:r>
      <w:r w:rsidR="0001021C" w:rsidRPr="008661AF">
        <w:rPr>
          <w:rFonts w:eastAsia="Arial Unicode MS"/>
          <w:b/>
          <w:bCs/>
          <w:color w:val="660033"/>
        </w:rPr>
        <w:t xml:space="preserve"> </w:t>
      </w:r>
      <w:r w:rsidR="0001021C" w:rsidRPr="008661AF">
        <w:rPr>
          <w:rFonts w:eastAsia="Arial Unicode MS"/>
        </w:rPr>
        <w:t>sur le marché local</w:t>
      </w:r>
      <w:r w:rsidR="0001021C" w:rsidRPr="008661AF">
        <w:rPr>
          <w:rFonts w:eastAsia="Arial Unicode MS"/>
          <w:b/>
          <w:bCs/>
          <w:color w:val="660033"/>
        </w:rPr>
        <w:t xml:space="preserve">, dans le secteur du Commerce de gros </w:t>
      </w:r>
      <w:r w:rsidR="0001021C" w:rsidRPr="008661AF">
        <w:rPr>
          <w:rFonts w:eastAsia="Arial Unicode MS"/>
        </w:rPr>
        <w:t xml:space="preserve">auraient </w:t>
      </w:r>
      <w:r w:rsidR="00F836F1" w:rsidRPr="008661AF">
        <w:rPr>
          <w:rFonts w:eastAsia="Arial Unicode MS"/>
        </w:rPr>
        <w:t>subi</w:t>
      </w:r>
      <w:r w:rsidR="0001021C" w:rsidRPr="008661AF">
        <w:rPr>
          <w:rFonts w:eastAsia="Arial Unicode MS"/>
        </w:rPr>
        <w:t xml:space="preserve">, au </w:t>
      </w:r>
      <w:r w:rsidR="00081377" w:rsidRPr="008661AF">
        <w:rPr>
          <w:rFonts w:eastAsia="Arial Unicode MS"/>
        </w:rPr>
        <w:t xml:space="preserve">premier </w:t>
      </w:r>
      <w:r w:rsidR="0001021C" w:rsidRPr="008661AF">
        <w:rPr>
          <w:rFonts w:eastAsia="Arial Unicode MS"/>
        </w:rPr>
        <w:t xml:space="preserve">trimestre 2016, une baisse selon 35% des patrons et une hausse selon 25%. </w:t>
      </w:r>
    </w:p>
    <w:p w:rsidR="0001021C" w:rsidRPr="008661AF" w:rsidRDefault="0001021C" w:rsidP="00081377">
      <w:pPr>
        <w:spacing w:after="120" w:line="320" w:lineRule="exact"/>
        <w:jc w:val="both"/>
        <w:rPr>
          <w:rFonts w:eastAsia="Arial Unicode MS"/>
        </w:rPr>
      </w:pPr>
      <w:r w:rsidRPr="008661AF">
        <w:rPr>
          <w:rFonts w:eastAsia="Arial Unicode MS"/>
        </w:rPr>
        <w:t xml:space="preserve">Cette </w:t>
      </w:r>
      <w:r w:rsidR="00F836F1" w:rsidRPr="008661AF">
        <w:rPr>
          <w:rFonts w:eastAsia="Arial Unicode MS"/>
        </w:rPr>
        <w:t xml:space="preserve">légère diminution </w:t>
      </w:r>
      <w:r w:rsidRPr="008661AF">
        <w:rPr>
          <w:rFonts w:eastAsia="Arial Unicode MS"/>
        </w:rPr>
        <w:t xml:space="preserve">aurait été </w:t>
      </w:r>
      <w:r w:rsidR="00081377" w:rsidRPr="008661AF">
        <w:rPr>
          <w:rFonts w:eastAsia="Arial Unicode MS"/>
        </w:rPr>
        <w:t xml:space="preserve">principalement </w:t>
      </w:r>
      <w:r w:rsidRPr="008661AF">
        <w:rPr>
          <w:rFonts w:eastAsia="Arial Unicode MS"/>
        </w:rPr>
        <w:t xml:space="preserve">attribuable à un </w:t>
      </w:r>
      <w:r w:rsidR="00F836F1" w:rsidRPr="008661AF">
        <w:rPr>
          <w:rFonts w:eastAsia="Arial Unicode MS"/>
        </w:rPr>
        <w:t xml:space="preserve">ralentissement </w:t>
      </w:r>
      <w:r w:rsidRPr="008661AF">
        <w:rPr>
          <w:rFonts w:eastAsia="Arial Unicode MS"/>
        </w:rPr>
        <w:t xml:space="preserve">des ventes dans les «Autres commerce de gros spécialisés» et dans le   «Commerce de gros d'équipements de l'information et de la communication» </w:t>
      </w:r>
    </w:p>
    <w:p w:rsidR="0001021C" w:rsidRPr="008661AF" w:rsidRDefault="0001021C" w:rsidP="0001021C">
      <w:pPr>
        <w:spacing w:after="240" w:line="320" w:lineRule="exact"/>
        <w:jc w:val="both"/>
        <w:rPr>
          <w:rFonts w:eastAsia="Arial Unicode MS"/>
        </w:rPr>
      </w:pPr>
      <w:r w:rsidRPr="008661AF">
        <w:rPr>
          <w:rFonts w:eastAsia="Arial Unicode MS"/>
        </w:rPr>
        <w:t xml:space="preserve">Quant à l’emploi, il aurait connu, selon 89% des chefs d’entreprises, une stabilité et selon 9%, une hausse. </w:t>
      </w:r>
    </w:p>
    <w:p w:rsidR="0001021C" w:rsidRPr="008661AF" w:rsidRDefault="0001021C" w:rsidP="0001021C">
      <w:pPr>
        <w:spacing w:line="276" w:lineRule="auto"/>
        <w:ind w:right="170"/>
        <w:jc w:val="both"/>
        <w:rPr>
          <w:rFonts w:eastAsia="Arial Unicode MS"/>
        </w:rPr>
      </w:pPr>
      <w:r w:rsidRPr="008661AF">
        <w:rPr>
          <w:rFonts w:eastAsia="Arial Unicode MS"/>
        </w:rPr>
        <w:t xml:space="preserve">Par ailleurs, les grossistes estiment que, compte tenu de la saison, leurs stocks se seraient situés à un niveau normal selon 64% d’entre eux, alors que 7% seulement jugent leur niveau supérieur à la normale. </w:t>
      </w:r>
    </w:p>
    <w:p w:rsidR="0001021C" w:rsidRPr="008661AF" w:rsidRDefault="0001021C" w:rsidP="0001021C">
      <w:pPr>
        <w:spacing w:line="276" w:lineRule="auto"/>
        <w:ind w:right="170"/>
        <w:jc w:val="both"/>
        <w:rPr>
          <w:rFonts w:eastAsia="Arial Unicode MS"/>
          <w:sz w:val="8"/>
          <w:szCs w:val="8"/>
        </w:rPr>
      </w:pPr>
    </w:p>
    <w:p w:rsidR="0001021C" w:rsidRDefault="0001021C" w:rsidP="00081377">
      <w:pPr>
        <w:spacing w:line="276" w:lineRule="auto"/>
        <w:ind w:right="170"/>
        <w:jc w:val="both"/>
        <w:rPr>
          <w:rFonts w:eastAsia="Arial Unicode MS"/>
          <w:rtl/>
        </w:rPr>
      </w:pPr>
      <w:r w:rsidRPr="008661AF">
        <w:rPr>
          <w:rFonts w:eastAsia="Arial Unicode MS"/>
        </w:rPr>
        <w:t>La tendance observée des prix de ventes dans le secteur révèle, selon 69% des chefs d’entreprises, une stabilité, qui aurait été principalement enregistrée au niveau du « Commerce de gros de biens domestiques »</w:t>
      </w:r>
      <w:r w:rsidR="00545628" w:rsidRPr="008661AF">
        <w:rPr>
          <w:rFonts w:eastAsia="Arial Unicode MS"/>
        </w:rPr>
        <w:t xml:space="preserve">, </w:t>
      </w:r>
      <w:r w:rsidRPr="008661AF">
        <w:rPr>
          <w:rFonts w:eastAsia="Arial Unicode MS"/>
        </w:rPr>
        <w:t>du «Commerce de gros d'autres équipements industriels» et du «Commerce de gros de produits agricoles bruts et d'animaux vivants».</w:t>
      </w:r>
    </w:p>
    <w:p w:rsidR="00EE654F" w:rsidRPr="008661AF" w:rsidRDefault="00EE654F" w:rsidP="00081377">
      <w:pPr>
        <w:spacing w:line="276" w:lineRule="auto"/>
        <w:ind w:right="170"/>
        <w:jc w:val="both"/>
        <w:rPr>
          <w:rFonts w:eastAsia="Arial Unicode MS"/>
        </w:rPr>
      </w:pPr>
    </w:p>
    <w:p w:rsidR="00A05D54" w:rsidRPr="008661AF" w:rsidRDefault="00A05D54" w:rsidP="000252E3">
      <w:pPr>
        <w:rPr>
          <w:rFonts w:ascii="Trebuchet MS" w:eastAsia="Arial Unicode MS" w:hAnsi="Trebuchet MS"/>
          <w:b/>
          <w:bCs/>
          <w:color w:val="660033"/>
          <w:sz w:val="6"/>
          <w:szCs w:val="6"/>
        </w:rPr>
      </w:pPr>
    </w:p>
    <w:p w:rsidR="007E5AD3" w:rsidRDefault="007E5AD3" w:rsidP="00711A4F">
      <w:pPr>
        <w:pStyle w:val="Paragraphedeliste"/>
        <w:spacing w:after="240"/>
        <w:ind w:right="-1"/>
        <w:jc w:val="both"/>
        <w:rPr>
          <w:rFonts w:ascii="Trebuchet MS" w:eastAsia="Arial Unicode MS" w:hAnsi="Trebuchet MS"/>
          <w:b/>
          <w:bCs/>
          <w:color w:val="660033"/>
          <w:sz w:val="10"/>
          <w:szCs w:val="10"/>
        </w:rPr>
      </w:pPr>
    </w:p>
    <w:p w:rsidR="002E1737" w:rsidRPr="00A05D54" w:rsidRDefault="002E1737" w:rsidP="008661AF">
      <w:pPr>
        <w:pStyle w:val="Paragraphedeliste"/>
        <w:numPr>
          <w:ilvl w:val="0"/>
          <w:numId w:val="20"/>
        </w:numPr>
        <w:spacing w:after="240"/>
        <w:ind w:right="-168"/>
        <w:jc w:val="both"/>
        <w:rPr>
          <w:rFonts w:ascii="Trebuchet MS" w:eastAsia="Arial Unicode MS" w:hAnsi="Trebuchet MS"/>
          <w:b/>
          <w:bCs/>
          <w:color w:val="660033"/>
          <w:sz w:val="26"/>
          <w:szCs w:val="26"/>
        </w:rPr>
      </w:pPr>
      <w:r w:rsidRPr="00A05D54">
        <w:rPr>
          <w:rFonts w:ascii="Trebuchet MS" w:eastAsia="Arial Unicode MS" w:hAnsi="Trebuchet MS"/>
          <w:b/>
          <w:bCs/>
          <w:color w:val="660033"/>
          <w:sz w:val="26"/>
          <w:szCs w:val="26"/>
        </w:rPr>
        <w:t xml:space="preserve">Anticipations </w:t>
      </w:r>
      <w:r w:rsidR="008F3532" w:rsidRPr="00A05D54">
        <w:rPr>
          <w:rFonts w:ascii="Trebuchet MS" w:eastAsia="Arial Unicode MS" w:hAnsi="Trebuchet MS"/>
          <w:b/>
          <w:bCs/>
          <w:color w:val="660033"/>
          <w:sz w:val="26"/>
          <w:szCs w:val="26"/>
        </w:rPr>
        <w:t xml:space="preserve">des chefs d’entreprises </w:t>
      </w:r>
      <w:r w:rsidRPr="00A05D54">
        <w:rPr>
          <w:rFonts w:ascii="Trebuchet MS" w:eastAsia="Arial Unicode MS" w:hAnsi="Trebuchet MS"/>
          <w:b/>
          <w:bCs/>
          <w:color w:val="660033"/>
          <w:sz w:val="26"/>
          <w:szCs w:val="26"/>
        </w:rPr>
        <w:t xml:space="preserve">pour le </w:t>
      </w:r>
      <w:r w:rsidR="008661AF">
        <w:rPr>
          <w:rFonts w:ascii="Trebuchet MS" w:eastAsia="Arial Unicode MS" w:hAnsi="Trebuchet MS"/>
          <w:b/>
          <w:bCs/>
          <w:color w:val="660033"/>
          <w:sz w:val="26"/>
          <w:szCs w:val="26"/>
        </w:rPr>
        <w:t xml:space="preserve">deuxième </w:t>
      </w:r>
      <w:r w:rsidRPr="00A05D54">
        <w:rPr>
          <w:rFonts w:ascii="Trebuchet MS" w:eastAsia="Arial Unicode MS" w:hAnsi="Trebuchet MS"/>
          <w:b/>
          <w:bCs/>
          <w:color w:val="660033"/>
          <w:sz w:val="26"/>
          <w:szCs w:val="26"/>
        </w:rPr>
        <w:t>trimestre 201</w:t>
      </w:r>
      <w:r w:rsidR="00CE3CEA" w:rsidRPr="00A05D54">
        <w:rPr>
          <w:rFonts w:ascii="Trebuchet MS" w:eastAsia="Arial Unicode MS" w:hAnsi="Trebuchet MS"/>
          <w:b/>
          <w:bCs/>
          <w:color w:val="660033"/>
          <w:sz w:val="26"/>
          <w:szCs w:val="26"/>
        </w:rPr>
        <w:t>6</w:t>
      </w:r>
    </w:p>
    <w:p w:rsidR="007E5AD3" w:rsidRPr="008661AF" w:rsidRDefault="007E5AD3" w:rsidP="007E5AD3">
      <w:pPr>
        <w:pStyle w:val="Paragraphedeliste"/>
        <w:spacing w:after="240"/>
        <w:ind w:right="-168"/>
        <w:jc w:val="both"/>
        <w:rPr>
          <w:rFonts w:ascii="Trebuchet MS" w:eastAsia="Arial Unicode MS" w:hAnsi="Trebuchet MS"/>
          <w:b/>
          <w:bCs/>
          <w:color w:val="660033"/>
          <w:sz w:val="8"/>
          <w:szCs w:val="8"/>
        </w:rPr>
      </w:pPr>
    </w:p>
    <w:p w:rsidR="00F81A11" w:rsidRPr="00127090" w:rsidRDefault="00F81A11" w:rsidP="00F81A11">
      <w:pPr>
        <w:pStyle w:val="Paragraphedeliste"/>
        <w:spacing w:after="240"/>
        <w:ind w:right="-168"/>
        <w:jc w:val="both"/>
        <w:rPr>
          <w:rFonts w:ascii="Trebuchet MS" w:eastAsia="Arial Unicode MS" w:hAnsi="Trebuchet MS"/>
          <w:b/>
          <w:bCs/>
          <w:color w:val="660033"/>
          <w:sz w:val="4"/>
          <w:szCs w:val="4"/>
        </w:rPr>
      </w:pPr>
    </w:p>
    <w:p w:rsidR="005B18F9" w:rsidRPr="00A05D54" w:rsidRDefault="0033375A" w:rsidP="00857BEE">
      <w:pPr>
        <w:pStyle w:val="Paragraphedeliste"/>
        <w:numPr>
          <w:ilvl w:val="1"/>
          <w:numId w:val="24"/>
        </w:numPr>
        <w:spacing w:after="120"/>
        <w:jc w:val="both"/>
        <w:rPr>
          <w:rFonts w:ascii="Trebuchet MS" w:eastAsia="Arial Unicode MS" w:hAnsi="Trebuchet MS"/>
          <w:b/>
          <w:bCs/>
          <w:color w:val="660033"/>
          <w:sz w:val="26"/>
          <w:szCs w:val="26"/>
        </w:rPr>
      </w:pPr>
      <w:r w:rsidRPr="00A05D54">
        <w:rPr>
          <w:rFonts w:ascii="Trebuchet MS" w:eastAsia="Arial Unicode MS" w:hAnsi="Trebuchet MS"/>
          <w:b/>
          <w:bCs/>
          <w:color w:val="660033"/>
          <w:sz w:val="26"/>
          <w:szCs w:val="26"/>
        </w:rPr>
        <w:t xml:space="preserve">Secteur des </w:t>
      </w:r>
      <w:r w:rsidR="005B18F9" w:rsidRPr="00A05D54">
        <w:rPr>
          <w:rFonts w:ascii="Trebuchet MS" w:eastAsia="Arial Unicode MS" w:hAnsi="Trebuchet MS"/>
          <w:b/>
          <w:bCs/>
          <w:color w:val="660033"/>
          <w:sz w:val="26"/>
          <w:szCs w:val="26"/>
        </w:rPr>
        <w:t>Services marchands non financiers</w:t>
      </w:r>
    </w:p>
    <w:p w:rsidR="00081377" w:rsidRDefault="00B870F1" w:rsidP="008661AF">
      <w:pPr>
        <w:spacing w:line="276" w:lineRule="auto"/>
        <w:ind w:right="170"/>
        <w:jc w:val="both"/>
        <w:rPr>
          <w:rFonts w:eastAsia="Arial Unicode MS"/>
        </w:rPr>
      </w:pPr>
      <w:r>
        <w:rPr>
          <w:rFonts w:eastAsia="Arial Unicode MS"/>
          <w:noProof/>
        </w:rPr>
        <w:drawing>
          <wp:anchor distT="0" distB="0" distL="114300" distR="114300" simplePos="0" relativeHeight="251669504" behindDoc="0" locked="0" layoutInCell="1" allowOverlap="1">
            <wp:simplePos x="0" y="0"/>
            <wp:positionH relativeFrom="margin">
              <wp:posOffset>3081655</wp:posOffset>
            </wp:positionH>
            <wp:positionV relativeFrom="margin">
              <wp:posOffset>6525895</wp:posOffset>
            </wp:positionV>
            <wp:extent cx="3095625" cy="2095500"/>
            <wp:effectExtent l="0" t="0" r="0" b="0"/>
            <wp:wrapSquare wrapText="bothSides"/>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81377" w:rsidRPr="008661AF">
        <w:rPr>
          <w:rFonts w:eastAsia="Arial Unicode MS"/>
        </w:rPr>
        <w:t xml:space="preserve">Concernant les anticipations relatives au deuxième trimestre 2016, les deux tiers des chefs d'entreprises opérant dans le secteur des </w:t>
      </w:r>
      <w:r>
        <w:rPr>
          <w:rFonts w:eastAsia="Arial Unicode MS"/>
          <w:b/>
          <w:bCs/>
          <w:color w:val="660033"/>
        </w:rPr>
        <w:t>S</w:t>
      </w:r>
      <w:r w:rsidR="00081377" w:rsidRPr="00B870F1">
        <w:rPr>
          <w:rFonts w:eastAsia="Arial Unicode MS"/>
          <w:b/>
          <w:bCs/>
          <w:color w:val="660033"/>
        </w:rPr>
        <w:t>ervices marchands non financiers</w:t>
      </w:r>
      <w:r w:rsidR="00081377" w:rsidRPr="008661AF">
        <w:rPr>
          <w:rFonts w:eastAsia="Arial Unicode MS"/>
        </w:rPr>
        <w:t xml:space="preserve"> s’attendent à une stabilité de l’activité globale expliquée, principalement, par la stagnation que connaitrait les branches de « Télécommunications », de « Transports aériens » et des «Transports terrestres et transport par conduites» durant ce trimestre.</w:t>
      </w:r>
    </w:p>
    <w:p w:rsidR="00B870F1" w:rsidRPr="008661AF" w:rsidRDefault="00B870F1" w:rsidP="008661AF">
      <w:pPr>
        <w:spacing w:line="276" w:lineRule="auto"/>
        <w:ind w:right="170"/>
        <w:jc w:val="both"/>
        <w:rPr>
          <w:rFonts w:eastAsia="Arial Unicode MS"/>
        </w:rPr>
      </w:pPr>
    </w:p>
    <w:p w:rsidR="006E2822" w:rsidRDefault="006E2822" w:rsidP="008661AF">
      <w:pPr>
        <w:spacing w:line="276" w:lineRule="auto"/>
        <w:ind w:right="170"/>
        <w:jc w:val="both"/>
        <w:rPr>
          <w:rFonts w:eastAsia="Arial Unicode MS"/>
          <w:rtl/>
        </w:rPr>
      </w:pPr>
      <w:r w:rsidRPr="008661AF">
        <w:rPr>
          <w:rFonts w:eastAsia="Arial Unicode MS"/>
        </w:rPr>
        <w:t xml:space="preserve">En ce qui concerne la demande prévue pour </w:t>
      </w:r>
      <w:r w:rsidR="00081377" w:rsidRPr="008661AF">
        <w:rPr>
          <w:rFonts w:eastAsia="Arial Unicode MS"/>
        </w:rPr>
        <w:t xml:space="preserve">le deuxième </w:t>
      </w:r>
      <w:r w:rsidRPr="008661AF">
        <w:rPr>
          <w:rFonts w:eastAsia="Arial Unicode MS"/>
        </w:rPr>
        <w:t xml:space="preserve">trimestre 2016, les deux tiers des patrons anticipent une stabilité. S’agissant de l’emploi, la majorité des chefs d’entreprises prévoient une stagnation de leurs effectifs pour le </w:t>
      </w:r>
      <w:r w:rsidR="00081377" w:rsidRPr="008661AF">
        <w:rPr>
          <w:rFonts w:eastAsia="Arial Unicode MS"/>
        </w:rPr>
        <w:t xml:space="preserve">deuxième </w:t>
      </w:r>
      <w:r w:rsidRPr="008661AF">
        <w:rPr>
          <w:rFonts w:eastAsia="Arial Unicode MS"/>
        </w:rPr>
        <w:t xml:space="preserve">trimestre 2016. </w:t>
      </w:r>
    </w:p>
    <w:p w:rsidR="00EE654F" w:rsidRDefault="00EE654F" w:rsidP="008661AF">
      <w:pPr>
        <w:spacing w:line="276" w:lineRule="auto"/>
        <w:ind w:right="170"/>
        <w:jc w:val="both"/>
        <w:rPr>
          <w:rFonts w:eastAsia="Arial Unicode MS"/>
          <w:rtl/>
        </w:rPr>
      </w:pPr>
    </w:p>
    <w:p w:rsidR="005B18F9" w:rsidRPr="00A05D54" w:rsidRDefault="0033375A" w:rsidP="002612E0">
      <w:pPr>
        <w:pStyle w:val="Paragraphedeliste"/>
        <w:numPr>
          <w:ilvl w:val="1"/>
          <w:numId w:val="24"/>
        </w:numPr>
        <w:spacing w:after="120"/>
        <w:jc w:val="both"/>
        <w:rPr>
          <w:rFonts w:ascii="Trebuchet MS" w:eastAsia="Arial Unicode MS" w:hAnsi="Trebuchet MS"/>
          <w:b/>
          <w:bCs/>
          <w:color w:val="660033"/>
          <w:sz w:val="26"/>
          <w:szCs w:val="26"/>
        </w:rPr>
      </w:pPr>
      <w:r w:rsidRPr="00A05D54">
        <w:rPr>
          <w:rFonts w:ascii="Trebuchet MS" w:eastAsia="Arial Unicode MS" w:hAnsi="Trebuchet MS"/>
          <w:b/>
          <w:bCs/>
          <w:color w:val="660033"/>
          <w:sz w:val="26"/>
          <w:szCs w:val="26"/>
        </w:rPr>
        <w:t xml:space="preserve">Secteur du </w:t>
      </w:r>
      <w:r w:rsidR="005B18F9" w:rsidRPr="00A05D54">
        <w:rPr>
          <w:rFonts w:ascii="Trebuchet MS" w:eastAsia="Arial Unicode MS" w:hAnsi="Trebuchet MS"/>
          <w:b/>
          <w:bCs/>
          <w:color w:val="660033"/>
          <w:sz w:val="26"/>
          <w:szCs w:val="26"/>
        </w:rPr>
        <w:t>Commerce de gros</w:t>
      </w:r>
    </w:p>
    <w:p w:rsidR="00AF11D6" w:rsidRPr="008661AF" w:rsidRDefault="000252E3" w:rsidP="00F9302E">
      <w:pPr>
        <w:spacing w:after="120" w:line="300" w:lineRule="exact"/>
        <w:ind w:left="-284"/>
        <w:jc w:val="both"/>
        <w:rPr>
          <w:rFonts w:eastAsia="Arial Unicode MS"/>
        </w:rPr>
      </w:pPr>
      <w:r w:rsidRPr="008661AF">
        <w:rPr>
          <w:rFonts w:eastAsia="Arial Unicode MS"/>
          <w:noProof/>
        </w:rPr>
        <w:drawing>
          <wp:anchor distT="0" distB="0" distL="114300" distR="114300" simplePos="0" relativeHeight="251665408" behindDoc="0" locked="0" layoutInCell="1" allowOverlap="1">
            <wp:simplePos x="0" y="0"/>
            <wp:positionH relativeFrom="margin">
              <wp:posOffset>2995930</wp:posOffset>
            </wp:positionH>
            <wp:positionV relativeFrom="margin">
              <wp:posOffset>1639570</wp:posOffset>
            </wp:positionV>
            <wp:extent cx="3276600" cy="3067050"/>
            <wp:effectExtent l="0" t="0" r="0" b="0"/>
            <wp:wrapSquare wrapText="bothSides"/>
            <wp:docPr id="111" name="Graphiqu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AF11D6" w:rsidRPr="008661AF">
        <w:rPr>
          <w:rFonts w:eastAsia="Arial Unicode MS"/>
        </w:rPr>
        <w:t xml:space="preserve">Les anticipations des grossistes pour le </w:t>
      </w:r>
      <w:r w:rsidR="00F9302E" w:rsidRPr="008661AF">
        <w:rPr>
          <w:rFonts w:eastAsia="Arial Unicode MS"/>
        </w:rPr>
        <w:t xml:space="preserve">deuxième </w:t>
      </w:r>
      <w:r w:rsidR="009377FB" w:rsidRPr="008661AF">
        <w:rPr>
          <w:rFonts w:eastAsia="Arial Unicode MS"/>
        </w:rPr>
        <w:t>trimestre</w:t>
      </w:r>
      <w:r w:rsidR="00AF11D6" w:rsidRPr="008661AF">
        <w:rPr>
          <w:rFonts w:eastAsia="Arial Unicode MS"/>
        </w:rPr>
        <w:t xml:space="preserve"> 2016 révèlent</w:t>
      </w:r>
      <w:r w:rsidR="00792FF0" w:rsidRPr="008661AF">
        <w:rPr>
          <w:rFonts w:eastAsia="Arial Unicode MS"/>
        </w:rPr>
        <w:t xml:space="preserve"> une hausse du volume global des ventes </w:t>
      </w:r>
      <w:r w:rsidR="00AF11D6" w:rsidRPr="008661AF">
        <w:rPr>
          <w:rFonts w:eastAsia="Arial Unicode MS"/>
        </w:rPr>
        <w:t xml:space="preserve">selon 45% d'entre- eux, et, </w:t>
      </w:r>
      <w:r w:rsidR="00792FF0" w:rsidRPr="008661AF">
        <w:rPr>
          <w:rFonts w:eastAsia="Arial Unicode MS"/>
        </w:rPr>
        <w:t xml:space="preserve">plutôt, une baisse </w:t>
      </w:r>
      <w:r w:rsidR="00AF11D6" w:rsidRPr="008661AF">
        <w:rPr>
          <w:rFonts w:eastAsia="Arial Unicode MS"/>
        </w:rPr>
        <w:t xml:space="preserve">selon 22%. </w:t>
      </w:r>
    </w:p>
    <w:p w:rsidR="00AF11D6" w:rsidRPr="008661AF" w:rsidRDefault="00AF11D6" w:rsidP="00AF11D6">
      <w:pPr>
        <w:spacing w:after="120" w:line="300" w:lineRule="exact"/>
        <w:ind w:left="-284"/>
        <w:jc w:val="both"/>
        <w:rPr>
          <w:rFonts w:eastAsia="Arial Unicode MS"/>
        </w:rPr>
      </w:pPr>
      <w:r w:rsidRPr="008661AF">
        <w:rPr>
          <w:rFonts w:eastAsia="Arial Unicode MS"/>
        </w:rPr>
        <w:t>Cette amélioration concernerait, principalement, les activités des « </w:t>
      </w:r>
      <w:r w:rsidRPr="008661AF">
        <w:rPr>
          <w:color w:val="000000"/>
        </w:rPr>
        <w:t>Autres commerces de gros spécialisés</w:t>
      </w:r>
      <w:r w:rsidRPr="008661AF">
        <w:rPr>
          <w:rFonts w:eastAsia="Arial Unicode MS"/>
        </w:rPr>
        <w:t>», du « </w:t>
      </w:r>
      <w:r w:rsidRPr="008661AF">
        <w:rPr>
          <w:color w:val="000000"/>
        </w:rPr>
        <w:t>Commerce de gros d'autres équipements industriels</w:t>
      </w:r>
      <w:r w:rsidRPr="008661AF">
        <w:rPr>
          <w:rFonts w:eastAsia="Arial Unicode MS"/>
        </w:rPr>
        <w:t>» et du « Commerce de gros de produits alimentaires, de boissons».</w:t>
      </w:r>
    </w:p>
    <w:p w:rsidR="00AF11D6" w:rsidRPr="008661AF" w:rsidRDefault="00AF11D6" w:rsidP="00AF11D6">
      <w:pPr>
        <w:spacing w:after="120" w:line="300" w:lineRule="exact"/>
        <w:ind w:left="-284"/>
        <w:jc w:val="both"/>
        <w:rPr>
          <w:rFonts w:eastAsia="Arial Unicode MS"/>
        </w:rPr>
      </w:pPr>
      <w:r w:rsidRPr="008661AF">
        <w:rPr>
          <w:rFonts w:eastAsia="Arial Unicode MS"/>
        </w:rPr>
        <w:t>Quant à l’emploi, 60% des chefs d’entreprises prévoient une stagnation des effectifs et 38% une hausse.</w:t>
      </w:r>
    </w:p>
    <w:p w:rsidR="00AF11D6" w:rsidRPr="008661AF" w:rsidRDefault="00AF11D6" w:rsidP="00F9302E">
      <w:pPr>
        <w:spacing w:after="120" w:line="300" w:lineRule="exact"/>
        <w:ind w:left="-284"/>
        <w:jc w:val="both"/>
        <w:rPr>
          <w:rFonts w:eastAsia="Arial Unicode MS"/>
        </w:rPr>
      </w:pPr>
      <w:r w:rsidRPr="008661AF">
        <w:rPr>
          <w:rFonts w:eastAsia="Arial Unicode MS"/>
        </w:rPr>
        <w:t xml:space="preserve">Les commandes à passer pour le </w:t>
      </w:r>
      <w:r w:rsidR="00F9302E" w:rsidRPr="008661AF">
        <w:rPr>
          <w:rFonts w:eastAsia="Arial Unicode MS"/>
        </w:rPr>
        <w:t xml:space="preserve">deuxième </w:t>
      </w:r>
      <w:r w:rsidRPr="008661AF">
        <w:rPr>
          <w:rFonts w:eastAsia="Arial Unicode MS"/>
        </w:rPr>
        <w:t xml:space="preserve">trimestre 2016 seraient d’un niveau normal selon 73% des chefs d’entreprises et inférieur à la normale selon 19% d’entre eux. </w:t>
      </w:r>
    </w:p>
    <w:p w:rsidR="005B18F9" w:rsidRDefault="005B18F9" w:rsidP="005B18F9">
      <w:pPr>
        <w:spacing w:after="120" w:line="300" w:lineRule="exact"/>
        <w:ind w:left="-284"/>
        <w:jc w:val="both"/>
        <w:rPr>
          <w:rFonts w:eastAsia="Arial Unicode MS"/>
          <w:sz w:val="22"/>
          <w:szCs w:val="22"/>
        </w:rPr>
      </w:pPr>
    </w:p>
    <w:sectPr w:rsidR="005B18F9" w:rsidSect="00D42230">
      <w:footerReference w:type="default" r:id="rId15"/>
      <w:footerReference w:type="first" r:id="rId16"/>
      <w:type w:val="continuous"/>
      <w:pgSz w:w="11906" w:h="16838"/>
      <w:pgMar w:top="1258" w:right="1417" w:bottom="1258" w:left="1417" w:header="708"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429" w:rsidRDefault="005B2429">
      <w:r>
        <w:separator/>
      </w:r>
    </w:p>
  </w:endnote>
  <w:endnote w:type="continuationSeparator" w:id="0">
    <w:p w:rsidR="005B2429" w:rsidRDefault="005B2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4F" w:rsidRDefault="00711A4F" w:rsidP="00FA41B2">
    <w:pPr>
      <w:pStyle w:val="Pieddepage"/>
      <w:jc w:val="right"/>
    </w:pPr>
  </w:p>
  <w:p w:rsidR="00711D32" w:rsidRDefault="00711D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4F" w:rsidRDefault="00A9710F">
    <w:pPr>
      <w:pStyle w:val="Pieddepage"/>
      <w:jc w:val="center"/>
    </w:pPr>
    <w:fldSimple w:instr=" PAGE   \* MERGEFORMAT ">
      <w:r w:rsidR="005B2429">
        <w:rPr>
          <w:noProof/>
        </w:rPr>
        <w:t>1</w:t>
      </w:r>
    </w:fldSimple>
  </w:p>
  <w:p w:rsidR="00711A4F" w:rsidRDefault="00711A4F">
    <w:pPr>
      <w:pStyle w:val="Pieddepage"/>
    </w:pPr>
  </w:p>
  <w:p w:rsidR="00711D32" w:rsidRDefault="00711D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D7" w:rsidRPr="007E64AF" w:rsidRDefault="00572FD7" w:rsidP="007E64AF">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D7" w:rsidRDefault="00A9710F">
    <w:pPr>
      <w:pStyle w:val="Pieddepage"/>
      <w:jc w:val="center"/>
    </w:pPr>
    <w:fldSimple w:instr=" PAGE   \* MERGEFORMAT ">
      <w:r w:rsidR="007E5AD3">
        <w:rPr>
          <w:noProof/>
        </w:rPr>
        <w:t>1</w:t>
      </w:r>
    </w:fldSimple>
  </w:p>
  <w:p w:rsidR="00572FD7" w:rsidRDefault="00572F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429" w:rsidRDefault="005B2429">
      <w:r>
        <w:separator/>
      </w:r>
    </w:p>
  </w:footnote>
  <w:footnote w:type="continuationSeparator" w:id="0">
    <w:p w:rsidR="005B2429" w:rsidRDefault="005B2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164"/>
      </v:shape>
    </w:pict>
  </w:numPicBullet>
  <w:numPicBullet w:numPicBulletId="1">
    <w:pict>
      <v:shape id="_x0000_i1029" type="#_x0000_t75" style="width:11pt;height:11pt" o:bullet="t">
        <v:imagedata r:id="rId2" o:title="msoAD26"/>
      </v:shape>
    </w:pict>
  </w:numPicBullet>
  <w:abstractNum w:abstractNumId="0">
    <w:nsid w:val="0A69045A"/>
    <w:multiLevelType w:val="hybridMultilevel"/>
    <w:tmpl w:val="1BCCE9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D826D30"/>
    <w:multiLevelType w:val="hybridMultilevel"/>
    <w:tmpl w:val="75D62D98"/>
    <w:lvl w:ilvl="0" w:tplc="64B289A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D32988"/>
    <w:multiLevelType w:val="hybridMultilevel"/>
    <w:tmpl w:val="7A581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2D3C6D"/>
    <w:multiLevelType w:val="multilevel"/>
    <w:tmpl w:val="D8DE499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48F6636"/>
    <w:multiLevelType w:val="hybridMultilevel"/>
    <w:tmpl w:val="2BACCC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3F93836"/>
    <w:multiLevelType w:val="hybridMultilevel"/>
    <w:tmpl w:val="47AE5F22"/>
    <w:lvl w:ilvl="0" w:tplc="9E384520">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25698F"/>
    <w:multiLevelType w:val="hybridMultilevel"/>
    <w:tmpl w:val="520E5C48"/>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8">
    <w:nsid w:val="30D816DB"/>
    <w:multiLevelType w:val="hybridMultilevel"/>
    <w:tmpl w:val="6A0241CC"/>
    <w:lvl w:ilvl="0" w:tplc="C540E2B2">
      <w:start w:val="1"/>
      <w:numFmt w:val="decimal"/>
      <w:lvlText w:val="%1."/>
      <w:lvlJc w:val="left"/>
      <w:pPr>
        <w:ind w:left="720" w:hanging="360"/>
      </w:pPr>
      <w:rPr>
        <w:rFonts w:hint="default"/>
        <w:color w:val="C00000"/>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AB6D70"/>
    <w:multiLevelType w:val="hybridMultilevel"/>
    <w:tmpl w:val="680C23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D077F0"/>
    <w:multiLevelType w:val="hybridMultilevel"/>
    <w:tmpl w:val="FC9ED812"/>
    <w:lvl w:ilvl="0" w:tplc="DD045B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1F57B4"/>
    <w:multiLevelType w:val="hybridMultilevel"/>
    <w:tmpl w:val="C7301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B61D09"/>
    <w:multiLevelType w:val="hybridMultilevel"/>
    <w:tmpl w:val="50CE41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E9E7929"/>
    <w:multiLevelType w:val="hybridMultilevel"/>
    <w:tmpl w:val="F68AA54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nsid w:val="3ECF5722"/>
    <w:multiLevelType w:val="hybridMultilevel"/>
    <w:tmpl w:val="06704A08"/>
    <w:lvl w:ilvl="0" w:tplc="C9622FC2">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FCF2A7D"/>
    <w:multiLevelType w:val="hybridMultilevel"/>
    <w:tmpl w:val="56B23EB2"/>
    <w:lvl w:ilvl="0" w:tplc="5D6C4B84">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01777C"/>
    <w:multiLevelType w:val="multilevel"/>
    <w:tmpl w:val="50E27D9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42EB060C"/>
    <w:multiLevelType w:val="hybridMultilevel"/>
    <w:tmpl w:val="4C1ADF4E"/>
    <w:lvl w:ilvl="0" w:tplc="040C0013">
      <w:start w:val="1"/>
      <w:numFmt w:val="upperRoman"/>
      <w:lvlText w:val="%1."/>
      <w:lvlJc w:val="right"/>
      <w:pPr>
        <w:ind w:left="928" w:hanging="360"/>
      </w:pPr>
    </w:lvl>
    <w:lvl w:ilvl="1" w:tplc="040C0019" w:tentative="1">
      <w:start w:val="1"/>
      <w:numFmt w:val="lowerLetter"/>
      <w:lvlText w:val="%2."/>
      <w:lvlJc w:val="left"/>
      <w:pPr>
        <w:ind w:left="1648" w:hanging="360"/>
      </w:pPr>
      <w:rPr>
        <w:rFonts w:cs="Times New Roman"/>
      </w:rPr>
    </w:lvl>
    <w:lvl w:ilvl="2" w:tplc="040C001B" w:tentative="1">
      <w:start w:val="1"/>
      <w:numFmt w:val="lowerRoman"/>
      <w:lvlText w:val="%3."/>
      <w:lvlJc w:val="right"/>
      <w:pPr>
        <w:ind w:left="2368" w:hanging="180"/>
      </w:pPr>
      <w:rPr>
        <w:rFonts w:cs="Times New Roman"/>
      </w:rPr>
    </w:lvl>
    <w:lvl w:ilvl="3" w:tplc="040C000F" w:tentative="1">
      <w:start w:val="1"/>
      <w:numFmt w:val="decimal"/>
      <w:lvlText w:val="%4."/>
      <w:lvlJc w:val="left"/>
      <w:pPr>
        <w:ind w:left="3088" w:hanging="360"/>
      </w:pPr>
      <w:rPr>
        <w:rFonts w:cs="Times New Roman"/>
      </w:rPr>
    </w:lvl>
    <w:lvl w:ilvl="4" w:tplc="040C0019" w:tentative="1">
      <w:start w:val="1"/>
      <w:numFmt w:val="lowerLetter"/>
      <w:lvlText w:val="%5."/>
      <w:lvlJc w:val="left"/>
      <w:pPr>
        <w:ind w:left="3808" w:hanging="360"/>
      </w:pPr>
      <w:rPr>
        <w:rFonts w:cs="Times New Roman"/>
      </w:rPr>
    </w:lvl>
    <w:lvl w:ilvl="5" w:tplc="040C001B" w:tentative="1">
      <w:start w:val="1"/>
      <w:numFmt w:val="lowerRoman"/>
      <w:lvlText w:val="%6."/>
      <w:lvlJc w:val="right"/>
      <w:pPr>
        <w:ind w:left="4528" w:hanging="180"/>
      </w:pPr>
      <w:rPr>
        <w:rFonts w:cs="Times New Roman"/>
      </w:rPr>
    </w:lvl>
    <w:lvl w:ilvl="6" w:tplc="040C000F" w:tentative="1">
      <w:start w:val="1"/>
      <w:numFmt w:val="decimal"/>
      <w:lvlText w:val="%7."/>
      <w:lvlJc w:val="left"/>
      <w:pPr>
        <w:ind w:left="5248" w:hanging="360"/>
      </w:pPr>
      <w:rPr>
        <w:rFonts w:cs="Times New Roman"/>
      </w:rPr>
    </w:lvl>
    <w:lvl w:ilvl="7" w:tplc="040C0019" w:tentative="1">
      <w:start w:val="1"/>
      <w:numFmt w:val="lowerLetter"/>
      <w:lvlText w:val="%8."/>
      <w:lvlJc w:val="left"/>
      <w:pPr>
        <w:ind w:left="5968" w:hanging="360"/>
      </w:pPr>
      <w:rPr>
        <w:rFonts w:cs="Times New Roman"/>
      </w:rPr>
    </w:lvl>
    <w:lvl w:ilvl="8" w:tplc="040C001B" w:tentative="1">
      <w:start w:val="1"/>
      <w:numFmt w:val="lowerRoman"/>
      <w:lvlText w:val="%9."/>
      <w:lvlJc w:val="right"/>
      <w:pPr>
        <w:ind w:left="6688" w:hanging="180"/>
      </w:pPr>
      <w:rPr>
        <w:rFonts w:cs="Times New Roman"/>
      </w:rPr>
    </w:lvl>
  </w:abstractNum>
  <w:abstractNum w:abstractNumId="18">
    <w:nsid w:val="4D35388E"/>
    <w:multiLevelType w:val="hybridMultilevel"/>
    <w:tmpl w:val="E3549FF2"/>
    <w:lvl w:ilvl="0" w:tplc="05FE1CA8">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B70CC0"/>
    <w:multiLevelType w:val="hybridMultilevel"/>
    <w:tmpl w:val="B980DA58"/>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58BE3432"/>
    <w:multiLevelType w:val="hybridMultilevel"/>
    <w:tmpl w:val="3DFC6EF4"/>
    <w:lvl w:ilvl="0" w:tplc="5D6C4B84">
      <w:start w:val="1"/>
      <w:numFmt w:val="decimal"/>
      <w:lvlText w:val="%1."/>
      <w:lvlJc w:val="left"/>
      <w:pPr>
        <w:ind w:left="720" w:hanging="360"/>
      </w:pPr>
      <w:rPr>
        <w:rFonts w:hint="default"/>
        <w:color w:val="C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85373F"/>
    <w:multiLevelType w:val="hybridMultilevel"/>
    <w:tmpl w:val="7B68C818"/>
    <w:lvl w:ilvl="0" w:tplc="BF2696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nsid w:val="771A79C2"/>
    <w:multiLevelType w:val="hybridMultilevel"/>
    <w:tmpl w:val="96780754"/>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7CEE025C"/>
    <w:multiLevelType w:val="hybridMultilevel"/>
    <w:tmpl w:val="6672A4E8"/>
    <w:lvl w:ilvl="0" w:tplc="A23EBBE6">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2"/>
  </w:num>
  <w:num w:numId="4">
    <w:abstractNumId w:val="5"/>
  </w:num>
  <w:num w:numId="5">
    <w:abstractNumId w:val="23"/>
  </w:num>
  <w:num w:numId="6">
    <w:abstractNumId w:val="17"/>
  </w:num>
  <w:num w:numId="7">
    <w:abstractNumId w:val="7"/>
  </w:num>
  <w:num w:numId="8">
    <w:abstractNumId w:val="14"/>
  </w:num>
  <w:num w:numId="9">
    <w:abstractNumId w:val="25"/>
  </w:num>
  <w:num w:numId="10">
    <w:abstractNumId w:val="18"/>
  </w:num>
  <w:num w:numId="11">
    <w:abstractNumId w:val="6"/>
  </w:num>
  <w:num w:numId="12">
    <w:abstractNumId w:val="13"/>
  </w:num>
  <w:num w:numId="13">
    <w:abstractNumId w:val="21"/>
  </w:num>
  <w:num w:numId="14">
    <w:abstractNumId w:val="19"/>
  </w:num>
  <w:num w:numId="15">
    <w:abstractNumId w:val="9"/>
  </w:num>
  <w:num w:numId="16">
    <w:abstractNumId w:val="20"/>
  </w:num>
  <w:num w:numId="17">
    <w:abstractNumId w:val="11"/>
  </w:num>
  <w:num w:numId="18">
    <w:abstractNumId w:val="2"/>
  </w:num>
  <w:num w:numId="19">
    <w:abstractNumId w:val="15"/>
  </w:num>
  <w:num w:numId="20">
    <w:abstractNumId w:val="8"/>
  </w:num>
  <w:num w:numId="21">
    <w:abstractNumId w:val="10"/>
  </w:num>
  <w:num w:numId="22">
    <w:abstractNumId w:val="12"/>
  </w:num>
  <w:num w:numId="23">
    <w:abstractNumId w:val="3"/>
  </w:num>
  <w:num w:numId="24">
    <w:abstractNumId w:val="16"/>
  </w:num>
  <w:num w:numId="25">
    <w:abstractNumId w:val="2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14338"/>
  </w:hdrShapeDefaults>
  <w:footnotePr>
    <w:footnote w:id="-1"/>
    <w:footnote w:id="0"/>
  </w:footnotePr>
  <w:endnotePr>
    <w:endnote w:id="-1"/>
    <w:endnote w:id="0"/>
  </w:endnotePr>
  <w:compat/>
  <w:rsids>
    <w:rsidRoot w:val="008B7C79"/>
    <w:rsid w:val="00006861"/>
    <w:rsid w:val="00006DD3"/>
    <w:rsid w:val="0001021C"/>
    <w:rsid w:val="00014315"/>
    <w:rsid w:val="000252E3"/>
    <w:rsid w:val="000275EF"/>
    <w:rsid w:val="00031605"/>
    <w:rsid w:val="0003329C"/>
    <w:rsid w:val="00043887"/>
    <w:rsid w:val="00043D21"/>
    <w:rsid w:val="00053F91"/>
    <w:rsid w:val="000554EE"/>
    <w:rsid w:val="00065C48"/>
    <w:rsid w:val="00074098"/>
    <w:rsid w:val="0007624B"/>
    <w:rsid w:val="00081377"/>
    <w:rsid w:val="00084B71"/>
    <w:rsid w:val="00086874"/>
    <w:rsid w:val="000A2AE4"/>
    <w:rsid w:val="000B1D9D"/>
    <w:rsid w:val="000B2A3E"/>
    <w:rsid w:val="000B5B84"/>
    <w:rsid w:val="000B6C46"/>
    <w:rsid w:val="000D4A9A"/>
    <w:rsid w:val="000E1335"/>
    <w:rsid w:val="000E5893"/>
    <w:rsid w:val="000E76B0"/>
    <w:rsid w:val="000F6813"/>
    <w:rsid w:val="000F71D1"/>
    <w:rsid w:val="00100AF5"/>
    <w:rsid w:val="0010285F"/>
    <w:rsid w:val="00123B0E"/>
    <w:rsid w:val="001245E1"/>
    <w:rsid w:val="00127090"/>
    <w:rsid w:val="001308D6"/>
    <w:rsid w:val="00131EDC"/>
    <w:rsid w:val="00133AA7"/>
    <w:rsid w:val="00135176"/>
    <w:rsid w:val="00137652"/>
    <w:rsid w:val="0014114C"/>
    <w:rsid w:val="00144168"/>
    <w:rsid w:val="00151644"/>
    <w:rsid w:val="001575EB"/>
    <w:rsid w:val="00157A43"/>
    <w:rsid w:val="00160B9E"/>
    <w:rsid w:val="00164075"/>
    <w:rsid w:val="0017017D"/>
    <w:rsid w:val="001724B1"/>
    <w:rsid w:val="0017323F"/>
    <w:rsid w:val="00186F4B"/>
    <w:rsid w:val="00193033"/>
    <w:rsid w:val="00196035"/>
    <w:rsid w:val="001A1553"/>
    <w:rsid w:val="001A2AA6"/>
    <w:rsid w:val="001B0372"/>
    <w:rsid w:val="001B3EBA"/>
    <w:rsid w:val="001B5764"/>
    <w:rsid w:val="001C3920"/>
    <w:rsid w:val="001D119E"/>
    <w:rsid w:val="001D6519"/>
    <w:rsid w:val="001D69A9"/>
    <w:rsid w:val="001F2033"/>
    <w:rsid w:val="001F3599"/>
    <w:rsid w:val="001F6BEB"/>
    <w:rsid w:val="00203FD6"/>
    <w:rsid w:val="00206659"/>
    <w:rsid w:val="00215236"/>
    <w:rsid w:val="002164FB"/>
    <w:rsid w:val="0022299E"/>
    <w:rsid w:val="00233459"/>
    <w:rsid w:val="00236B5B"/>
    <w:rsid w:val="00241152"/>
    <w:rsid w:val="0024673C"/>
    <w:rsid w:val="002559DF"/>
    <w:rsid w:val="00256291"/>
    <w:rsid w:val="00257C74"/>
    <w:rsid w:val="00260217"/>
    <w:rsid w:val="002612E0"/>
    <w:rsid w:val="00265A87"/>
    <w:rsid w:val="002668FE"/>
    <w:rsid w:val="002760BD"/>
    <w:rsid w:val="002770BB"/>
    <w:rsid w:val="00283E97"/>
    <w:rsid w:val="00286F23"/>
    <w:rsid w:val="00290BF8"/>
    <w:rsid w:val="002A7064"/>
    <w:rsid w:val="002A7221"/>
    <w:rsid w:val="002D38C3"/>
    <w:rsid w:val="002D3BD2"/>
    <w:rsid w:val="002E1737"/>
    <w:rsid w:val="002E750F"/>
    <w:rsid w:val="002F3FB3"/>
    <w:rsid w:val="002F5C54"/>
    <w:rsid w:val="003027A9"/>
    <w:rsid w:val="00302E80"/>
    <w:rsid w:val="00305B12"/>
    <w:rsid w:val="0030605C"/>
    <w:rsid w:val="00307146"/>
    <w:rsid w:val="003121A0"/>
    <w:rsid w:val="00312DB8"/>
    <w:rsid w:val="00313123"/>
    <w:rsid w:val="00314191"/>
    <w:rsid w:val="00321625"/>
    <w:rsid w:val="003329F7"/>
    <w:rsid w:val="0033375A"/>
    <w:rsid w:val="00351D4C"/>
    <w:rsid w:val="00356D34"/>
    <w:rsid w:val="00365978"/>
    <w:rsid w:val="0036616B"/>
    <w:rsid w:val="00377B93"/>
    <w:rsid w:val="0038590B"/>
    <w:rsid w:val="0039671A"/>
    <w:rsid w:val="003A2CE4"/>
    <w:rsid w:val="003B5F82"/>
    <w:rsid w:val="003B7C9A"/>
    <w:rsid w:val="003C1B70"/>
    <w:rsid w:val="003D0B92"/>
    <w:rsid w:val="003D68CD"/>
    <w:rsid w:val="003E208A"/>
    <w:rsid w:val="003E37F2"/>
    <w:rsid w:val="003E4FE1"/>
    <w:rsid w:val="003F28EA"/>
    <w:rsid w:val="003F7BFE"/>
    <w:rsid w:val="00405781"/>
    <w:rsid w:val="004249F6"/>
    <w:rsid w:val="00431972"/>
    <w:rsid w:val="00434088"/>
    <w:rsid w:val="00435B96"/>
    <w:rsid w:val="00436AE5"/>
    <w:rsid w:val="0044331A"/>
    <w:rsid w:val="00446DB7"/>
    <w:rsid w:val="00454991"/>
    <w:rsid w:val="00456090"/>
    <w:rsid w:val="00456E49"/>
    <w:rsid w:val="004659F5"/>
    <w:rsid w:val="00470F06"/>
    <w:rsid w:val="00480B1C"/>
    <w:rsid w:val="00483758"/>
    <w:rsid w:val="00484898"/>
    <w:rsid w:val="00484E8D"/>
    <w:rsid w:val="004915DF"/>
    <w:rsid w:val="00491F4E"/>
    <w:rsid w:val="004A2AD5"/>
    <w:rsid w:val="004A6819"/>
    <w:rsid w:val="004A7EF1"/>
    <w:rsid w:val="004B411A"/>
    <w:rsid w:val="004C7838"/>
    <w:rsid w:val="004D4CBB"/>
    <w:rsid w:val="004E20CC"/>
    <w:rsid w:val="004E2DD7"/>
    <w:rsid w:val="004E59A5"/>
    <w:rsid w:val="004E5E98"/>
    <w:rsid w:val="004F3556"/>
    <w:rsid w:val="00502528"/>
    <w:rsid w:val="00505AD5"/>
    <w:rsid w:val="00506785"/>
    <w:rsid w:val="00513024"/>
    <w:rsid w:val="005142A8"/>
    <w:rsid w:val="00514D14"/>
    <w:rsid w:val="00527A4A"/>
    <w:rsid w:val="00530796"/>
    <w:rsid w:val="005337B6"/>
    <w:rsid w:val="00537897"/>
    <w:rsid w:val="00541C46"/>
    <w:rsid w:val="00544B7F"/>
    <w:rsid w:val="00545628"/>
    <w:rsid w:val="00557213"/>
    <w:rsid w:val="00572FD7"/>
    <w:rsid w:val="00577644"/>
    <w:rsid w:val="00581492"/>
    <w:rsid w:val="00583A84"/>
    <w:rsid w:val="00584197"/>
    <w:rsid w:val="005850FD"/>
    <w:rsid w:val="0059090F"/>
    <w:rsid w:val="00594250"/>
    <w:rsid w:val="00594D60"/>
    <w:rsid w:val="00596EA4"/>
    <w:rsid w:val="005974B8"/>
    <w:rsid w:val="005A0189"/>
    <w:rsid w:val="005A3690"/>
    <w:rsid w:val="005A3755"/>
    <w:rsid w:val="005A4826"/>
    <w:rsid w:val="005B18F9"/>
    <w:rsid w:val="005B2429"/>
    <w:rsid w:val="005B3B22"/>
    <w:rsid w:val="005B48EA"/>
    <w:rsid w:val="005B5B99"/>
    <w:rsid w:val="005C3B99"/>
    <w:rsid w:val="005D0DC1"/>
    <w:rsid w:val="005D3D8B"/>
    <w:rsid w:val="00600F6D"/>
    <w:rsid w:val="00602C7C"/>
    <w:rsid w:val="0060506F"/>
    <w:rsid w:val="006056E5"/>
    <w:rsid w:val="00612B0E"/>
    <w:rsid w:val="006153E5"/>
    <w:rsid w:val="00630E13"/>
    <w:rsid w:val="00631531"/>
    <w:rsid w:val="006420C4"/>
    <w:rsid w:val="006451A0"/>
    <w:rsid w:val="00646311"/>
    <w:rsid w:val="00647EFB"/>
    <w:rsid w:val="00652D75"/>
    <w:rsid w:val="00653F59"/>
    <w:rsid w:val="00667ECC"/>
    <w:rsid w:val="006707C0"/>
    <w:rsid w:val="00676B69"/>
    <w:rsid w:val="00684DA3"/>
    <w:rsid w:val="00690102"/>
    <w:rsid w:val="00690A7F"/>
    <w:rsid w:val="00695538"/>
    <w:rsid w:val="00695704"/>
    <w:rsid w:val="006B36B6"/>
    <w:rsid w:val="006C4536"/>
    <w:rsid w:val="006D08D3"/>
    <w:rsid w:val="006E0499"/>
    <w:rsid w:val="006E2822"/>
    <w:rsid w:val="006E5679"/>
    <w:rsid w:val="006E6C4B"/>
    <w:rsid w:val="006F499A"/>
    <w:rsid w:val="00704699"/>
    <w:rsid w:val="00711A4F"/>
    <w:rsid w:val="00711D32"/>
    <w:rsid w:val="00720AA5"/>
    <w:rsid w:val="00722358"/>
    <w:rsid w:val="007320F2"/>
    <w:rsid w:val="00733C13"/>
    <w:rsid w:val="00736EA5"/>
    <w:rsid w:val="00737135"/>
    <w:rsid w:val="00744367"/>
    <w:rsid w:val="0075402B"/>
    <w:rsid w:val="007563F9"/>
    <w:rsid w:val="0076370A"/>
    <w:rsid w:val="00770582"/>
    <w:rsid w:val="0078191E"/>
    <w:rsid w:val="00790B01"/>
    <w:rsid w:val="007923E3"/>
    <w:rsid w:val="00792FF0"/>
    <w:rsid w:val="0079711E"/>
    <w:rsid w:val="007B3FA3"/>
    <w:rsid w:val="007C305A"/>
    <w:rsid w:val="007D09FF"/>
    <w:rsid w:val="007D2263"/>
    <w:rsid w:val="007D442B"/>
    <w:rsid w:val="007E1420"/>
    <w:rsid w:val="007E3513"/>
    <w:rsid w:val="007E5AD3"/>
    <w:rsid w:val="007E64AF"/>
    <w:rsid w:val="007E71EE"/>
    <w:rsid w:val="007F0825"/>
    <w:rsid w:val="007F4784"/>
    <w:rsid w:val="007F4BA9"/>
    <w:rsid w:val="007F6E9E"/>
    <w:rsid w:val="00801153"/>
    <w:rsid w:val="00804FEE"/>
    <w:rsid w:val="00810D7F"/>
    <w:rsid w:val="00815FC3"/>
    <w:rsid w:val="00845DD1"/>
    <w:rsid w:val="008516D2"/>
    <w:rsid w:val="00851A2C"/>
    <w:rsid w:val="00857BEE"/>
    <w:rsid w:val="0086177A"/>
    <w:rsid w:val="008661AF"/>
    <w:rsid w:val="00866410"/>
    <w:rsid w:val="00871F9A"/>
    <w:rsid w:val="008758DE"/>
    <w:rsid w:val="00881864"/>
    <w:rsid w:val="00893F31"/>
    <w:rsid w:val="00894A15"/>
    <w:rsid w:val="00895AA3"/>
    <w:rsid w:val="008B0453"/>
    <w:rsid w:val="008B1E64"/>
    <w:rsid w:val="008B362C"/>
    <w:rsid w:val="008B7C79"/>
    <w:rsid w:val="008C6873"/>
    <w:rsid w:val="008D3C98"/>
    <w:rsid w:val="008D767F"/>
    <w:rsid w:val="008E0B9D"/>
    <w:rsid w:val="008F3532"/>
    <w:rsid w:val="00902289"/>
    <w:rsid w:val="009031FE"/>
    <w:rsid w:val="00906EB8"/>
    <w:rsid w:val="009102EE"/>
    <w:rsid w:val="0092724E"/>
    <w:rsid w:val="00931126"/>
    <w:rsid w:val="009323E8"/>
    <w:rsid w:val="009377FB"/>
    <w:rsid w:val="00946792"/>
    <w:rsid w:val="00947E92"/>
    <w:rsid w:val="00954425"/>
    <w:rsid w:val="0095483F"/>
    <w:rsid w:val="009801E4"/>
    <w:rsid w:val="00982ADB"/>
    <w:rsid w:val="00983318"/>
    <w:rsid w:val="00986F74"/>
    <w:rsid w:val="0098723B"/>
    <w:rsid w:val="009929AA"/>
    <w:rsid w:val="009975E3"/>
    <w:rsid w:val="009A3DCF"/>
    <w:rsid w:val="009A3EBE"/>
    <w:rsid w:val="009A431C"/>
    <w:rsid w:val="009A7A01"/>
    <w:rsid w:val="009B2B2B"/>
    <w:rsid w:val="009C2B83"/>
    <w:rsid w:val="009C4073"/>
    <w:rsid w:val="009C52D4"/>
    <w:rsid w:val="009C7AAE"/>
    <w:rsid w:val="009D02F2"/>
    <w:rsid w:val="009D5321"/>
    <w:rsid w:val="009D7D48"/>
    <w:rsid w:val="009E4E74"/>
    <w:rsid w:val="009F0999"/>
    <w:rsid w:val="009F4C75"/>
    <w:rsid w:val="00A01DE9"/>
    <w:rsid w:val="00A02ED5"/>
    <w:rsid w:val="00A03537"/>
    <w:rsid w:val="00A05D54"/>
    <w:rsid w:val="00A12866"/>
    <w:rsid w:val="00A13AFA"/>
    <w:rsid w:val="00A1430C"/>
    <w:rsid w:val="00A1572C"/>
    <w:rsid w:val="00A16299"/>
    <w:rsid w:val="00A2168A"/>
    <w:rsid w:val="00A24A06"/>
    <w:rsid w:val="00A354B7"/>
    <w:rsid w:val="00A36B5E"/>
    <w:rsid w:val="00A37E82"/>
    <w:rsid w:val="00A529E0"/>
    <w:rsid w:val="00A5393D"/>
    <w:rsid w:val="00A614FE"/>
    <w:rsid w:val="00A66323"/>
    <w:rsid w:val="00A666E5"/>
    <w:rsid w:val="00A7081D"/>
    <w:rsid w:val="00A7438D"/>
    <w:rsid w:val="00A834E9"/>
    <w:rsid w:val="00A85D85"/>
    <w:rsid w:val="00A92176"/>
    <w:rsid w:val="00A96487"/>
    <w:rsid w:val="00A9710F"/>
    <w:rsid w:val="00AA53CC"/>
    <w:rsid w:val="00AB0858"/>
    <w:rsid w:val="00AB24B6"/>
    <w:rsid w:val="00AB5150"/>
    <w:rsid w:val="00AB635B"/>
    <w:rsid w:val="00AC26A5"/>
    <w:rsid w:val="00AC3EF4"/>
    <w:rsid w:val="00AC7561"/>
    <w:rsid w:val="00AD53FD"/>
    <w:rsid w:val="00AD56E7"/>
    <w:rsid w:val="00AE4467"/>
    <w:rsid w:val="00AF04E7"/>
    <w:rsid w:val="00AF11D6"/>
    <w:rsid w:val="00B065DA"/>
    <w:rsid w:val="00B10250"/>
    <w:rsid w:val="00B35B39"/>
    <w:rsid w:val="00B36EC4"/>
    <w:rsid w:val="00B43C5F"/>
    <w:rsid w:val="00B51A49"/>
    <w:rsid w:val="00B55AAA"/>
    <w:rsid w:val="00B607B2"/>
    <w:rsid w:val="00B60ED6"/>
    <w:rsid w:val="00B63D70"/>
    <w:rsid w:val="00B6520F"/>
    <w:rsid w:val="00B70238"/>
    <w:rsid w:val="00B73C0A"/>
    <w:rsid w:val="00B7412A"/>
    <w:rsid w:val="00B75A67"/>
    <w:rsid w:val="00B77653"/>
    <w:rsid w:val="00B81D2D"/>
    <w:rsid w:val="00B83220"/>
    <w:rsid w:val="00B86C55"/>
    <w:rsid w:val="00B870F1"/>
    <w:rsid w:val="00B9066A"/>
    <w:rsid w:val="00B93FB7"/>
    <w:rsid w:val="00BB2982"/>
    <w:rsid w:val="00BC2E39"/>
    <w:rsid w:val="00BE79F4"/>
    <w:rsid w:val="00C14DCE"/>
    <w:rsid w:val="00C23B5E"/>
    <w:rsid w:val="00C26145"/>
    <w:rsid w:val="00C32730"/>
    <w:rsid w:val="00C42507"/>
    <w:rsid w:val="00C466D1"/>
    <w:rsid w:val="00C5491F"/>
    <w:rsid w:val="00C55FD3"/>
    <w:rsid w:val="00C67995"/>
    <w:rsid w:val="00C74F02"/>
    <w:rsid w:val="00C76671"/>
    <w:rsid w:val="00C827BD"/>
    <w:rsid w:val="00C952CA"/>
    <w:rsid w:val="00CA2006"/>
    <w:rsid w:val="00CA2232"/>
    <w:rsid w:val="00CB19A6"/>
    <w:rsid w:val="00CB3A44"/>
    <w:rsid w:val="00CD6E99"/>
    <w:rsid w:val="00CE3972"/>
    <w:rsid w:val="00CE3CEA"/>
    <w:rsid w:val="00CE5918"/>
    <w:rsid w:val="00CE7B4D"/>
    <w:rsid w:val="00CF3217"/>
    <w:rsid w:val="00CF5EA6"/>
    <w:rsid w:val="00CF6F9D"/>
    <w:rsid w:val="00CF7036"/>
    <w:rsid w:val="00D00354"/>
    <w:rsid w:val="00D04431"/>
    <w:rsid w:val="00D04636"/>
    <w:rsid w:val="00D119CB"/>
    <w:rsid w:val="00D135EC"/>
    <w:rsid w:val="00D25298"/>
    <w:rsid w:val="00D30B74"/>
    <w:rsid w:val="00D3407E"/>
    <w:rsid w:val="00D34498"/>
    <w:rsid w:val="00D355D5"/>
    <w:rsid w:val="00D407AA"/>
    <w:rsid w:val="00D42230"/>
    <w:rsid w:val="00D4334A"/>
    <w:rsid w:val="00D54458"/>
    <w:rsid w:val="00D626C6"/>
    <w:rsid w:val="00D676A7"/>
    <w:rsid w:val="00D70DE9"/>
    <w:rsid w:val="00D75067"/>
    <w:rsid w:val="00D80FF6"/>
    <w:rsid w:val="00DA3F98"/>
    <w:rsid w:val="00DB2CCF"/>
    <w:rsid w:val="00DB4906"/>
    <w:rsid w:val="00DC0356"/>
    <w:rsid w:val="00DC2878"/>
    <w:rsid w:val="00DD1D7B"/>
    <w:rsid w:val="00DE26C3"/>
    <w:rsid w:val="00DE6443"/>
    <w:rsid w:val="00E052C6"/>
    <w:rsid w:val="00E3569D"/>
    <w:rsid w:val="00E50B24"/>
    <w:rsid w:val="00E57CE0"/>
    <w:rsid w:val="00E62C54"/>
    <w:rsid w:val="00E62E93"/>
    <w:rsid w:val="00E630BD"/>
    <w:rsid w:val="00E663F9"/>
    <w:rsid w:val="00E6770C"/>
    <w:rsid w:val="00E72DEE"/>
    <w:rsid w:val="00E9575F"/>
    <w:rsid w:val="00EA36AD"/>
    <w:rsid w:val="00EA7121"/>
    <w:rsid w:val="00EB42FB"/>
    <w:rsid w:val="00EB537F"/>
    <w:rsid w:val="00EB5AC5"/>
    <w:rsid w:val="00EC1447"/>
    <w:rsid w:val="00ED07CB"/>
    <w:rsid w:val="00ED1662"/>
    <w:rsid w:val="00ED1E7B"/>
    <w:rsid w:val="00EE0D29"/>
    <w:rsid w:val="00EE1DDB"/>
    <w:rsid w:val="00EE2598"/>
    <w:rsid w:val="00EE654F"/>
    <w:rsid w:val="00EF0241"/>
    <w:rsid w:val="00EF16E4"/>
    <w:rsid w:val="00EF2312"/>
    <w:rsid w:val="00F0227C"/>
    <w:rsid w:val="00F10EDE"/>
    <w:rsid w:val="00F31D0B"/>
    <w:rsid w:val="00F3271C"/>
    <w:rsid w:val="00F37DE1"/>
    <w:rsid w:val="00F4704E"/>
    <w:rsid w:val="00F511E9"/>
    <w:rsid w:val="00F55E9F"/>
    <w:rsid w:val="00F569E7"/>
    <w:rsid w:val="00F62091"/>
    <w:rsid w:val="00F63E5F"/>
    <w:rsid w:val="00F7437A"/>
    <w:rsid w:val="00F75193"/>
    <w:rsid w:val="00F75DAA"/>
    <w:rsid w:val="00F81A11"/>
    <w:rsid w:val="00F82293"/>
    <w:rsid w:val="00F836F1"/>
    <w:rsid w:val="00F9302E"/>
    <w:rsid w:val="00F96994"/>
    <w:rsid w:val="00FA41B2"/>
    <w:rsid w:val="00FC1BEE"/>
    <w:rsid w:val="00FC20C3"/>
    <w:rsid w:val="00FC2F77"/>
    <w:rsid w:val="00FC38F3"/>
    <w:rsid w:val="00FC5115"/>
    <w:rsid w:val="00FC6CB3"/>
    <w:rsid w:val="00FD0726"/>
    <w:rsid w:val="00FD079F"/>
    <w:rsid w:val="00FD2048"/>
    <w:rsid w:val="00FE18C9"/>
    <w:rsid w:val="00FE2289"/>
    <w:rsid w:val="00FE23C9"/>
    <w:rsid w:val="00FF24EF"/>
    <w:rsid w:val="00FF3112"/>
    <w:rsid w:val="00FF3D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 type="connector" idref="#AutoShape 3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79"/>
    <w:rPr>
      <w:sz w:val="24"/>
      <w:szCs w:val="24"/>
    </w:rPr>
  </w:style>
  <w:style w:type="paragraph" w:styleId="Titre1">
    <w:name w:val="heading 1"/>
    <w:basedOn w:val="Normal"/>
    <w:next w:val="Normal"/>
    <w:link w:val="Titre1Car"/>
    <w:qFormat/>
    <w:rsid w:val="008B7C79"/>
    <w:pPr>
      <w:keepNext/>
      <w:spacing w:after="120"/>
      <w:jc w:val="center"/>
      <w:outlineLvl w:val="0"/>
    </w:pPr>
    <w:rPr>
      <w:b/>
      <w:sz w:val="22"/>
    </w:rPr>
  </w:style>
  <w:style w:type="paragraph" w:styleId="Titre2">
    <w:name w:val="heading 2"/>
    <w:basedOn w:val="Normal"/>
    <w:next w:val="Normal"/>
    <w:link w:val="Titre2Car"/>
    <w:qFormat/>
    <w:rsid w:val="008B7C79"/>
    <w:pPr>
      <w:keepNext/>
      <w:jc w:val="both"/>
      <w:outlineLvl w:val="1"/>
    </w:pPr>
    <w:rPr>
      <w:b/>
      <w:sz w:val="22"/>
    </w:rPr>
  </w:style>
  <w:style w:type="paragraph" w:styleId="Titre3">
    <w:name w:val="heading 3"/>
    <w:basedOn w:val="Normal"/>
    <w:next w:val="Normal"/>
    <w:link w:val="Titre3Car"/>
    <w:qFormat/>
    <w:rsid w:val="008B7C79"/>
    <w:pPr>
      <w:keepNext/>
      <w:spacing w:after="120"/>
      <w:jc w:val="center"/>
      <w:outlineLvl w:val="2"/>
    </w:pPr>
    <w:rPr>
      <w:b/>
      <w:bCs/>
      <w:sz w:val="18"/>
      <w:szCs w:val="16"/>
    </w:rPr>
  </w:style>
  <w:style w:type="paragraph" w:styleId="Titre4">
    <w:name w:val="heading 4"/>
    <w:basedOn w:val="Normal"/>
    <w:next w:val="Normal"/>
    <w:link w:val="Titre4Car"/>
    <w:qFormat/>
    <w:rsid w:val="008B7C79"/>
    <w:pPr>
      <w:keepNext/>
      <w:spacing w:after="120"/>
      <w:jc w:val="center"/>
      <w:outlineLvl w:val="3"/>
    </w:pPr>
    <w:rPr>
      <w:b/>
      <w:bCs/>
      <w:sz w:val="20"/>
      <w:szCs w:val="20"/>
    </w:rPr>
  </w:style>
  <w:style w:type="paragraph" w:styleId="Titre5">
    <w:name w:val="heading 5"/>
    <w:basedOn w:val="Normal"/>
    <w:next w:val="Normal"/>
    <w:link w:val="Titre5Car"/>
    <w:qFormat/>
    <w:rsid w:val="008B7C79"/>
    <w:pPr>
      <w:keepNext/>
      <w:outlineLvl w:val="4"/>
    </w:pPr>
    <w:rPr>
      <w:b/>
      <w:bCs/>
      <w:sz w:val="16"/>
      <w:szCs w:val="16"/>
    </w:rPr>
  </w:style>
  <w:style w:type="paragraph" w:styleId="Titre6">
    <w:name w:val="heading 6"/>
    <w:basedOn w:val="Normal"/>
    <w:next w:val="Normal"/>
    <w:link w:val="Titre6Car"/>
    <w:qFormat/>
    <w:rsid w:val="008B7C79"/>
    <w:pPr>
      <w:keepNext/>
      <w:outlineLvl w:val="5"/>
    </w:pPr>
    <w:rPr>
      <w:b/>
      <w:bCs/>
      <w:sz w:val="20"/>
      <w:szCs w:val="20"/>
    </w:rPr>
  </w:style>
  <w:style w:type="paragraph" w:styleId="Titre7">
    <w:name w:val="heading 7"/>
    <w:basedOn w:val="Normal"/>
    <w:next w:val="Normal"/>
    <w:link w:val="Titre7Car"/>
    <w:qFormat/>
    <w:rsid w:val="008B7C79"/>
    <w:pPr>
      <w:keepNext/>
      <w:jc w:val="both"/>
      <w:outlineLvl w:val="6"/>
    </w:pPr>
    <w:rPr>
      <w:b/>
      <w:bCs/>
      <w:szCs w:val="28"/>
    </w:rPr>
  </w:style>
  <w:style w:type="paragraph" w:styleId="Titre8">
    <w:name w:val="heading 8"/>
    <w:basedOn w:val="Normal"/>
    <w:next w:val="Normal"/>
    <w:link w:val="Titre8Car"/>
    <w:qFormat/>
    <w:rsid w:val="008B7C79"/>
    <w:pPr>
      <w:keepNext/>
      <w:outlineLvl w:val="7"/>
    </w:pPr>
    <w:rPr>
      <w:b/>
      <w:bCs/>
      <w:sz w:val="18"/>
      <w:szCs w:val="18"/>
      <w:lang w:val="en-GB"/>
    </w:rPr>
  </w:style>
  <w:style w:type="paragraph" w:styleId="Titre9">
    <w:name w:val="heading 9"/>
    <w:basedOn w:val="Normal"/>
    <w:next w:val="Normal"/>
    <w:link w:val="Titre9Car"/>
    <w:qFormat/>
    <w:rsid w:val="008B7C79"/>
    <w:pPr>
      <w:keepNext/>
      <w:jc w:val="center"/>
      <w:outlineLvl w:val="8"/>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8B7C79"/>
    <w:rPr>
      <w:b/>
      <w:sz w:val="22"/>
      <w:szCs w:val="24"/>
      <w:lang w:val="fr-FR" w:eastAsia="fr-FR" w:bidi="ar-SA"/>
    </w:rPr>
  </w:style>
  <w:style w:type="character" w:customStyle="1" w:styleId="Titre2Car">
    <w:name w:val="Titre 2 Car"/>
    <w:link w:val="Titre2"/>
    <w:semiHidden/>
    <w:rsid w:val="008B7C79"/>
    <w:rPr>
      <w:b/>
      <w:sz w:val="22"/>
      <w:szCs w:val="24"/>
      <w:lang w:val="fr-FR" w:eastAsia="fr-FR" w:bidi="ar-SA"/>
    </w:rPr>
  </w:style>
  <w:style w:type="character" w:customStyle="1" w:styleId="Titre3Car">
    <w:name w:val="Titre 3 Car"/>
    <w:link w:val="Titre3"/>
    <w:semiHidden/>
    <w:rsid w:val="008B7C79"/>
    <w:rPr>
      <w:b/>
      <w:bCs/>
      <w:sz w:val="18"/>
      <w:szCs w:val="16"/>
      <w:lang w:val="fr-FR" w:eastAsia="fr-FR" w:bidi="ar-SA"/>
    </w:rPr>
  </w:style>
  <w:style w:type="character" w:customStyle="1" w:styleId="Titre4Car">
    <w:name w:val="Titre 4 Car"/>
    <w:link w:val="Titre4"/>
    <w:semiHidden/>
    <w:locked/>
    <w:rsid w:val="008B7C79"/>
    <w:rPr>
      <w:b/>
      <w:bCs/>
      <w:lang w:val="fr-FR" w:eastAsia="fr-FR" w:bidi="ar-SA"/>
    </w:rPr>
  </w:style>
  <w:style w:type="character" w:customStyle="1" w:styleId="Titre5Car">
    <w:name w:val="Titre 5 Car"/>
    <w:link w:val="Titre5"/>
    <w:semiHidden/>
    <w:locked/>
    <w:rsid w:val="008B7C79"/>
    <w:rPr>
      <w:b/>
      <w:bCs/>
      <w:sz w:val="16"/>
      <w:szCs w:val="16"/>
      <w:lang w:val="fr-FR" w:eastAsia="fr-FR" w:bidi="ar-SA"/>
    </w:rPr>
  </w:style>
  <w:style w:type="character" w:customStyle="1" w:styleId="Titre6Car">
    <w:name w:val="Titre 6 Car"/>
    <w:link w:val="Titre6"/>
    <w:semiHidden/>
    <w:locked/>
    <w:rsid w:val="008B7C79"/>
    <w:rPr>
      <w:b/>
      <w:bCs/>
      <w:lang w:val="fr-FR" w:eastAsia="fr-FR" w:bidi="ar-SA"/>
    </w:rPr>
  </w:style>
  <w:style w:type="character" w:customStyle="1" w:styleId="Titre7Car">
    <w:name w:val="Titre 7 Car"/>
    <w:link w:val="Titre7"/>
    <w:semiHidden/>
    <w:locked/>
    <w:rsid w:val="008B7C79"/>
    <w:rPr>
      <w:b/>
      <w:bCs/>
      <w:sz w:val="24"/>
      <w:szCs w:val="28"/>
      <w:lang w:val="fr-FR" w:eastAsia="fr-FR" w:bidi="ar-SA"/>
    </w:rPr>
  </w:style>
  <w:style w:type="character" w:customStyle="1" w:styleId="Titre8Car">
    <w:name w:val="Titre 8 Car"/>
    <w:link w:val="Titre8"/>
    <w:semiHidden/>
    <w:locked/>
    <w:rsid w:val="008B7C79"/>
    <w:rPr>
      <w:b/>
      <w:bCs/>
      <w:sz w:val="18"/>
      <w:szCs w:val="18"/>
      <w:lang w:val="en-GB" w:eastAsia="fr-FR" w:bidi="ar-SA"/>
    </w:rPr>
  </w:style>
  <w:style w:type="character" w:customStyle="1" w:styleId="Titre9Car">
    <w:name w:val="Titre 9 Car"/>
    <w:link w:val="Titre9"/>
    <w:semiHidden/>
    <w:locked/>
    <w:rsid w:val="008B7C79"/>
    <w:rPr>
      <w:b/>
      <w:bCs/>
      <w:sz w:val="16"/>
      <w:szCs w:val="16"/>
      <w:lang w:val="fr-FR" w:eastAsia="fr-FR" w:bidi="ar-SA"/>
    </w:rPr>
  </w:style>
  <w:style w:type="paragraph" w:styleId="NormalWeb">
    <w:name w:val="Normal (Web)"/>
    <w:basedOn w:val="Normal"/>
    <w:rsid w:val="008B7C79"/>
    <w:pPr>
      <w:spacing w:before="100" w:beforeAutospacing="1" w:after="100" w:afterAutospacing="1"/>
    </w:pPr>
  </w:style>
  <w:style w:type="paragraph" w:styleId="Corpsdetexte">
    <w:name w:val="Body Text"/>
    <w:basedOn w:val="Normal"/>
    <w:link w:val="CorpsdetexteCar"/>
    <w:rsid w:val="008B7C79"/>
    <w:pPr>
      <w:jc w:val="both"/>
    </w:pPr>
  </w:style>
  <w:style w:type="character" w:customStyle="1" w:styleId="CorpsdetexteCar">
    <w:name w:val="Corps de texte Car"/>
    <w:link w:val="Corpsdetexte"/>
    <w:semiHidden/>
    <w:rsid w:val="008B7C79"/>
    <w:rPr>
      <w:sz w:val="24"/>
      <w:szCs w:val="24"/>
      <w:lang w:val="fr-FR" w:eastAsia="fr-FR" w:bidi="ar-SA"/>
    </w:rPr>
  </w:style>
  <w:style w:type="character" w:styleId="Numrodepage">
    <w:name w:val="page number"/>
    <w:basedOn w:val="Policepardfaut"/>
    <w:rsid w:val="008B7C79"/>
  </w:style>
  <w:style w:type="paragraph" w:styleId="Pieddepage">
    <w:name w:val="footer"/>
    <w:basedOn w:val="Normal"/>
    <w:link w:val="PieddepageCar"/>
    <w:uiPriority w:val="99"/>
    <w:rsid w:val="008B7C79"/>
    <w:pPr>
      <w:tabs>
        <w:tab w:val="center" w:pos="4536"/>
        <w:tab w:val="right" w:pos="9072"/>
      </w:tabs>
    </w:pPr>
  </w:style>
  <w:style w:type="character" w:customStyle="1" w:styleId="PieddepageCar">
    <w:name w:val="Pied de page Car"/>
    <w:link w:val="Pieddepage"/>
    <w:uiPriority w:val="99"/>
    <w:rsid w:val="008B7C79"/>
    <w:rPr>
      <w:sz w:val="24"/>
      <w:szCs w:val="24"/>
      <w:lang w:val="fr-FR" w:eastAsia="fr-FR" w:bidi="ar-SA"/>
    </w:rPr>
  </w:style>
  <w:style w:type="paragraph" w:styleId="Titre">
    <w:name w:val="Title"/>
    <w:basedOn w:val="Normal"/>
    <w:link w:val="TitreCar"/>
    <w:qFormat/>
    <w:rsid w:val="008B7C79"/>
    <w:pPr>
      <w:jc w:val="center"/>
    </w:pPr>
    <w:rPr>
      <w:b/>
      <w:bCs/>
      <w:szCs w:val="28"/>
    </w:rPr>
  </w:style>
  <w:style w:type="character" w:customStyle="1" w:styleId="TitreCar">
    <w:name w:val="Titre Car"/>
    <w:link w:val="Titre"/>
    <w:rsid w:val="008B7C79"/>
    <w:rPr>
      <w:b/>
      <w:bCs/>
      <w:sz w:val="24"/>
      <w:szCs w:val="28"/>
      <w:lang w:val="fr-FR" w:eastAsia="fr-FR" w:bidi="ar-SA"/>
    </w:rPr>
  </w:style>
  <w:style w:type="paragraph" w:styleId="Corpsdetexte2">
    <w:name w:val="Body Text 2"/>
    <w:basedOn w:val="Normal"/>
    <w:link w:val="Corpsdetexte2Car"/>
    <w:rsid w:val="008B7C79"/>
    <w:pPr>
      <w:spacing w:after="120" w:line="480" w:lineRule="auto"/>
    </w:pPr>
  </w:style>
  <w:style w:type="character" w:customStyle="1" w:styleId="Corpsdetexte2Car">
    <w:name w:val="Corps de texte 2 Car"/>
    <w:link w:val="Corpsdetexte2"/>
    <w:semiHidden/>
    <w:locked/>
    <w:rsid w:val="008B7C79"/>
    <w:rPr>
      <w:sz w:val="24"/>
      <w:szCs w:val="24"/>
      <w:lang w:val="fr-FR" w:eastAsia="fr-FR" w:bidi="ar-SA"/>
    </w:rPr>
  </w:style>
  <w:style w:type="paragraph" w:styleId="Paragraphedeliste">
    <w:name w:val="List Paragraph"/>
    <w:basedOn w:val="Normal"/>
    <w:uiPriority w:val="34"/>
    <w:qFormat/>
    <w:rsid w:val="008B7C79"/>
    <w:pPr>
      <w:spacing w:after="200" w:line="276" w:lineRule="auto"/>
      <w:ind w:left="720"/>
      <w:contextualSpacing/>
    </w:pPr>
    <w:rPr>
      <w:rFonts w:ascii="Calibri" w:eastAsia="Calibri" w:hAnsi="Calibri" w:cs="Arial"/>
      <w:sz w:val="22"/>
      <w:szCs w:val="22"/>
      <w:lang w:eastAsia="en-US"/>
    </w:rPr>
  </w:style>
  <w:style w:type="paragraph" w:styleId="Notedebasdepage">
    <w:name w:val="footnote text"/>
    <w:basedOn w:val="Normal"/>
    <w:link w:val="NotedebasdepageCar"/>
    <w:semiHidden/>
    <w:rsid w:val="008B7C79"/>
    <w:rPr>
      <w:sz w:val="20"/>
      <w:szCs w:val="20"/>
    </w:rPr>
  </w:style>
  <w:style w:type="character" w:customStyle="1" w:styleId="NotedebasdepageCar">
    <w:name w:val="Note de bas de page Car"/>
    <w:link w:val="Notedebasdepage"/>
    <w:semiHidden/>
    <w:locked/>
    <w:rsid w:val="008B7C79"/>
    <w:rPr>
      <w:lang w:val="fr-FR" w:eastAsia="fr-FR" w:bidi="ar-SA"/>
    </w:rPr>
  </w:style>
  <w:style w:type="character" w:styleId="Appelnotedebasdep">
    <w:name w:val="footnote reference"/>
    <w:semiHidden/>
    <w:rsid w:val="008B7C79"/>
    <w:rPr>
      <w:vertAlign w:val="superscript"/>
    </w:rPr>
  </w:style>
  <w:style w:type="paragraph" w:styleId="En-tte">
    <w:name w:val="header"/>
    <w:basedOn w:val="Normal"/>
    <w:link w:val="En-tteCar"/>
    <w:rsid w:val="008B7C79"/>
    <w:pPr>
      <w:tabs>
        <w:tab w:val="center" w:pos="4536"/>
        <w:tab w:val="right" w:pos="9072"/>
      </w:tabs>
    </w:pPr>
  </w:style>
  <w:style w:type="character" w:customStyle="1" w:styleId="En-tteCar">
    <w:name w:val="En-tête Car"/>
    <w:link w:val="En-tte"/>
    <w:semiHidden/>
    <w:rsid w:val="008B7C79"/>
    <w:rPr>
      <w:sz w:val="24"/>
      <w:szCs w:val="24"/>
      <w:lang w:val="fr-FR" w:eastAsia="fr-FR" w:bidi="ar-SA"/>
    </w:rPr>
  </w:style>
  <w:style w:type="character" w:customStyle="1" w:styleId="hps">
    <w:name w:val="hps"/>
    <w:basedOn w:val="Policepardfaut"/>
    <w:rsid w:val="008B7C79"/>
  </w:style>
  <w:style w:type="character" w:customStyle="1" w:styleId="hpsatn">
    <w:name w:val="hps atn"/>
    <w:basedOn w:val="Policepardfaut"/>
    <w:rsid w:val="008B7C79"/>
  </w:style>
  <w:style w:type="character" w:customStyle="1" w:styleId="hpsalt-edited">
    <w:name w:val="hps alt-edited"/>
    <w:basedOn w:val="Policepardfaut"/>
    <w:rsid w:val="008B7C79"/>
  </w:style>
  <w:style w:type="character" w:styleId="Accentuation">
    <w:name w:val="Emphasis"/>
    <w:qFormat/>
    <w:rsid w:val="008B7C79"/>
    <w:rPr>
      <w:rFonts w:cs="Times New Roman"/>
      <w:i/>
      <w:iCs/>
    </w:rPr>
  </w:style>
  <w:style w:type="paragraph" w:customStyle="1" w:styleId="spip">
    <w:name w:val="spip"/>
    <w:basedOn w:val="Normal"/>
    <w:rsid w:val="008B7C79"/>
    <w:pPr>
      <w:spacing w:before="100" w:beforeAutospacing="1" w:after="100" w:afterAutospacing="1"/>
    </w:pPr>
  </w:style>
  <w:style w:type="paragraph" w:styleId="Textedebulles">
    <w:name w:val="Balloon Text"/>
    <w:basedOn w:val="Normal"/>
    <w:link w:val="TextedebullesCar"/>
    <w:semiHidden/>
    <w:rsid w:val="008B7C79"/>
    <w:rPr>
      <w:rFonts w:ascii="Tahoma" w:hAnsi="Tahoma" w:cs="Tahoma"/>
      <w:sz w:val="16"/>
      <w:szCs w:val="16"/>
    </w:rPr>
  </w:style>
  <w:style w:type="character" w:customStyle="1" w:styleId="TextedebullesCar">
    <w:name w:val="Texte de bulles Car"/>
    <w:link w:val="Textedebulles"/>
    <w:semiHidden/>
    <w:rsid w:val="008B7C79"/>
    <w:rPr>
      <w:rFonts w:ascii="Tahoma" w:hAnsi="Tahoma" w:cs="Tahoma"/>
      <w:sz w:val="16"/>
      <w:szCs w:val="16"/>
      <w:lang w:val="fr-FR" w:eastAsia="fr-FR" w:bidi="ar-SA"/>
    </w:rPr>
  </w:style>
  <w:style w:type="character" w:customStyle="1" w:styleId="longtext">
    <w:name w:val="long_text"/>
    <w:basedOn w:val="Policepardfaut"/>
    <w:rsid w:val="008B7C79"/>
  </w:style>
  <w:style w:type="character" w:customStyle="1" w:styleId="atn">
    <w:name w:val="atn"/>
    <w:basedOn w:val="Policepardfaut"/>
    <w:rsid w:val="008B7C79"/>
  </w:style>
  <w:style w:type="character" w:customStyle="1" w:styleId="gt-icon-text">
    <w:name w:val="gt-icon-text"/>
    <w:basedOn w:val="Policepardfaut"/>
    <w:rsid w:val="008B7C79"/>
  </w:style>
  <w:style w:type="character" w:customStyle="1" w:styleId="shorttext">
    <w:name w:val="short_text"/>
    <w:basedOn w:val="Policepardfaut"/>
    <w:rsid w:val="008B7C79"/>
  </w:style>
  <w:style w:type="character" w:styleId="Lienhypertexte">
    <w:name w:val="Hyperlink"/>
    <w:rsid w:val="008B7C79"/>
    <w:rPr>
      <w:color w:val="0066FF"/>
      <w:u w:val="single"/>
    </w:rPr>
  </w:style>
  <w:style w:type="paragraph" w:customStyle="1" w:styleId="Default">
    <w:name w:val="Default"/>
    <w:rsid w:val="008B7C79"/>
    <w:pPr>
      <w:autoSpaceDE w:val="0"/>
      <w:autoSpaceDN w:val="0"/>
      <w:adjustRightInd w:val="0"/>
    </w:pPr>
    <w:rPr>
      <w:color w:val="000000"/>
      <w:sz w:val="24"/>
      <w:szCs w:val="24"/>
    </w:rPr>
  </w:style>
  <w:style w:type="character" w:customStyle="1" w:styleId="TitleChar">
    <w:name w:val="Title Char"/>
    <w:locked/>
    <w:rsid w:val="008B7C79"/>
    <w:rPr>
      <w:rFonts w:cs="Times New Roman"/>
      <w:b/>
      <w:bCs/>
      <w:sz w:val="28"/>
      <w:szCs w:val="28"/>
      <w:lang w:val="fr-FR" w:eastAsia="fr-FR" w:bidi="ar-SA"/>
    </w:rPr>
  </w:style>
  <w:style w:type="character" w:customStyle="1" w:styleId="TitleChar1">
    <w:name w:val="Title Char1"/>
    <w:locked/>
    <w:rsid w:val="008B7C79"/>
    <w:rPr>
      <w:rFonts w:cs="Times New Roman"/>
      <w:b/>
      <w:bCs/>
      <w:sz w:val="28"/>
      <w:szCs w:val="28"/>
      <w:lang w:val="fr-FR" w:eastAsia="fr-FR" w:bidi="ar-SA"/>
    </w:rPr>
  </w:style>
  <w:style w:type="paragraph" w:customStyle="1" w:styleId="Paragraphedeliste1">
    <w:name w:val="Paragraphe de liste1"/>
    <w:basedOn w:val="Normal"/>
    <w:rsid w:val="008B7C79"/>
    <w:pPr>
      <w:spacing w:after="200" w:line="276" w:lineRule="auto"/>
      <w:ind w:left="720"/>
    </w:pPr>
    <w:rPr>
      <w:rFonts w:ascii="Calibri" w:hAnsi="Calibri" w:cs="Arial"/>
      <w:sz w:val="22"/>
      <w:szCs w:val="22"/>
      <w:lang w:eastAsia="en-US"/>
    </w:rPr>
  </w:style>
  <w:style w:type="character" w:customStyle="1" w:styleId="Emphaseintense1">
    <w:name w:val="Emphase intense1"/>
    <w:rsid w:val="008B7C79"/>
    <w:rPr>
      <w:rFonts w:cs="Times New Roman"/>
      <w:b/>
      <w:bCs/>
      <w:i/>
      <w:iCs/>
      <w:color w:val="4F81BD"/>
    </w:rPr>
  </w:style>
  <w:style w:type="paragraph" w:styleId="Retraitcorpsdetexte2">
    <w:name w:val="Body Text Indent 2"/>
    <w:basedOn w:val="Normal"/>
    <w:link w:val="Retraitcorpsdetexte2Car"/>
    <w:unhideWhenUsed/>
    <w:rsid w:val="00572FD7"/>
    <w:pPr>
      <w:spacing w:after="120" w:line="480" w:lineRule="auto"/>
      <w:ind w:left="283"/>
    </w:pPr>
  </w:style>
  <w:style w:type="character" w:customStyle="1" w:styleId="Retraitcorpsdetexte2Car">
    <w:name w:val="Retrait corps de texte 2 Car"/>
    <w:link w:val="Retraitcorpsdetexte2"/>
    <w:rsid w:val="00572FD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Microsoft_Office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1000" b="1" i="0" baseline="0"/>
              <a:t>Opinion des entreprises dans les services marchands non financiers, proportion en % </a:t>
            </a:r>
            <a:endParaRPr lang="fr-FR" sz="1000"/>
          </a:p>
        </c:rich>
      </c:tx>
      <c:layout>
        <c:manualLayout>
          <c:xMode val="edge"/>
          <c:yMode val="edge"/>
          <c:x val="0.15339089510362941"/>
          <c:y val="0"/>
        </c:manualLayout>
      </c:layout>
    </c:title>
    <c:plotArea>
      <c:layout>
        <c:manualLayout>
          <c:layoutTarget val="inner"/>
          <c:xMode val="edge"/>
          <c:yMode val="edge"/>
          <c:x val="0.13723667300208164"/>
          <c:y val="0.2588453380596798"/>
          <c:w val="0.67115550371018995"/>
          <c:h val="0.61229704045614985"/>
        </c:manualLayout>
      </c:layout>
      <c:barChart>
        <c:barDir val="col"/>
        <c:grouping val="clustered"/>
        <c:ser>
          <c:idx val="0"/>
          <c:order val="0"/>
          <c:tx>
            <c:strRef>
              <c:f>Feuil1!$B$1</c:f>
              <c:strCache>
                <c:ptCount val="1"/>
                <c:pt idx="0">
                  <c:v>hausse</c:v>
                </c:pt>
              </c:strCache>
            </c:strRef>
          </c:tx>
          <c:cat>
            <c:strRef>
              <c:f>Feuil1!$A$2:$A$5</c:f>
              <c:strCache>
                <c:ptCount val="4"/>
                <c:pt idx="0">
                  <c:v>Activité globale</c:v>
                </c:pt>
                <c:pt idx="1">
                  <c:v>Demande</c:v>
                </c:pt>
                <c:pt idx="2">
                  <c:v>Prix de vente</c:v>
                </c:pt>
                <c:pt idx="3">
                  <c:v>Effectifs employés</c:v>
                </c:pt>
              </c:strCache>
            </c:strRef>
          </c:cat>
          <c:val>
            <c:numRef>
              <c:f>Feuil1!$B$2:$B$5</c:f>
              <c:numCache>
                <c:formatCode>0</c:formatCode>
                <c:ptCount val="4"/>
                <c:pt idx="0">
                  <c:v>58.120000000000012</c:v>
                </c:pt>
                <c:pt idx="1">
                  <c:v>4.91</c:v>
                </c:pt>
                <c:pt idx="2">
                  <c:v>8.2000000000000011</c:v>
                </c:pt>
                <c:pt idx="3">
                  <c:v>5.98</c:v>
                </c:pt>
              </c:numCache>
            </c:numRef>
          </c:val>
        </c:ser>
        <c:ser>
          <c:idx val="1"/>
          <c:order val="1"/>
          <c:tx>
            <c:strRef>
              <c:f>Feuil1!$C$1</c:f>
              <c:strCache>
                <c:ptCount val="1"/>
                <c:pt idx="0">
                  <c:v>stabilité</c:v>
                </c:pt>
              </c:strCache>
            </c:strRef>
          </c:tx>
          <c:cat>
            <c:strRef>
              <c:f>Feuil1!$A$2:$A$5</c:f>
              <c:strCache>
                <c:ptCount val="4"/>
                <c:pt idx="0">
                  <c:v>Activité globale</c:v>
                </c:pt>
                <c:pt idx="1">
                  <c:v>Demande</c:v>
                </c:pt>
                <c:pt idx="2">
                  <c:v>Prix de vente</c:v>
                </c:pt>
                <c:pt idx="3">
                  <c:v>Effectifs employés</c:v>
                </c:pt>
              </c:strCache>
            </c:strRef>
          </c:cat>
          <c:val>
            <c:numRef>
              <c:f>Feuil1!$C$2:$C$5</c:f>
              <c:numCache>
                <c:formatCode>0</c:formatCode>
                <c:ptCount val="4"/>
                <c:pt idx="0">
                  <c:v>23.779999999999987</c:v>
                </c:pt>
                <c:pt idx="1">
                  <c:v>80.819999999999993</c:v>
                </c:pt>
                <c:pt idx="2">
                  <c:v>65.669999999999987</c:v>
                </c:pt>
                <c:pt idx="3">
                  <c:v>84.85</c:v>
                </c:pt>
              </c:numCache>
            </c:numRef>
          </c:val>
        </c:ser>
        <c:ser>
          <c:idx val="2"/>
          <c:order val="2"/>
          <c:tx>
            <c:strRef>
              <c:f>Feuil1!$D$1</c:f>
              <c:strCache>
                <c:ptCount val="1"/>
                <c:pt idx="0">
                  <c:v>baisse</c:v>
                </c:pt>
              </c:strCache>
            </c:strRef>
          </c:tx>
          <c:cat>
            <c:strRef>
              <c:f>Feuil1!$A$2:$A$5</c:f>
              <c:strCache>
                <c:ptCount val="4"/>
                <c:pt idx="0">
                  <c:v>Activité globale</c:v>
                </c:pt>
                <c:pt idx="1">
                  <c:v>Demande</c:v>
                </c:pt>
                <c:pt idx="2">
                  <c:v>Prix de vente</c:v>
                </c:pt>
                <c:pt idx="3">
                  <c:v>Effectifs employés</c:v>
                </c:pt>
              </c:strCache>
            </c:strRef>
          </c:cat>
          <c:val>
            <c:numRef>
              <c:f>Feuil1!$D$2:$D$5</c:f>
              <c:numCache>
                <c:formatCode>0</c:formatCode>
                <c:ptCount val="4"/>
                <c:pt idx="0">
                  <c:v>18.100000000000001</c:v>
                </c:pt>
                <c:pt idx="1">
                  <c:v>14.27</c:v>
                </c:pt>
                <c:pt idx="2">
                  <c:v>26.130000000000031</c:v>
                </c:pt>
                <c:pt idx="3">
                  <c:v>9.18</c:v>
                </c:pt>
              </c:numCache>
            </c:numRef>
          </c:val>
        </c:ser>
        <c:ser>
          <c:idx val="3"/>
          <c:order val="3"/>
          <c:tx>
            <c:strRef>
              <c:f>Feuil1!$E$1</c:f>
              <c:strCache>
                <c:ptCount val="1"/>
                <c:pt idx="0">
                  <c:v>solde</c:v>
                </c:pt>
              </c:strCache>
            </c:strRef>
          </c:tx>
          <c:cat>
            <c:strRef>
              <c:f>Feuil1!$A$2:$A$5</c:f>
              <c:strCache>
                <c:ptCount val="4"/>
                <c:pt idx="0">
                  <c:v>Activité globale</c:v>
                </c:pt>
                <c:pt idx="1">
                  <c:v>Demande</c:v>
                </c:pt>
                <c:pt idx="2">
                  <c:v>Prix de vente</c:v>
                </c:pt>
                <c:pt idx="3">
                  <c:v>Effectifs employés</c:v>
                </c:pt>
              </c:strCache>
            </c:strRef>
          </c:cat>
          <c:val>
            <c:numRef>
              <c:f>Feuil1!$E$2:$E$5</c:f>
              <c:numCache>
                <c:formatCode>0</c:formatCode>
                <c:ptCount val="4"/>
                <c:pt idx="0">
                  <c:v>40.020000000000003</c:v>
                </c:pt>
                <c:pt idx="1">
                  <c:v>-9.3600000000000048</c:v>
                </c:pt>
                <c:pt idx="2">
                  <c:v>-17.93</c:v>
                </c:pt>
                <c:pt idx="3">
                  <c:v>-3.2</c:v>
                </c:pt>
              </c:numCache>
            </c:numRef>
          </c:val>
        </c:ser>
        <c:axId val="43621760"/>
        <c:axId val="53564544"/>
      </c:barChart>
      <c:dateAx>
        <c:axId val="43621760"/>
        <c:scaling>
          <c:orientation val="minMax"/>
        </c:scaling>
        <c:axPos val="b"/>
        <c:majorGridlines/>
        <c:numFmt formatCode="General" sourceLinked="0"/>
        <c:majorTickMark val="none"/>
        <c:tickLblPos val="low"/>
        <c:txPr>
          <a:bodyPr anchor="b" anchorCtr="0"/>
          <a:lstStyle/>
          <a:p>
            <a:pPr>
              <a:defRPr sz="800" b="1"/>
            </a:pPr>
            <a:endParaRPr lang="fr-FR"/>
          </a:p>
        </c:txPr>
        <c:crossAx val="53564544"/>
        <c:crosses val="autoZero"/>
        <c:lblOffset val="100"/>
        <c:baseTimeUnit val="days"/>
      </c:dateAx>
      <c:valAx>
        <c:axId val="53564544"/>
        <c:scaling>
          <c:orientation val="minMax"/>
        </c:scaling>
        <c:axPos val="l"/>
        <c:majorGridlines/>
        <c:numFmt formatCode="0" sourceLinked="1"/>
        <c:majorTickMark val="none"/>
        <c:tickLblPos val="nextTo"/>
        <c:crossAx val="43621760"/>
        <c:crosses val="autoZero"/>
        <c:crossBetween val="between"/>
      </c:valAx>
    </c:plotArea>
    <c:legend>
      <c:legendPos val="r"/>
      <c:layout>
        <c:manualLayout>
          <c:xMode val="edge"/>
          <c:yMode val="edge"/>
          <c:x val="0.81123292709430428"/>
          <c:y val="0.29073453210898775"/>
          <c:w val="0.18541685474029335"/>
          <c:h val="0.28913175251374373"/>
        </c:manualLayout>
      </c:layout>
      <c:txPr>
        <a:bodyPr/>
        <a:lstStyle/>
        <a:p>
          <a:pPr>
            <a:defRPr sz="800" b="1"/>
          </a:pPr>
          <a:endParaRPr lang="fr-FR"/>
        </a:p>
      </c:txPr>
    </c:legend>
    <c:plotVisOnly val="1"/>
    <c:dispBlanksAs val="gap"/>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3"/>
              <a:t>Opinions des grossistes (proportion en %) </a:t>
            </a:r>
          </a:p>
        </c:rich>
      </c:tx>
      <c:layout>
        <c:manualLayout>
          <c:xMode val="edge"/>
          <c:yMode val="edge"/>
          <c:x val="0.20025574547084071"/>
          <c:y val="6.9421208712547311E-2"/>
        </c:manualLayout>
      </c:layout>
    </c:title>
    <c:plotArea>
      <c:layout>
        <c:manualLayout>
          <c:layoutTarget val="inner"/>
          <c:xMode val="edge"/>
          <c:yMode val="edge"/>
          <c:x val="0.10967154529412652"/>
          <c:y val="0.19277350274397517"/>
          <c:w val="0.70559129261385289"/>
          <c:h val="0.63985266046289968"/>
        </c:manualLayout>
      </c:layout>
      <c:barChart>
        <c:barDir val="col"/>
        <c:grouping val="clustered"/>
        <c:ser>
          <c:idx val="0"/>
          <c:order val="0"/>
          <c:tx>
            <c:strRef>
              <c:f>Feuil1!$B$1</c:f>
              <c:strCache>
                <c:ptCount val="1"/>
                <c:pt idx="0">
                  <c:v>Hausse</c:v>
                </c:pt>
              </c:strCache>
            </c:strRef>
          </c:tx>
          <c:cat>
            <c:strRef>
              <c:f>Feuil1!$A$2:$A$5</c:f>
              <c:strCache>
                <c:ptCount val="4"/>
                <c:pt idx="0">
                  <c:v>Ventes </c:v>
                </c:pt>
                <c:pt idx="1">
                  <c:v>Stock de marchandises</c:v>
                </c:pt>
                <c:pt idx="2">
                  <c:v>Effectifs employés</c:v>
                </c:pt>
                <c:pt idx="3">
                  <c:v>Prix de vente</c:v>
                </c:pt>
              </c:strCache>
            </c:strRef>
          </c:cat>
          <c:val>
            <c:numRef>
              <c:f>Feuil1!$B$2:$B$5</c:f>
              <c:numCache>
                <c:formatCode>0</c:formatCode>
                <c:ptCount val="4"/>
                <c:pt idx="0">
                  <c:v>25.34</c:v>
                </c:pt>
                <c:pt idx="1">
                  <c:v>7.09</c:v>
                </c:pt>
                <c:pt idx="2">
                  <c:v>8.7199999999999989</c:v>
                </c:pt>
                <c:pt idx="3">
                  <c:v>11.31</c:v>
                </c:pt>
              </c:numCache>
            </c:numRef>
          </c:val>
        </c:ser>
        <c:ser>
          <c:idx val="1"/>
          <c:order val="1"/>
          <c:tx>
            <c:strRef>
              <c:f>Feuil1!$C$1</c:f>
              <c:strCache>
                <c:ptCount val="1"/>
                <c:pt idx="0">
                  <c:v>Stabilité</c:v>
                </c:pt>
              </c:strCache>
            </c:strRef>
          </c:tx>
          <c:cat>
            <c:strRef>
              <c:f>Feuil1!$A$2:$A$5</c:f>
              <c:strCache>
                <c:ptCount val="4"/>
                <c:pt idx="0">
                  <c:v>Ventes </c:v>
                </c:pt>
                <c:pt idx="1">
                  <c:v>Stock de marchandises</c:v>
                </c:pt>
                <c:pt idx="2">
                  <c:v>Effectifs employés</c:v>
                </c:pt>
                <c:pt idx="3">
                  <c:v>Prix de vente</c:v>
                </c:pt>
              </c:strCache>
            </c:strRef>
          </c:cat>
          <c:val>
            <c:numRef>
              <c:f>Feuil1!$C$2:$C$5</c:f>
              <c:numCache>
                <c:formatCode>0</c:formatCode>
                <c:ptCount val="4"/>
                <c:pt idx="0">
                  <c:v>39.879999999999995</c:v>
                </c:pt>
                <c:pt idx="1">
                  <c:v>64.489999999999995</c:v>
                </c:pt>
                <c:pt idx="2">
                  <c:v>89.19</c:v>
                </c:pt>
                <c:pt idx="3">
                  <c:v>68.92</c:v>
                </c:pt>
              </c:numCache>
            </c:numRef>
          </c:val>
        </c:ser>
        <c:ser>
          <c:idx val="2"/>
          <c:order val="2"/>
          <c:tx>
            <c:strRef>
              <c:f>Feuil1!$D$1</c:f>
              <c:strCache>
                <c:ptCount val="1"/>
                <c:pt idx="0">
                  <c:v>Baisse</c:v>
                </c:pt>
              </c:strCache>
            </c:strRef>
          </c:tx>
          <c:cat>
            <c:strRef>
              <c:f>Feuil1!$A$2:$A$5</c:f>
              <c:strCache>
                <c:ptCount val="4"/>
                <c:pt idx="0">
                  <c:v>Ventes </c:v>
                </c:pt>
                <c:pt idx="1">
                  <c:v>Stock de marchandises</c:v>
                </c:pt>
                <c:pt idx="2">
                  <c:v>Effectifs employés</c:v>
                </c:pt>
                <c:pt idx="3">
                  <c:v>Prix de vente</c:v>
                </c:pt>
              </c:strCache>
            </c:strRef>
          </c:cat>
          <c:val>
            <c:numRef>
              <c:f>Feuil1!$D$2:$D$5</c:f>
              <c:numCache>
                <c:formatCode>0</c:formatCode>
                <c:ptCount val="4"/>
                <c:pt idx="0">
                  <c:v>34.78</c:v>
                </c:pt>
                <c:pt idx="1">
                  <c:v>28.419999999999987</c:v>
                </c:pt>
                <c:pt idx="2">
                  <c:v>2.09</c:v>
                </c:pt>
                <c:pt idx="3">
                  <c:v>19.77</c:v>
                </c:pt>
              </c:numCache>
            </c:numRef>
          </c:val>
        </c:ser>
        <c:ser>
          <c:idx val="3"/>
          <c:order val="3"/>
          <c:tx>
            <c:strRef>
              <c:f>Feuil1!$E$1</c:f>
              <c:strCache>
                <c:ptCount val="1"/>
                <c:pt idx="0">
                  <c:v>Solde</c:v>
                </c:pt>
              </c:strCache>
            </c:strRef>
          </c:tx>
          <c:cat>
            <c:strRef>
              <c:f>Feuil1!$A$2:$A$5</c:f>
              <c:strCache>
                <c:ptCount val="4"/>
                <c:pt idx="0">
                  <c:v>Ventes </c:v>
                </c:pt>
                <c:pt idx="1">
                  <c:v>Stock de marchandises</c:v>
                </c:pt>
                <c:pt idx="2">
                  <c:v>Effectifs employés</c:v>
                </c:pt>
                <c:pt idx="3">
                  <c:v>Prix de vente</c:v>
                </c:pt>
              </c:strCache>
            </c:strRef>
          </c:cat>
          <c:val>
            <c:numRef>
              <c:f>Feuil1!$E$2:$E$5</c:f>
              <c:numCache>
                <c:formatCode>0</c:formatCode>
                <c:ptCount val="4"/>
                <c:pt idx="0">
                  <c:v>-9.44</c:v>
                </c:pt>
                <c:pt idx="1">
                  <c:v>-21.330000000000005</c:v>
                </c:pt>
                <c:pt idx="2">
                  <c:v>6.63</c:v>
                </c:pt>
                <c:pt idx="3">
                  <c:v>-8.4600000000000026</c:v>
                </c:pt>
              </c:numCache>
            </c:numRef>
          </c:val>
        </c:ser>
        <c:axId val="43486208"/>
        <c:axId val="53547776"/>
      </c:barChart>
      <c:dateAx>
        <c:axId val="43486208"/>
        <c:scaling>
          <c:orientation val="minMax"/>
        </c:scaling>
        <c:axPos val="b"/>
        <c:majorGridlines/>
        <c:numFmt formatCode="General" sourceLinked="0"/>
        <c:majorTickMark val="none"/>
        <c:tickLblPos val="low"/>
        <c:txPr>
          <a:bodyPr/>
          <a:lstStyle/>
          <a:p>
            <a:pPr>
              <a:defRPr sz="800" b="1" baseline="0"/>
            </a:pPr>
            <a:endParaRPr lang="fr-FR"/>
          </a:p>
        </c:txPr>
        <c:crossAx val="53547776"/>
        <c:crosses val="autoZero"/>
        <c:lblOffset val="700"/>
        <c:baseTimeUnit val="days"/>
      </c:dateAx>
      <c:valAx>
        <c:axId val="53547776"/>
        <c:scaling>
          <c:orientation val="minMax"/>
        </c:scaling>
        <c:axPos val="l"/>
        <c:majorGridlines/>
        <c:numFmt formatCode="0" sourceLinked="1"/>
        <c:majorTickMark val="none"/>
        <c:tickLblPos val="nextTo"/>
        <c:crossAx val="43486208"/>
        <c:crosses val="autoZero"/>
        <c:crossBetween val="between"/>
      </c:valAx>
      <c:spPr>
        <a:ln cmpd="dbl">
          <a:bevel/>
        </a:ln>
      </c:spPr>
    </c:plotArea>
    <c:legend>
      <c:legendPos val="r"/>
      <c:layout>
        <c:manualLayout>
          <c:xMode val="edge"/>
          <c:yMode val="edge"/>
          <c:x val="0.84086070033928684"/>
          <c:y val="0.3101302109963528"/>
          <c:w val="0.15913929966071341"/>
          <c:h val="0.2484412175750777"/>
        </c:manualLayout>
      </c:layout>
      <c:txPr>
        <a:bodyPr/>
        <a:lstStyle/>
        <a:p>
          <a:pPr>
            <a:defRPr sz="803"/>
          </a:pPr>
          <a:endParaRPr lang="fr-FR"/>
        </a:p>
      </c:txP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800"/>
              <a:t>Anticipations des entreprises des services marchands non financiers </a:t>
            </a:r>
          </a:p>
          <a:p>
            <a:pPr>
              <a:defRPr/>
            </a:pPr>
            <a:r>
              <a:rPr lang="fr-FR" sz="800"/>
              <a:t>(proportion en %)  </a:t>
            </a:r>
          </a:p>
        </c:rich>
      </c:tx>
      <c:layout>
        <c:manualLayout>
          <c:xMode val="edge"/>
          <c:yMode val="edge"/>
          <c:x val="0.13868037328667238"/>
          <c:y val="1.2299868766404199E-3"/>
        </c:manualLayout>
      </c:layout>
    </c:title>
    <c:plotArea>
      <c:layout>
        <c:manualLayout>
          <c:layoutTarget val="inner"/>
          <c:xMode val="edge"/>
          <c:yMode val="edge"/>
          <c:x val="0.11998067949839604"/>
          <c:y val="0.21447270530032694"/>
          <c:w val="0.65231335666375323"/>
          <c:h val="0.60683849770577603"/>
        </c:manualLayout>
      </c:layout>
      <c:barChart>
        <c:barDir val="col"/>
        <c:grouping val="clustered"/>
        <c:ser>
          <c:idx val="0"/>
          <c:order val="0"/>
          <c:tx>
            <c:strRef>
              <c:f>Feuil1!$B$1</c:f>
              <c:strCache>
                <c:ptCount val="1"/>
                <c:pt idx="0">
                  <c:v>Hausse</c:v>
                </c:pt>
              </c:strCache>
            </c:strRef>
          </c:tx>
          <c:cat>
            <c:strRef>
              <c:f>Feuil1!$A$2:$A$4</c:f>
              <c:strCache>
                <c:ptCount val="3"/>
                <c:pt idx="0">
                  <c:v>Activité globale</c:v>
                </c:pt>
                <c:pt idx="1">
                  <c:v>demande</c:v>
                </c:pt>
                <c:pt idx="2">
                  <c:v>Emploi</c:v>
                </c:pt>
              </c:strCache>
            </c:strRef>
          </c:cat>
          <c:val>
            <c:numRef>
              <c:f>Feuil1!$B$2:$B$4</c:f>
              <c:numCache>
                <c:formatCode>0</c:formatCode>
                <c:ptCount val="3"/>
                <c:pt idx="0">
                  <c:v>19.399999999999999</c:v>
                </c:pt>
                <c:pt idx="1">
                  <c:v>20.84</c:v>
                </c:pt>
                <c:pt idx="2">
                  <c:v>12</c:v>
                </c:pt>
              </c:numCache>
            </c:numRef>
          </c:val>
        </c:ser>
        <c:ser>
          <c:idx val="1"/>
          <c:order val="1"/>
          <c:tx>
            <c:strRef>
              <c:f>Feuil1!$C$1</c:f>
              <c:strCache>
                <c:ptCount val="1"/>
                <c:pt idx="0">
                  <c:v>Stabilité</c:v>
                </c:pt>
              </c:strCache>
            </c:strRef>
          </c:tx>
          <c:cat>
            <c:strRef>
              <c:f>Feuil1!$A$2:$A$4</c:f>
              <c:strCache>
                <c:ptCount val="3"/>
                <c:pt idx="0">
                  <c:v>Activité globale</c:v>
                </c:pt>
                <c:pt idx="1">
                  <c:v>demande</c:v>
                </c:pt>
                <c:pt idx="2">
                  <c:v>Emploi</c:v>
                </c:pt>
              </c:strCache>
            </c:strRef>
          </c:cat>
          <c:val>
            <c:numRef>
              <c:f>Feuil1!$C$2:$C$4</c:f>
              <c:numCache>
                <c:formatCode>0</c:formatCode>
                <c:ptCount val="3"/>
                <c:pt idx="0">
                  <c:v>65</c:v>
                </c:pt>
                <c:pt idx="1">
                  <c:v>68.31</c:v>
                </c:pt>
                <c:pt idx="2">
                  <c:v>78</c:v>
                </c:pt>
              </c:numCache>
            </c:numRef>
          </c:val>
        </c:ser>
        <c:ser>
          <c:idx val="2"/>
          <c:order val="2"/>
          <c:tx>
            <c:strRef>
              <c:f>Feuil1!$D$1</c:f>
              <c:strCache>
                <c:ptCount val="1"/>
                <c:pt idx="0">
                  <c:v>Baisse</c:v>
                </c:pt>
              </c:strCache>
            </c:strRef>
          </c:tx>
          <c:cat>
            <c:strRef>
              <c:f>Feuil1!$A$2:$A$4</c:f>
              <c:strCache>
                <c:ptCount val="3"/>
                <c:pt idx="0">
                  <c:v>Activité globale</c:v>
                </c:pt>
                <c:pt idx="1">
                  <c:v>demande</c:v>
                </c:pt>
                <c:pt idx="2">
                  <c:v>Emploi</c:v>
                </c:pt>
              </c:strCache>
            </c:strRef>
          </c:cat>
          <c:val>
            <c:numRef>
              <c:f>Feuil1!$D$2:$D$4</c:f>
              <c:numCache>
                <c:formatCode>0</c:formatCode>
                <c:ptCount val="3"/>
                <c:pt idx="0">
                  <c:v>16</c:v>
                </c:pt>
                <c:pt idx="1">
                  <c:v>10.850000000000026</c:v>
                </c:pt>
                <c:pt idx="2">
                  <c:v>10</c:v>
                </c:pt>
              </c:numCache>
            </c:numRef>
          </c:val>
        </c:ser>
        <c:ser>
          <c:idx val="3"/>
          <c:order val="3"/>
          <c:tx>
            <c:strRef>
              <c:f>Feuil1!$E$1</c:f>
              <c:strCache>
                <c:ptCount val="1"/>
                <c:pt idx="0">
                  <c:v>solde</c:v>
                </c:pt>
              </c:strCache>
            </c:strRef>
          </c:tx>
          <c:cat>
            <c:strRef>
              <c:f>Feuil1!$A$2:$A$4</c:f>
              <c:strCache>
                <c:ptCount val="3"/>
                <c:pt idx="0">
                  <c:v>Activité globale</c:v>
                </c:pt>
                <c:pt idx="1">
                  <c:v>demande</c:v>
                </c:pt>
                <c:pt idx="2">
                  <c:v>Emploi</c:v>
                </c:pt>
              </c:strCache>
            </c:strRef>
          </c:cat>
          <c:val>
            <c:numRef>
              <c:f>Feuil1!$E$2:$E$4</c:f>
              <c:numCache>
                <c:formatCode>0</c:formatCode>
                <c:ptCount val="3"/>
                <c:pt idx="0">
                  <c:v>3</c:v>
                </c:pt>
                <c:pt idx="1">
                  <c:v>9.99</c:v>
                </c:pt>
                <c:pt idx="2">
                  <c:v>2</c:v>
                </c:pt>
              </c:numCache>
            </c:numRef>
          </c:val>
        </c:ser>
        <c:axId val="53545600"/>
        <c:axId val="96440704"/>
      </c:barChart>
      <c:catAx>
        <c:axId val="53545600"/>
        <c:scaling>
          <c:orientation val="minMax"/>
        </c:scaling>
        <c:axPos val="b"/>
        <c:majorGridlines/>
        <c:majorTickMark val="none"/>
        <c:tickLblPos val="nextTo"/>
        <c:txPr>
          <a:bodyPr/>
          <a:lstStyle/>
          <a:p>
            <a:pPr>
              <a:defRPr sz="800"/>
            </a:pPr>
            <a:endParaRPr lang="fr-FR"/>
          </a:p>
        </c:txPr>
        <c:crossAx val="96440704"/>
        <c:crosses val="autoZero"/>
        <c:auto val="1"/>
        <c:lblAlgn val="ctr"/>
        <c:lblOffset val="100"/>
      </c:catAx>
      <c:valAx>
        <c:axId val="96440704"/>
        <c:scaling>
          <c:orientation val="minMax"/>
        </c:scaling>
        <c:axPos val="l"/>
        <c:majorGridlines/>
        <c:numFmt formatCode="0" sourceLinked="1"/>
        <c:majorTickMark val="none"/>
        <c:tickLblPos val="nextTo"/>
        <c:crossAx val="53545600"/>
        <c:crosses val="autoZero"/>
        <c:crossBetween val="between"/>
      </c:valAx>
    </c:plotArea>
    <c:legend>
      <c:legendPos val="r"/>
      <c:layout>
        <c:manualLayout>
          <c:xMode val="edge"/>
          <c:yMode val="edge"/>
          <c:x val="0.74377989209682704"/>
          <c:y val="0.34886950282293888"/>
          <c:w val="0.2515904782735493"/>
          <c:h val="0.32262183443286191"/>
        </c:manualLayout>
      </c:layout>
      <c:txPr>
        <a:bodyPr/>
        <a:lstStyle/>
        <a:p>
          <a:pPr>
            <a:defRPr sz="800"/>
          </a:pPr>
          <a:endParaRPr lang="fr-F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a:pPr>
            <a:r>
              <a:rPr lang="fr-FR" sz="900"/>
              <a:t>Anticipations des grossistes</a:t>
            </a:r>
            <a:r>
              <a:rPr lang="fr-FR" sz="900" baseline="0"/>
              <a:t> (</a:t>
            </a:r>
            <a:r>
              <a:rPr lang="fr-FR" sz="900"/>
              <a:t>proportions en %)</a:t>
            </a:r>
          </a:p>
        </c:rich>
      </c:tx>
      <c:layout>
        <c:manualLayout>
          <c:xMode val="edge"/>
          <c:yMode val="edge"/>
          <c:x val="0.10915705304278825"/>
          <c:y val="0.11060092695024692"/>
        </c:manualLayout>
      </c:layout>
    </c:title>
    <c:plotArea>
      <c:layout>
        <c:manualLayout>
          <c:layoutTarget val="inner"/>
          <c:xMode val="edge"/>
          <c:yMode val="edge"/>
          <c:x val="0.13754196423121529"/>
          <c:y val="0.207951526720317"/>
          <c:w val="0.55880089116767373"/>
          <c:h val="0.58675314346037322"/>
        </c:manualLayout>
      </c:layout>
      <c:barChart>
        <c:barDir val="col"/>
        <c:grouping val="clustered"/>
        <c:ser>
          <c:idx val="0"/>
          <c:order val="0"/>
          <c:tx>
            <c:strRef>
              <c:f>Feuil1!$B$1</c:f>
              <c:strCache>
                <c:ptCount val="1"/>
                <c:pt idx="0">
                  <c:v>Hausse</c:v>
                </c:pt>
              </c:strCache>
            </c:strRef>
          </c:tx>
          <c:cat>
            <c:strRef>
              <c:f>Feuil1!$A$2:$A$4</c:f>
              <c:strCache>
                <c:ptCount val="3"/>
                <c:pt idx="0">
                  <c:v>Ventes</c:v>
                </c:pt>
                <c:pt idx="1">
                  <c:v>Commandes prévues</c:v>
                </c:pt>
                <c:pt idx="2">
                  <c:v>Emploi</c:v>
                </c:pt>
              </c:strCache>
            </c:strRef>
          </c:cat>
          <c:val>
            <c:numRef>
              <c:f>Feuil1!$B$2:$B$4</c:f>
              <c:numCache>
                <c:formatCode>0</c:formatCode>
                <c:ptCount val="3"/>
                <c:pt idx="0">
                  <c:v>45.25</c:v>
                </c:pt>
                <c:pt idx="1">
                  <c:v>8.2000000000000011</c:v>
                </c:pt>
                <c:pt idx="2">
                  <c:v>37.630000000000003</c:v>
                </c:pt>
              </c:numCache>
            </c:numRef>
          </c:val>
        </c:ser>
        <c:ser>
          <c:idx val="1"/>
          <c:order val="1"/>
          <c:tx>
            <c:strRef>
              <c:f>Feuil1!$C$1</c:f>
              <c:strCache>
                <c:ptCount val="1"/>
                <c:pt idx="0">
                  <c:v>Stabilité</c:v>
                </c:pt>
              </c:strCache>
            </c:strRef>
          </c:tx>
          <c:cat>
            <c:strRef>
              <c:f>Feuil1!$A$2:$A$4</c:f>
              <c:strCache>
                <c:ptCount val="3"/>
                <c:pt idx="0">
                  <c:v>Ventes</c:v>
                </c:pt>
                <c:pt idx="1">
                  <c:v>Commandes prévues</c:v>
                </c:pt>
                <c:pt idx="2">
                  <c:v>Emploi</c:v>
                </c:pt>
              </c:strCache>
            </c:strRef>
          </c:cat>
          <c:val>
            <c:numRef>
              <c:f>Feuil1!$C$2:$C$4</c:f>
              <c:numCache>
                <c:formatCode>0</c:formatCode>
                <c:ptCount val="3"/>
                <c:pt idx="0">
                  <c:v>32.4</c:v>
                </c:pt>
                <c:pt idx="1">
                  <c:v>70.599999999999994</c:v>
                </c:pt>
                <c:pt idx="2">
                  <c:v>60.24</c:v>
                </c:pt>
              </c:numCache>
            </c:numRef>
          </c:val>
        </c:ser>
        <c:ser>
          <c:idx val="2"/>
          <c:order val="2"/>
          <c:tx>
            <c:strRef>
              <c:f>Feuil1!$D$1</c:f>
              <c:strCache>
                <c:ptCount val="1"/>
                <c:pt idx="0">
                  <c:v>Baisse</c:v>
                </c:pt>
              </c:strCache>
            </c:strRef>
          </c:tx>
          <c:cat>
            <c:strRef>
              <c:f>Feuil1!$A$2:$A$4</c:f>
              <c:strCache>
                <c:ptCount val="3"/>
                <c:pt idx="0">
                  <c:v>Ventes</c:v>
                </c:pt>
                <c:pt idx="1">
                  <c:v>Commandes prévues</c:v>
                </c:pt>
                <c:pt idx="2">
                  <c:v>Emploi</c:v>
                </c:pt>
              </c:strCache>
            </c:strRef>
          </c:cat>
          <c:val>
            <c:numRef>
              <c:f>Feuil1!$D$2:$D$4</c:f>
              <c:numCache>
                <c:formatCode>0</c:formatCode>
                <c:ptCount val="3"/>
                <c:pt idx="0">
                  <c:v>22.35</c:v>
                </c:pt>
                <c:pt idx="1">
                  <c:v>21.19</c:v>
                </c:pt>
                <c:pt idx="2">
                  <c:v>2.13</c:v>
                </c:pt>
              </c:numCache>
            </c:numRef>
          </c:val>
        </c:ser>
        <c:ser>
          <c:idx val="3"/>
          <c:order val="3"/>
          <c:tx>
            <c:strRef>
              <c:f>Feuil1!$E$1</c:f>
              <c:strCache>
                <c:ptCount val="1"/>
                <c:pt idx="0">
                  <c:v>Solde</c:v>
                </c:pt>
              </c:strCache>
            </c:strRef>
          </c:tx>
          <c:cat>
            <c:strRef>
              <c:f>Feuil1!$A$2:$A$4</c:f>
              <c:strCache>
                <c:ptCount val="3"/>
                <c:pt idx="0">
                  <c:v>Ventes</c:v>
                </c:pt>
                <c:pt idx="1">
                  <c:v>Commandes prévues</c:v>
                </c:pt>
                <c:pt idx="2">
                  <c:v>Emploi</c:v>
                </c:pt>
              </c:strCache>
            </c:strRef>
          </c:cat>
          <c:val>
            <c:numRef>
              <c:f>Feuil1!$E$2:$E$4</c:f>
              <c:numCache>
                <c:formatCode>0</c:formatCode>
                <c:ptCount val="3"/>
                <c:pt idx="0">
                  <c:v>22.9</c:v>
                </c:pt>
                <c:pt idx="1">
                  <c:v>-12.99</c:v>
                </c:pt>
                <c:pt idx="2">
                  <c:v>35.5</c:v>
                </c:pt>
              </c:numCache>
            </c:numRef>
          </c:val>
        </c:ser>
        <c:axId val="53537024"/>
        <c:axId val="53628928"/>
      </c:barChart>
      <c:catAx>
        <c:axId val="53537024"/>
        <c:scaling>
          <c:orientation val="minMax"/>
        </c:scaling>
        <c:axPos val="b"/>
        <c:majorGridlines/>
        <c:numFmt formatCode="General" sourceLinked="0"/>
        <c:majorTickMark val="none"/>
        <c:tickLblPos val="low"/>
        <c:txPr>
          <a:bodyPr/>
          <a:lstStyle/>
          <a:p>
            <a:pPr>
              <a:defRPr sz="800" b="1"/>
            </a:pPr>
            <a:endParaRPr lang="fr-FR"/>
          </a:p>
        </c:txPr>
        <c:crossAx val="53628928"/>
        <c:crosses val="autoZero"/>
        <c:auto val="1"/>
        <c:lblAlgn val="ctr"/>
        <c:lblOffset val="100"/>
      </c:catAx>
      <c:valAx>
        <c:axId val="53628928"/>
        <c:scaling>
          <c:orientation val="minMax"/>
        </c:scaling>
        <c:axPos val="l"/>
        <c:majorGridlines/>
        <c:numFmt formatCode="0" sourceLinked="1"/>
        <c:majorTickMark val="none"/>
        <c:tickLblPos val="nextTo"/>
        <c:crossAx val="53537024"/>
        <c:crosses val="autoZero"/>
        <c:crossBetween val="between"/>
      </c:valAx>
    </c:plotArea>
    <c:legend>
      <c:legendPos val="r"/>
      <c:layout>
        <c:manualLayout>
          <c:xMode val="edge"/>
          <c:yMode val="edge"/>
          <c:x val="0.73897851431362116"/>
          <c:y val="0.32712204362884689"/>
          <c:w val="0.16388985807911738"/>
          <c:h val="0.2486875725900117"/>
        </c:manualLayout>
      </c:layout>
      <c:txPr>
        <a:bodyPr/>
        <a:lstStyle/>
        <a:p>
          <a:pPr>
            <a:defRPr sz="800" b="1"/>
          </a:pPr>
          <a:endParaRPr lang="fr-FR"/>
        </a:p>
      </c:txPr>
    </c:legend>
    <c:plotVisOnly val="1"/>
    <c:dispBlanksAs val="gap"/>
  </c:chart>
  <c:spPr>
    <a:noFill/>
    <a:ln>
      <a:noFill/>
    </a:ln>
  </c:spPr>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3</Pages>
  <Words>588</Words>
  <Characters>3240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2016-06-15T11:22:00Z</cp:lastPrinted>
  <dcterms:created xsi:type="dcterms:W3CDTF">2016-06-19T12:48:00Z</dcterms:created>
  <dcterms:modified xsi:type="dcterms:W3CDTF">2016-06-19T12:48:00Z</dcterms:modified>
</cp:coreProperties>
</file>