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Default="00BB54A8" w:rsidP="00910F07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BB54A8">
        <w:rPr>
          <w:rFonts w:asciiTheme="minorHAnsi" w:hAnsiTheme="minorHAnsi" w:cs="Arabic Transparent"/>
          <w:noProof/>
          <w:rtl/>
          <w:lang w:eastAsia="fr-FR"/>
        </w:rPr>
        <w:pict>
          <v:group id="_x0000_s1051" style="position:absolute;left:0;text-align:left;margin-left:-145.2pt;margin-top:-88.7pt;width:910.15pt;height:181.5pt;z-index:251693056" coordorigin="-1486,-220" coordsize="18203,4107">
            <v:shape id="_x0000_s1027" style="position:absolute;left:-1364;top:-220;width:18081;height:217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20pt" o:cliptowrap="t">
              <v:shadow color="#ccc"/>
              <v:path arrowok="t"/>
            </v:shape>
            <v:shape id="_x0000_s1029" style="position:absolute;left:-1486;top:-56;width:18203;height:232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0" style="position:absolute;left:-1306;top:-19;width:17901;height:2505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1" style="position:absolute;left:-1267;top:18;width:17827;height:271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2" style="position:absolute;left:-1228;top:55;width:17631;height:2898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3" style="position:absolute;left:-1188;top:91;width:17556;height:309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4" style="position:absolute;left:-1359;top:111;width:17744;height:330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5" style="position:absolute;left:-1355;top:148;width:17775;height:350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6" style="position:absolute;left:-1280;top:185;width:17612;height:3702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</v:group>
        </w:pict>
      </w:r>
      <w:r w:rsidRPr="00BB54A8">
        <w:rPr>
          <w:rFonts w:asciiTheme="minorHAnsi" w:hAnsiTheme="minorHAns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7.35pt;margin-top:-64.1pt;width:118pt;height:59.3pt;z-index:251659264" wrapcoords="-106 0 -106 21308 21600 21308 21600 0 -106 0">
            <v:imagedata r:id="rId8" o:title=""/>
            <w10:wrap type="tight"/>
          </v:shape>
          <o:OLEObject Type="Embed" ProgID="PBrush" ShapeID="_x0000_s1048" DrawAspect="Content" ObjectID="_1527606628" r:id="rId9"/>
        </w:pict>
      </w:r>
      <w:r w:rsidR="00910F07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</w:rPr>
        <w:t xml:space="preserve">                              </w:t>
      </w:r>
    </w:p>
    <w:p w:rsidR="00FB117E" w:rsidRPr="00463BA2" w:rsidRDefault="0062212A" w:rsidP="00AC0BAD">
      <w:pPr>
        <w:rPr>
          <w:rFonts w:asciiTheme="minorHAnsi" w:hAnsiTheme="minorHAnsi" w:cs="Arabic Transparent"/>
          <w:color w:val="660066"/>
          <w:sz w:val="56"/>
          <w:szCs w:val="56"/>
          <w:rtl/>
          <w:lang w:bidi="ar-MA"/>
        </w:rPr>
      </w:pPr>
      <w:r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</w:rPr>
        <w:t>ال</w:t>
      </w:r>
      <w:r w:rsidR="00463BA2" w:rsidRPr="00463BA2">
        <w:rPr>
          <w:rFonts w:asciiTheme="minorHAnsi" w:hAnsiTheme="minorHAnsi" w:cs="Arabic Transparent"/>
          <w:b/>
          <w:bCs/>
          <w:color w:val="660066"/>
          <w:sz w:val="56"/>
          <w:szCs w:val="56"/>
          <w:rtl/>
        </w:rPr>
        <w:t xml:space="preserve">بحوث </w:t>
      </w:r>
      <w:r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  <w:lang w:bidi="ar-MA"/>
        </w:rPr>
        <w:t xml:space="preserve">الفصلية </w:t>
      </w:r>
      <w:r w:rsidR="00AC0BAD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  <w:lang w:bidi="ar-MA"/>
        </w:rPr>
        <w:t>حول ا</w:t>
      </w:r>
      <w:r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ل</w:t>
      </w:r>
      <w:r w:rsidR="00463BA2" w:rsidRPr="00463BA2">
        <w:rPr>
          <w:rFonts w:asciiTheme="minorHAnsi" w:hAnsiTheme="minorHAnsi" w:cs="Arabic Transparent"/>
          <w:b/>
          <w:bCs/>
          <w:color w:val="E36C0A" w:themeColor="accent6" w:themeShade="BF"/>
          <w:sz w:val="56"/>
          <w:szCs w:val="56"/>
          <w:rtl/>
        </w:rPr>
        <w:t>ظرفية</w:t>
      </w:r>
      <w:r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 xml:space="preserve"> الاقتصادية</w:t>
      </w:r>
    </w:p>
    <w:p w:rsidR="00132A8E" w:rsidRPr="00463BA2" w:rsidRDefault="00BB54A8" w:rsidP="00904B58">
      <w:pPr>
        <w:rPr>
          <w:rFonts w:asciiTheme="minorHAnsi" w:hAnsiTheme="minorHAnsi" w:cs="Arabic Transparent"/>
          <w:b/>
          <w:bCs/>
          <w:color w:val="660066"/>
          <w:sz w:val="56"/>
          <w:szCs w:val="56"/>
        </w:rPr>
      </w:pPr>
      <w:r w:rsidRPr="00BB54A8">
        <w:rPr>
          <w:rFonts w:asciiTheme="minorHAnsi" w:hAnsiTheme="minorHAnsi" w:cs="Arabic Transparent"/>
          <w:b/>
          <w:bCs/>
          <w:noProof/>
          <w:color w:val="E36C0A" w:themeColor="accent6" w:themeShade="BF"/>
          <w:sz w:val="56"/>
          <w:szCs w:val="5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60.7pt;margin-top:30.25pt;width:292.8pt;height:0;flip:x;z-index:251694080" o:connectortype="straight" strokecolor="#e36c0a [2409]"/>
        </w:pict>
      </w:r>
      <w:r w:rsidR="00463BA2" w:rsidRPr="00463BA2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الصناعة</w:t>
      </w:r>
      <w:r w:rsidR="00463BA2" w:rsidRPr="00463BA2"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</w:rPr>
        <w:t xml:space="preserve"> و </w:t>
      </w:r>
      <w:r w:rsidR="00463BA2" w:rsidRPr="00463BA2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البناء</w:t>
      </w:r>
    </w:p>
    <w:p w:rsidR="00FB117E" w:rsidRPr="00E422E0" w:rsidRDefault="00F17282" w:rsidP="00362D44">
      <w:pPr>
        <w:tabs>
          <w:tab w:val="left" w:pos="7760"/>
        </w:tabs>
        <w:spacing w:before="240"/>
        <w:jc w:val="center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                    </w:t>
      </w:r>
      <w:r w:rsidR="00362D44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يونيو</w:t>
      </w:r>
      <w:r w:rsidR="001826A5"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AD0872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6</w:t>
      </w:r>
      <w:r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FB117E" w:rsidRDefault="00BB54A8" w:rsidP="00082557">
      <w:pPr>
        <w:jc w:val="center"/>
        <w:rPr>
          <w:rFonts w:asciiTheme="minorHAnsi" w:hAnsiTheme="minorHAnsi" w:cs="Arabic Transparent"/>
          <w:rtl/>
          <w:lang w:bidi="ar-MA"/>
        </w:rPr>
      </w:pPr>
      <w:r>
        <w:rPr>
          <w:rFonts w:asciiTheme="minorHAnsi" w:hAnsiTheme="minorHAnsi" w:cs="Arabic Transparent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10pt;margin-top:3.65pt;width:469.75pt;height:109.9pt;z-index:251714560" fillcolor="#fbd4b4">
            <v:textbox style="mso-next-textbox:#_x0000_s1054">
              <w:txbxContent>
                <w:p w:rsidR="008A0153" w:rsidRPr="00485220" w:rsidRDefault="008A0153" w:rsidP="0079634C">
                  <w:pPr>
                    <w:pStyle w:val="Retraitcorpsdetexte"/>
                    <w:spacing w:line="400" w:lineRule="exact"/>
                    <w:ind w:left="-2" w:firstLine="708"/>
                    <w:jc w:val="center"/>
                    <w:rPr>
                      <w:rFonts w:asciiTheme="minorHAnsi" w:hAnsiTheme="minorHAnsi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485220">
                    <w:rPr>
                      <w:rFonts w:asciiTheme="minorHAnsi" w:hAnsiTheme="minorHAns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مذكـرة إخباريــة</w:t>
                  </w:r>
                  <w:r w:rsidRPr="00485220">
                    <w:rPr>
                      <w:rFonts w:asciiTheme="minorHAnsi" w:hAnsiTheme="minorHAnsi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</w:t>
                  </w:r>
                  <w:r w:rsidRPr="00485220">
                    <w:rPr>
                      <w:rFonts w:asciiTheme="minorHAnsi" w:hAnsiTheme="minorHAns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حول نتائج بحوث الظرفية </w:t>
                  </w:r>
                  <w:r w:rsidR="0079634C" w:rsidRPr="00485220">
                    <w:rPr>
                      <w:rFonts w:asciiTheme="minorHAnsi" w:hAnsiTheme="minorHAnsi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الاقتصادية </w:t>
                  </w:r>
                  <w:r w:rsidRPr="00485220">
                    <w:rPr>
                      <w:rFonts w:asciiTheme="minorHAnsi" w:hAnsiTheme="minorHAnsi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لدى مقاولات </w:t>
                  </w:r>
                  <w:r w:rsidRPr="00485220">
                    <w:rPr>
                      <w:rFonts w:asciiTheme="minorHAnsi" w:hAnsiTheme="minorHAns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الصناعة</w:t>
                  </w:r>
                  <w:r w:rsidRPr="00485220">
                    <w:rPr>
                      <w:rFonts w:asciiTheme="minorHAnsi" w:hAnsiTheme="minorHAnsi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</w:t>
                  </w:r>
                  <w:r w:rsidRPr="00485220">
                    <w:rPr>
                      <w:rFonts w:asciiTheme="minorHAnsi" w:hAnsiTheme="minorHAns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والبناء</w:t>
                  </w:r>
                </w:p>
                <w:p w:rsidR="008A0153" w:rsidRPr="008E1590" w:rsidRDefault="008A0153" w:rsidP="008A0153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Theme="minorHAnsi" w:hAnsiTheme="minorHAnsi"/>
                      <w:sz w:val="24"/>
                      <w:szCs w:val="24"/>
                      <w:rtl/>
                    </w:rPr>
                  </w:pP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ارتسامات مسؤولي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المستقاة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>
                    <w:rPr>
                      <w:rFonts w:asciiTheme="minorHAnsi" w:hAnsiTheme="minorHAns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برسم الفصل ا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لثاني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من سنة 2016 لدى المقاولات التابعة لقطاعات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>والبناء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. وترصد هذه الإرتسامات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خلال الفصل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الأول من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سنة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2016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ب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الفصل ا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لثاني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لسنة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2016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82557">
        <w:rPr>
          <w:rFonts w:asciiTheme="minorHAnsi" w:hAnsiTheme="minorHAnsi" w:cs="Arabic Transparent"/>
          <w:lang w:bidi="ar-MA"/>
        </w:rPr>
        <w:t xml:space="preserve">             </w:t>
      </w: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Pr="005A153A" w:rsidRDefault="008A0153" w:rsidP="00082557">
      <w:pPr>
        <w:jc w:val="center"/>
        <w:rPr>
          <w:rFonts w:asciiTheme="minorHAnsi" w:hAnsiTheme="minorHAnsi" w:cs="Arabic Transparent"/>
          <w:lang w:bidi="ar-MA"/>
        </w:rPr>
      </w:pPr>
    </w:p>
    <w:p w:rsidR="004559FB" w:rsidRDefault="002F100B" w:rsidP="00AD0872">
      <w:pPr>
        <w:tabs>
          <w:tab w:val="left" w:pos="7760"/>
        </w:tabs>
        <w:spacing w:before="360"/>
        <w:jc w:val="both"/>
        <w:rPr>
          <w:rFonts w:asciiTheme="minorHAnsi" w:hAnsiTheme="minorHAnsi" w:cs="Arabic Transparent"/>
          <w:b/>
          <w:bCs/>
          <w:color w:val="660066"/>
          <w:sz w:val="28"/>
          <w:szCs w:val="28"/>
        </w:rPr>
      </w:pPr>
      <w:r w:rsidRPr="00CE13A8">
        <w:rPr>
          <w:rFonts w:asciiTheme="minorHAnsi" w:hAnsiTheme="minorHAnsi" w:cs="Arabic Transparent"/>
          <w:b/>
          <w:bCs/>
          <w:color w:val="660066"/>
          <w:sz w:val="28"/>
          <w:szCs w:val="28"/>
        </w:rPr>
        <w:t xml:space="preserve"> </w:t>
      </w:r>
      <w:r w:rsidR="003024E2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1.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</w:rPr>
        <w:t xml:space="preserve">مسؤولي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</w:t>
      </w:r>
      <w:r w:rsidR="00E8542C" w:rsidRP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لمقاولات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</w:rPr>
        <w:t xml:space="preserve"> 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الخاصة</w:t>
      </w:r>
      <w:r w:rsidR="00B12E1A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ب</w:t>
      </w:r>
      <w:r w:rsidR="00F71699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362D44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الأول</w:t>
      </w:r>
      <w:r w:rsidR="00B12E1A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لسنة 201</w:t>
      </w:r>
      <w:r w:rsidR="00AD0872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6</w:t>
      </w:r>
    </w:p>
    <w:p w:rsidR="00732E82" w:rsidRDefault="00482288" w:rsidP="00963048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-188595</wp:posOffset>
            </wp:positionH>
            <wp:positionV relativeFrom="margin">
              <wp:posOffset>3235325</wp:posOffset>
            </wp:positionV>
            <wp:extent cx="2817495" cy="2455545"/>
            <wp:effectExtent l="0" t="0" r="0" b="0"/>
            <wp:wrapSquare wrapText="bothSides"/>
            <wp:docPr id="3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A21DC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</w:t>
      </w:r>
      <w:r w:rsidR="00362D44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الأول</w:t>
      </w:r>
      <w:r w:rsidR="007A21DC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لسنة 201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>6</w:t>
      </w:r>
      <w:r w:rsidR="0050230A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</w:t>
      </w:r>
      <w:r w:rsidR="0096304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يكون </w:t>
      </w:r>
      <w:r w:rsidR="006A299F" w:rsidRPr="0048522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إنتاج </w:t>
      </w:r>
      <w:r w:rsidR="00B12E1A" w:rsidRPr="0048522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الصناع</w:t>
      </w:r>
      <w:r w:rsidR="006926C0" w:rsidRPr="0048522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ة التحويلية</w:t>
      </w:r>
      <w:r w:rsidR="006A299F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6F7803" w:rsidRPr="00485220">
        <w:rPr>
          <w:rFonts w:asciiTheme="majorBidi" w:hAnsiTheme="majorBidi" w:cstheme="majorBidi"/>
          <w:sz w:val="26"/>
          <w:szCs w:val="26"/>
          <w:rtl/>
          <w:lang w:bidi="ar-MA"/>
        </w:rPr>
        <w:t>قد عرف</w:t>
      </w:r>
      <w:r w:rsidR="006A299F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حسب </w:t>
      </w:r>
      <w:r w:rsidR="00732E82" w:rsidRPr="00485220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6A299F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362D44" w:rsidRPr="00485220">
        <w:rPr>
          <w:rFonts w:asciiTheme="majorBidi" w:hAnsiTheme="majorBidi" w:cstheme="majorBidi"/>
          <w:sz w:val="26"/>
          <w:szCs w:val="26"/>
          <w:rtl/>
          <w:lang w:bidi="ar-MA"/>
        </w:rPr>
        <w:t>39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مسؤولي </w:t>
      </w:r>
      <w:r w:rsidR="00E8542C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B12E1A" w:rsidRPr="00485220">
        <w:rPr>
          <w:rFonts w:asciiTheme="majorBidi" w:hAnsiTheme="majorBidi" w:cstheme="majorBidi"/>
          <w:sz w:val="26"/>
          <w:szCs w:val="26"/>
          <w:rtl/>
          <w:lang w:bidi="ar-MA"/>
        </w:rPr>
        <w:t>لمقاولات</w:t>
      </w:r>
      <w:r w:rsidR="0062212A" w:rsidRPr="00485220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ارتفاعا 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>و</w:t>
      </w:r>
      <w:r w:rsidR="006A299F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F74BE" w:rsidRPr="00485220">
        <w:rPr>
          <w:rFonts w:asciiTheme="majorBidi" w:hAnsiTheme="majorBidi" w:cstheme="majorBidi"/>
          <w:sz w:val="26"/>
          <w:szCs w:val="26"/>
          <w:rtl/>
          <w:lang w:bidi="ar-MA"/>
        </w:rPr>
        <w:t>حسب</w:t>
      </w:r>
      <w:r w:rsidR="00732E82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D97663" w:rsidRPr="00485220">
        <w:rPr>
          <w:rFonts w:asciiTheme="majorBidi" w:hAnsiTheme="majorBidi" w:cstheme="majorBidi"/>
          <w:sz w:val="26"/>
          <w:szCs w:val="26"/>
          <w:rtl/>
          <w:lang w:bidi="ar-MA"/>
        </w:rPr>
        <w:t>2</w:t>
      </w:r>
      <w:r w:rsidR="00362D44" w:rsidRPr="00485220">
        <w:rPr>
          <w:rFonts w:asciiTheme="majorBidi" w:hAnsiTheme="majorBidi" w:cstheme="majorBidi"/>
          <w:sz w:val="26"/>
          <w:szCs w:val="26"/>
          <w:rtl/>
          <w:lang w:bidi="ar-MA"/>
        </w:rPr>
        <w:t>0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منهم انخفاضا</w:t>
      </w:r>
      <w:r w:rsidR="00B12E1A" w:rsidRPr="00485220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EF74B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>ويعزى هذا</w:t>
      </w:r>
      <w:r w:rsidR="009028C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CE13A8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الا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>رتفاع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F74B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إجمالا 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إلى 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>زيادة في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الإنتاج على صعيد أنشطة</w:t>
      </w:r>
      <w:r w:rsidR="001711F3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872EF0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13DB8" w:rsidRPr="00485220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872EF0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الصناعة الكيماوية"</w:t>
      </w:r>
      <w:r w:rsidR="00963048"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 w:rsidR="00872EF0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1711F3" w:rsidRPr="00485220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645F70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صن</w:t>
      </w:r>
      <w:r w:rsidR="00B050BE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ا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ع</w:t>
      </w:r>
      <w:r w:rsidR="00B050BE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ة</w:t>
      </w:r>
      <w:r w:rsidR="00E13DB8" w:rsidRPr="00485220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 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الأجھزة</w:t>
      </w:r>
      <w:r w:rsidR="00E13DB8" w:rsidRPr="00485220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 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الكھربائیة</w:t>
      </w:r>
      <w:r w:rsidR="001711F3" w:rsidRPr="00485220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975A24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B45920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975A24" w:rsidRPr="00485220">
        <w:rPr>
          <w:rFonts w:asciiTheme="majorBidi" w:hAnsiTheme="majorBidi" w:cstheme="majorBidi"/>
          <w:sz w:val="26"/>
          <w:szCs w:val="26"/>
          <w:rtl/>
          <w:lang w:bidi="ar-MA"/>
        </w:rPr>
        <w:t>و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645F70" w:rsidRPr="00485220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6E7C13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 w:bidi="ar-MA"/>
        </w:rPr>
        <w:t>صن</w:t>
      </w:r>
      <w:r w:rsidR="00530CEF" w:rsidRPr="00485220">
        <w:rPr>
          <w:rFonts w:asciiTheme="majorBidi" w:eastAsia="Calibri" w:hAnsiTheme="majorBidi" w:cstheme="majorBidi" w:hint="cs"/>
          <w:sz w:val="26"/>
          <w:szCs w:val="26"/>
          <w:rtl/>
          <w:lang w:eastAsia="fr-FR" w:bidi="ar-MA"/>
        </w:rPr>
        <w:t>ا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 w:bidi="ar-MA"/>
        </w:rPr>
        <w:t>ع</w:t>
      </w:r>
      <w:r w:rsidR="00530CEF" w:rsidRPr="00485220">
        <w:rPr>
          <w:rFonts w:asciiTheme="majorBidi" w:eastAsia="Calibri" w:hAnsiTheme="majorBidi" w:cstheme="majorBidi" w:hint="cs"/>
          <w:sz w:val="26"/>
          <w:szCs w:val="26"/>
          <w:rtl/>
          <w:lang w:eastAsia="fr-FR" w:bidi="ar-MA"/>
        </w:rPr>
        <w:t>ة</w:t>
      </w:r>
      <w:r w:rsidR="00E13DB8" w:rsidRPr="00485220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 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منتجات</w:t>
      </w:r>
      <w:r w:rsidR="00E13DB8" w:rsidRPr="00485220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 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أخرى</w:t>
      </w:r>
      <w:r w:rsidR="00E13DB8" w:rsidRPr="00485220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 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غیر</w:t>
      </w:r>
      <w:r w:rsidR="00E13DB8" w:rsidRPr="00485220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 </w:t>
      </w:r>
      <w:r w:rsidR="00E13DB8" w:rsidRPr="00485220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معدنیة</w:t>
      </w:r>
      <w:r w:rsidR="00645F70" w:rsidRPr="00485220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8634D8" w:rsidRPr="00485220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B45920" w:rsidRPr="00B45920" w:rsidRDefault="00B45920" w:rsidP="00E13DB8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"/>
          <w:szCs w:val="2"/>
          <w:rtl/>
          <w:lang w:bidi="ar-MA"/>
        </w:rPr>
      </w:pPr>
    </w:p>
    <w:p w:rsidR="008634D8" w:rsidRPr="00485220" w:rsidRDefault="00D97663" w:rsidP="00E13DB8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485220">
        <w:rPr>
          <w:rFonts w:asciiTheme="majorBidi" w:hAnsiTheme="majorBidi" w:cstheme="majorBidi"/>
          <w:sz w:val="26"/>
          <w:szCs w:val="26"/>
          <w:rtl/>
          <w:lang w:bidi="ar-MA"/>
        </w:rPr>
        <w:t>من جهة أخرى،</w:t>
      </w:r>
      <w:r w:rsidR="000838A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F17282" w:rsidRPr="00485220">
        <w:rPr>
          <w:rFonts w:asciiTheme="majorBidi" w:hAnsiTheme="majorBidi" w:cstheme="majorBidi"/>
          <w:sz w:val="26"/>
          <w:szCs w:val="26"/>
          <w:rtl/>
          <w:lang w:bidi="ar-MA"/>
        </w:rPr>
        <w:t>عتبر</w:t>
      </w:r>
      <w:r w:rsidR="007A21DC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>مستوى</w:t>
      </w:r>
      <w:r w:rsidR="00EF74B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دفاتر الطلب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لقطاع الصناعة التحويلية 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>عادي</w:t>
      </w:r>
      <w:r w:rsidR="00BA5872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طرف</w:t>
      </w:r>
      <w:r w:rsidR="008634D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F1017D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872EF0" w:rsidRPr="00485220">
        <w:rPr>
          <w:rFonts w:asciiTheme="majorBidi" w:hAnsiTheme="majorBidi" w:cstheme="majorBidi"/>
          <w:sz w:val="26"/>
          <w:szCs w:val="26"/>
          <w:rtl/>
          <w:lang w:bidi="ar-MA"/>
        </w:rPr>
        <w:t>72</w:t>
      </w:r>
      <w:r w:rsidR="00F1017D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13DB8" w:rsidRPr="00485220">
        <w:rPr>
          <w:rFonts w:asciiTheme="majorBidi" w:hAnsiTheme="majorBidi" w:cstheme="majorBidi"/>
          <w:sz w:val="26"/>
          <w:szCs w:val="26"/>
          <w:rtl/>
          <w:lang w:bidi="ar-MA"/>
        </w:rPr>
        <w:t>من</w:t>
      </w:r>
      <w:r w:rsidR="008634D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مسؤولي </w:t>
      </w:r>
      <w:r w:rsidR="001732E6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ال</w:t>
      </w:r>
      <w:r w:rsidR="00716BCD" w:rsidRPr="00485220">
        <w:rPr>
          <w:rFonts w:asciiTheme="majorBidi" w:hAnsiTheme="majorBidi" w:cstheme="majorBidi"/>
          <w:sz w:val="26"/>
          <w:szCs w:val="26"/>
          <w:rtl/>
          <w:lang w:bidi="ar-MA"/>
        </w:rPr>
        <w:t>مقاولات</w:t>
      </w:r>
      <w:r w:rsidR="00C94AC9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1732E6" w:rsidRPr="00485220">
        <w:rPr>
          <w:rFonts w:asciiTheme="majorBidi" w:hAnsiTheme="majorBidi" w:cstheme="majorBidi"/>
          <w:sz w:val="26"/>
          <w:szCs w:val="26"/>
          <w:rtl/>
          <w:lang w:bidi="ar-MA"/>
        </w:rPr>
        <w:t>و ضعيفا من طرف</w:t>
      </w:r>
      <w:r w:rsidR="00F1017D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872EF0" w:rsidRPr="00485220">
        <w:rPr>
          <w:rFonts w:asciiTheme="majorBidi" w:hAnsiTheme="majorBidi" w:cstheme="majorBidi"/>
          <w:sz w:val="26"/>
          <w:szCs w:val="26"/>
          <w:rtl/>
          <w:lang w:bidi="ar-MA"/>
        </w:rPr>
        <w:t>18</w:t>
      </w:r>
      <w:r w:rsidR="008634D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منهم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4551F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</w:p>
    <w:p w:rsidR="004551FE" w:rsidRPr="00485220" w:rsidRDefault="004551FE" w:rsidP="004852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lang w:eastAsia="fr-FR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</w:t>
      </w:r>
      <w:r w:rsidR="001732E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فيما يخص عدد المشتغلين، </w:t>
      </w:r>
      <w:r w:rsidR="00DA070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يكون قد </w:t>
      </w:r>
      <w:r w:rsidR="001732E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عرف </w:t>
      </w:r>
      <w:r w:rsidR="008B06D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</w:t>
      </w:r>
      <w:r w:rsidR="00872EF0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872EF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35</w:t>
      </w:r>
      <w:r w:rsidR="008B06D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872EF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من </w:t>
      </w:r>
      <w:r w:rsidR="008B06D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أرباب المقاولات </w:t>
      </w:r>
      <w:r w:rsidR="008634D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ارتفاعا </w:t>
      </w:r>
      <w:r w:rsidR="00DE28B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</w:t>
      </w:r>
      <w:r w:rsidR="001732E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8B06D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</w:t>
      </w:r>
      <w:r w:rsidR="008B06D3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872EF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18</w:t>
      </w:r>
      <w:r w:rsidR="008634D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منهم انخفاضا</w:t>
      </w:r>
      <w:r w:rsidR="001732E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. 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وفي هذا السياق، </w:t>
      </w:r>
      <w:r w:rsidR="00AF0BD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تكون 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قدرة الإنتاج المستعملة لمقاولات </w:t>
      </w:r>
      <w:r w:rsidR="00DA070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الصناعة التحويلية</w:t>
      </w:r>
      <w:r w:rsidR="00DA0708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قد سجلت نسبة </w:t>
      </w:r>
      <w:r w:rsidR="00904B58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17456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7</w:t>
      </w:r>
      <w:r w:rsidR="00872EF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</w:t>
      </w:r>
      <w:r w:rsidR="00904B58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 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الأول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CD375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</w:t>
      </w:r>
      <w:r w:rsidR="00872EF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</w:t>
      </w:r>
      <w:r w:rsidR="00CD375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  <w:r w:rsidR="007C439E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 </w:t>
      </w:r>
    </w:p>
    <w:p w:rsidR="0091366F" w:rsidRPr="00485220" w:rsidRDefault="00485220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فيما يخص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قطاع الصناعة الإستخراجية</w:t>
      </w: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يكون الإنتاج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قد ع</w:t>
      </w:r>
      <w:r w:rsidR="00963048" w:rsidRPr="00963048">
        <w:rPr>
          <w:rFonts w:asciiTheme="majorBidi" w:hAnsiTheme="majorBidi" w:cs="Times New Roman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-282592</wp:posOffset>
            </wp:positionH>
            <wp:positionV relativeFrom="margin">
              <wp:posOffset>6340629</wp:posOffset>
            </wp:positionV>
            <wp:extent cx="2743200" cy="2454876"/>
            <wp:effectExtent l="0" t="0" r="0" b="0"/>
            <wp:wrapSquare wrapText="bothSides"/>
            <wp:docPr id="20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رف</w:t>
      </w:r>
      <w:r w:rsidR="00112B0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،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الأول</w:t>
      </w:r>
      <w:r w:rsidR="00112B0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2016</w:t>
      </w:r>
      <w:r w:rsidR="008B4C4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1A778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</w:t>
      </w:r>
      <w:r w:rsidR="00CE12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نخفاضا</w:t>
      </w:r>
      <w:r w:rsidR="001A778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112B0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حسب تصريحات أغلبية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مسؤولي المقاولات وذلك نتيجة </w:t>
      </w:r>
      <w:r w:rsidR="00E13DB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تراجع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إنتاج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 الصناعات الإستخراجية الأخرى"</w:t>
      </w:r>
      <w:r w:rsidR="00112B0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 </w:t>
      </w:r>
      <w:r w:rsidR="008B4C4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خاصة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إنتاج الفوسفاط.</w:t>
      </w:r>
    </w:p>
    <w:p w:rsidR="0091366F" w:rsidRPr="00465F18" w:rsidRDefault="0091366F" w:rsidP="004852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8"/>
          <w:lang w:bidi="ar-MA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وقد اعتُبر مستوى دفاتر الطلب في هذا القطاع، حسب </w:t>
      </w:r>
      <w:r w:rsidR="00701EF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جل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مسؤولي المقاولات</w:t>
      </w:r>
      <w:r w:rsidR="0062212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عاديا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الأول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2016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. من جهة أخرى، يكون عدد المشتغلين قد عرف استقرارا استنادا إلى تصريحات </w:t>
      </w:r>
      <w:r w:rsidR="0060035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أغلبية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المقاولين. و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بالنسبة لقدرة الإنتاج المستعملة لمقاولات</w:t>
      </w:r>
      <w:r w:rsidR="007A21D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هذا القطاع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، تكون قد سجلت نسبة 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1A778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8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4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الأول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2016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</w:p>
    <w:p w:rsidR="00482288" w:rsidRPr="00465F18" w:rsidRDefault="007A21DC" w:rsidP="0079634C">
      <w:pPr>
        <w:bidi w:val="0"/>
        <w:rPr>
          <w:rFonts w:asciiTheme="majorBidi" w:hAnsiTheme="majorBidi" w:cstheme="majorBidi"/>
          <w:sz w:val="28"/>
          <w:szCs w:val="28"/>
          <w:lang w:bidi="ar-MA"/>
        </w:rPr>
      </w:pPr>
      <w:r w:rsidRPr="00465F18">
        <w:rPr>
          <w:rFonts w:asciiTheme="majorBidi" w:hAnsiTheme="majorBidi" w:cstheme="majorBidi"/>
          <w:sz w:val="28"/>
          <w:szCs w:val="28"/>
          <w:rtl/>
          <w:lang w:bidi="ar-MA"/>
        </w:rPr>
        <w:br w:type="page"/>
      </w:r>
      <w:r w:rsidR="00482288" w:rsidRPr="00465F18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2817628" cy="2573080"/>
            <wp:effectExtent l="0" t="0" r="0" b="0"/>
            <wp:docPr id="3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82288" w:rsidRPr="00465F18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drawing>
          <wp:inline distT="0" distB="0" distL="0" distR="0">
            <wp:extent cx="2785731" cy="2562447"/>
            <wp:effectExtent l="0" t="0" r="0" b="0"/>
            <wp:docPr id="3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07BE" w:rsidRPr="00485220" w:rsidRDefault="00485220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أما </w:t>
      </w:r>
      <w:r w:rsidR="0060035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قطاع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الطاقة، </w:t>
      </w: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يكون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الإنتاج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قد عرف ا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نخفاضا</w:t>
      </w:r>
      <w:r w:rsidR="00331B2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60035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نتيجة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459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تراجع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"إنتاج وتوزيع الكهرباء والغاز</w:t>
      </w:r>
      <w:r w:rsidR="007A21D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331B2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 البخار و الهواء المكيف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027E35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</w:p>
    <w:p w:rsidR="00AD2EE7" w:rsidRPr="00485220" w:rsidRDefault="00485220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و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بالنسبة لقطاع 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البيئة</w:t>
      </w:r>
      <w:r w:rsidR="007A21D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فقد عرف الإنتاج </w:t>
      </w:r>
      <w:r w:rsidR="00E8542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</w:t>
      </w:r>
      <w:r w:rsidR="00027E35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رتفاع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</w:t>
      </w:r>
      <w:r w:rsidR="00B459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حسب تصريحات أغلبية المقاولين</w:t>
      </w:r>
      <w:r w:rsidR="00B459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.</w:t>
      </w:r>
      <w:r w:rsidR="00027E35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ويعزى هذا الارتفاع إلى زيادة في الإنتاج على صعيد أنشطة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027E35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جمع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ومعالجة وتوزيع الماء".</w:t>
      </w:r>
      <w:r w:rsidR="007A21D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</w:p>
    <w:p w:rsidR="00C64ABE" w:rsidRDefault="00C64ABE" w:rsidP="004852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</w:t>
      </w:r>
      <w:r w:rsidR="00E8542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على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مستوى دفاتر الطلب في هذين القطاعين</w:t>
      </w:r>
      <w:r w:rsidR="00E8542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، فقد اعتبر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عاديا </w:t>
      </w:r>
      <w:r w:rsidR="00104B5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حسب مجموع مسؤولي مقاولات</w:t>
      </w:r>
      <w:r w:rsidR="0059745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قطاع</w:t>
      </w:r>
      <w:r w:rsidR="00AD2EE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ي</w:t>
      </w:r>
      <w:r w:rsidR="0059745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الطاقة</w:t>
      </w:r>
      <w:r w:rsidR="00AD2EE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 البيئة.</w:t>
      </w:r>
      <w:r w:rsidR="0059745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من جهة أخرى يكون عدد المشتغلين قد عرف</w:t>
      </w:r>
      <w:r w:rsidR="00A0658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E13DB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ارتفاعا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A0658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تصريحات جل </w:t>
      </w:r>
      <w:r w:rsidR="00AD2EE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مقاولي قطاع 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البيئة</w:t>
      </w:r>
      <w:r w:rsidR="00AD2EE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 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انخفاضا</w:t>
      </w:r>
      <w:r w:rsidR="00AD2EE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حسب 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ثلاثة ارباع</w:t>
      </w:r>
      <w:r w:rsidR="0096009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مقاولي قطاع 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الطاقة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 و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بالنسبة لقدرة الإنتاج المستعملة للمقاولات تكون قد سجلت نسبة 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87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 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الأول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2016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في قطاع </w:t>
      </w:r>
      <w:r w:rsidR="00A0658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الطاقة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 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50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في قطاع </w:t>
      </w:r>
      <w:r w:rsidR="00A0658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البيئة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</w:p>
    <w:p w:rsidR="00485220" w:rsidRPr="00485220" w:rsidRDefault="0007070B" w:rsidP="0007070B">
      <w:pPr>
        <w:pStyle w:val="Retraitcorpsdetexte"/>
        <w:spacing w:before="240"/>
        <w:ind w:right="-142" w:firstLine="0"/>
        <w:jc w:val="center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         </w:t>
      </w:r>
    </w:p>
    <w:p w:rsidR="00BA2CCF" w:rsidRDefault="00BA2CCF" w:rsidP="00BA2CCF">
      <w:pPr>
        <w:pStyle w:val="Retraitcorpsdetexte"/>
        <w:numPr>
          <w:ilvl w:val="0"/>
          <w:numId w:val="10"/>
        </w:numPr>
        <w:spacing w:before="240" w:after="240"/>
        <w:jc w:val="both"/>
        <w:rPr>
          <w:rFonts w:asciiTheme="minorHAnsi" w:hAnsiTheme="minorHAnsi"/>
          <w:b/>
          <w:bCs/>
          <w:color w:val="C00000"/>
          <w:sz w:val="28"/>
          <w:lang w:bidi="ar-MA"/>
        </w:rPr>
      </w:pPr>
      <w:r w:rsidRPr="00086476">
        <w:rPr>
          <w:rFonts w:asciiTheme="minorHAnsi" w:hAnsiTheme="minorHAnsi" w:hint="cs"/>
          <w:b/>
          <w:bCs/>
          <w:color w:val="C00000"/>
          <w:sz w:val="28"/>
          <w:rtl/>
          <w:lang w:bidi="ar-MA"/>
        </w:rPr>
        <w:t>قطاع البناء</w:t>
      </w:r>
    </w:p>
    <w:p w:rsidR="00BA2CCF" w:rsidRPr="00485220" w:rsidRDefault="00465F18" w:rsidP="00BA2CCF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5053330</wp:posOffset>
            </wp:positionV>
            <wp:extent cx="3308350" cy="2902585"/>
            <wp:effectExtent l="0" t="0" r="0" b="0"/>
            <wp:wrapSquare wrapText="bothSides"/>
            <wp:docPr id="2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تبين نتائج هذه البحوث خلال الفصل الأول لسنة 2016 أن نشاط قطاع البناء يكون قد عرف ارتفاعا حسب </w:t>
      </w:r>
      <w:r w:rsidR="00BA2CCF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34 من مسؤولي المقاولات وانخفاضا حسب </w:t>
      </w:r>
      <w:r w:rsidR="00BA2CCF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19  منهم. ويعزى هدا التحسن</w:t>
      </w:r>
      <w:r w:rsidR="005D49E6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الطفيف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بالأساس إلى الارتفاع الذي يكون قد سجل في انتاج </w:t>
      </w:r>
      <w:r w:rsidR="000E5983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أنشطة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فرعي " الھندسة</w:t>
      </w:r>
      <w:r w:rsidR="00BA2CCF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المدنیة"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 " تشیید</w:t>
      </w:r>
      <w:r w:rsidR="00204032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المباني"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</w:p>
    <w:p w:rsidR="00BA2CCF" w:rsidRPr="00485220" w:rsidRDefault="00BA2CCF" w:rsidP="00204032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بالنسبة لوضعية دفاتر الطلب في قطاع البناء خلال الفصل 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الاول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201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فقد اعتبر مستواه، حسب %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64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 مسؤولي المقاولات عاديا، وضعيفا حسب %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9.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أما عدد المشتغلين في القطاع،  يكون قد عرف حسب 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66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 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 أرباب المقاولات استقرارا. وفي هذا السياق، تكون  قدرة الإنتاج المستعملة للمقاولات قد سجلت نسبة 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66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 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خلال الفصل 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الأول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 لسنة 201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. </w:t>
      </w:r>
    </w:p>
    <w:p w:rsidR="00B9578F" w:rsidRPr="00465F18" w:rsidRDefault="00B9578F" w:rsidP="00960092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:rsidR="007A21DC" w:rsidRDefault="000838A8" w:rsidP="00B807BE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/>
          <w:sz w:val="24"/>
          <w:szCs w:val="24"/>
          <w:lang w:bidi="ar-MA"/>
        </w:rPr>
        <w:lastRenderedPageBreak/>
        <w:tab/>
      </w:r>
    </w:p>
    <w:p w:rsidR="006C7BC4" w:rsidRPr="00823856" w:rsidRDefault="003024E2" w:rsidP="00832F49">
      <w:pPr>
        <w:tabs>
          <w:tab w:val="left" w:pos="7760"/>
        </w:tabs>
        <w:spacing w:before="360" w:after="600"/>
        <w:jc w:val="both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2. </w:t>
      </w:r>
      <w:r w:rsidR="006C7BC4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توقعــات </w:t>
      </w:r>
      <w:r w:rsidR="00E8542C" w:rsidRPr="00960092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مسؤولي </w:t>
      </w:r>
      <w:r w:rsidR="00E8542C" w:rsidRPr="00960092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="006C7BC4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الخاصة بالفصل </w:t>
      </w:r>
      <w:r w:rsidR="00832F49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الثاني</w:t>
      </w:r>
      <w:r w:rsidR="006C7BC4"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لسنة </w:t>
      </w:r>
      <w:r w:rsidR="006C7BC4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201</w:t>
      </w:r>
      <w:r w:rsidR="00960092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6</w:t>
      </w:r>
    </w:p>
    <w:p w:rsidR="002D14E3" w:rsidRPr="00485220" w:rsidRDefault="008A0153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-278130</wp:posOffset>
            </wp:positionH>
            <wp:positionV relativeFrom="margin">
              <wp:posOffset>743585</wp:posOffset>
            </wp:positionV>
            <wp:extent cx="3265170" cy="2604770"/>
            <wp:effectExtent l="0" t="0" r="0" b="0"/>
            <wp:wrapSquare wrapText="bothSides"/>
            <wp:docPr id="3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تشير توقعات رؤساء مقاولات قطاع الصناعة التحويلية إلى أن الإنتاج سيعرف، حسب </w:t>
      </w:r>
      <w:r w:rsidR="006C7BC4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%</w:t>
      </w:r>
      <w:r w:rsidR="0096009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4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5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منهم، ارتفاعا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الثاني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201</w:t>
      </w:r>
      <w:r w:rsidR="001E1085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  و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انخفاضا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حسب </w:t>
      </w:r>
      <w:r w:rsidR="006C7BC4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22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. ويعزى هذا التحسن </w:t>
      </w:r>
      <w:r w:rsidR="00EB48E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الطفيف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بالأساس إلى </w:t>
      </w:r>
      <w:r w:rsidR="008E159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النمو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المرتقب في أنشطة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"الصناعات الغذائية "</w:t>
      </w:r>
      <w:r w:rsidR="00B459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و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EB48E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الصناعة الكيماوية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EB48E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</w:t>
      </w:r>
      <w:r w:rsidR="00EB48E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صناعة</w:t>
      </w:r>
      <w:r w:rsidR="00B050BE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الأجھزة</w:t>
      </w:r>
      <w:r w:rsidR="00B050BE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الكھربائیة</w:t>
      </w:r>
      <w:r w:rsidR="002D14E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". </w:t>
      </w:r>
    </w:p>
    <w:p w:rsidR="006C7BC4" w:rsidRPr="00485220" w:rsidRDefault="006C7BC4" w:rsidP="004852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lang w:eastAsia="fr-FR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ومن جهة أخرى</w:t>
      </w:r>
      <w:r w:rsidR="00F6519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، يتوقع 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4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3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 </w:t>
      </w:r>
      <w:r w:rsidR="006F45F9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المقاولين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ارتفاع</w:t>
      </w:r>
      <w:r w:rsidR="002D14E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عدد المشتغلين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الثاني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2D14E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2016</w:t>
      </w:r>
      <w:r w:rsidR="006F45F9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بينما </w:t>
      </w:r>
      <w:r w:rsidR="00F6519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يتوقع 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22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منهم 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انخفاض</w:t>
      </w:r>
      <w:r w:rsidR="002D14E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ه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</w:p>
    <w:p w:rsidR="00963048" w:rsidRDefault="00963048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</w:p>
    <w:p w:rsidR="00963048" w:rsidRDefault="00963048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</w:p>
    <w:p w:rsidR="00E30FD6" w:rsidRPr="00485220" w:rsidRDefault="00B45920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كما </w:t>
      </w:r>
      <w:r w:rsidR="00933889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ين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تظر أن يعرف قطاع الصناعة الإستخراجية، حسب جل أرباب المقاولات، ارتفاعا في الإنتاج نتيجة التحسن في إنتاج </w:t>
      </w:r>
      <w:r w:rsidR="008D6974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الفوسفاط. </w:t>
      </w: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و</w:t>
      </w:r>
      <w:r w:rsidR="000657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بالنسبة لعدد المشتغلين، يتوقع </w:t>
      </w:r>
      <w:r w:rsidR="00DB58B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أغلب</w:t>
      </w:r>
      <w:r w:rsidR="00E30FD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مسؤولي المقاولات استقرار هذا العدد.</w:t>
      </w:r>
    </w:p>
    <w:p w:rsidR="00742D5D" w:rsidRPr="00485220" w:rsidRDefault="001872CC" w:rsidP="00895598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كما يرتقب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أن يعرف 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قطاع الصناعة الطاقية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، </w:t>
      </w:r>
      <w:r w:rsidR="00C316F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أغلبية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أرباب المقاولات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ارتفاعا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في الإنتاج نتيجة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تحسن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"إنتاج وتوزيع ا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لكهرباء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والغاز</w:t>
      </w:r>
      <w:r w:rsidR="008E159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 البخار و الهواء المكيف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.وفيما يخص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قطاع </w:t>
      </w:r>
      <w:r w:rsidR="002E4C0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صناعة 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البيئية، ف</w:t>
      </w:r>
      <w:r w:rsidR="00895598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إ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ن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جل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المقاولين يتوقعون </w:t>
      </w:r>
      <w:r w:rsidR="00C316F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استقرارا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في </w:t>
      </w:r>
      <w:r w:rsidR="004955C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الإنتاج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بالخصوص في "جمع ومعالجة وتوزيع الماء".</w:t>
      </w:r>
      <w:r w:rsidR="006E7C1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أما </w:t>
      </w:r>
      <w:r w:rsid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فيما يتعلق ب</w:t>
      </w:r>
      <w:r w:rsidR="006E7C1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التشغيل،</w:t>
      </w:r>
      <w:r w:rsidR="0014269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فان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أغلبية</w:t>
      </w:r>
      <w:r w:rsidR="006E7C1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أرباب مقاولات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القطاعين</w:t>
      </w:r>
      <w:r w:rsidR="0014269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يتوقعون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ارتفاع</w:t>
      </w:r>
      <w:r w:rsidR="006E7C1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عدد المشتغلين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  <w:r w:rsidR="00C316F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</w:p>
    <w:p w:rsidR="008E1590" w:rsidRPr="00465F18" w:rsidRDefault="008E1590" w:rsidP="008E1590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8"/>
          <w:rtl/>
          <w:lang w:bidi="ar-MA"/>
        </w:rPr>
      </w:pPr>
    </w:p>
    <w:p w:rsidR="005F4100" w:rsidRDefault="00BF28C3" w:rsidP="005F4100">
      <w:pPr>
        <w:pStyle w:val="Retraitcorpsdetexte"/>
        <w:numPr>
          <w:ilvl w:val="0"/>
          <w:numId w:val="11"/>
        </w:numPr>
        <w:spacing w:before="240" w:after="240"/>
        <w:jc w:val="both"/>
        <w:rPr>
          <w:rFonts w:asciiTheme="minorHAnsi" w:hAnsiTheme="minorHAnsi"/>
          <w:b/>
          <w:bCs/>
          <w:color w:val="C00000"/>
          <w:sz w:val="28"/>
          <w:lang w:bidi="ar-MA"/>
        </w:rPr>
      </w:pPr>
      <w:r>
        <w:rPr>
          <w:rFonts w:asciiTheme="minorHAnsi" w:hAnsiTheme="minorHAnsi" w:hint="cs"/>
          <w:b/>
          <w:bCs/>
          <w:noProof/>
          <w:color w:val="C00000"/>
          <w:sz w:val="28"/>
          <w:rtl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-358775</wp:posOffset>
            </wp:positionH>
            <wp:positionV relativeFrom="margin">
              <wp:posOffset>5648960</wp:posOffset>
            </wp:positionV>
            <wp:extent cx="3189605" cy="2753360"/>
            <wp:effectExtent l="0" t="0" r="0" b="0"/>
            <wp:wrapSquare wrapText="bothSides"/>
            <wp:docPr id="21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5F4100" w:rsidRPr="00086476">
        <w:rPr>
          <w:rFonts w:asciiTheme="minorHAnsi" w:hAnsiTheme="minorHAnsi" w:hint="cs"/>
          <w:b/>
          <w:bCs/>
          <w:color w:val="C00000"/>
          <w:sz w:val="28"/>
          <w:rtl/>
          <w:lang w:bidi="ar-MA"/>
        </w:rPr>
        <w:t>قطاع البناء</w:t>
      </w:r>
    </w:p>
    <w:p w:rsidR="005F4100" w:rsidRDefault="005F4100" w:rsidP="005F4100">
      <w:pPr>
        <w:bidi w:val="0"/>
        <w:jc w:val="right"/>
        <w:rPr>
          <w:rFonts w:asciiTheme="minorHAnsi" w:hAnsiTheme="minorHAnsi" w:cs="Arabic Transparent"/>
          <w:sz w:val="24"/>
          <w:szCs w:val="24"/>
          <w:rtl/>
          <w:lang w:bidi="ar-MA"/>
        </w:rPr>
      </w:pPr>
    </w:p>
    <w:p w:rsidR="00485220" w:rsidRDefault="005F4100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تُفيد توقعات </w:t>
      </w:r>
      <w:r w:rsidR="0006047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مسؤول</w:t>
      </w:r>
      <w:r w:rsidR="0006047A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ي</w:t>
      </w:r>
      <w:r w:rsidR="0006047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مقاولات قطاع  البناء</w:t>
      </w:r>
      <w:r w:rsidR="0006047A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المتعلقة بالفصل الثاني لسنة 2016 بارتفاع نشاط قطاع البناء.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ويعزى 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ذلك أساسا إلى الارتفاع المرتقب على مستوى أنشطة فرعي "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تشیید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المباني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" و"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أنشطة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البناء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المتخصصة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" . </w:t>
      </w:r>
    </w:p>
    <w:p w:rsidR="005734CB" w:rsidRDefault="005F4100" w:rsidP="0006047A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وفيما يخص عدد المشتغلين خلال الفصل الثاني لسنة 2016،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فإن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%60 من </w:t>
      </w:r>
      <w:r w:rsidR="0006047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المقاولين 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يتوقعون استقراره</w:t>
      </w:r>
      <w:r w:rsidR="008D6974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.</w:t>
      </w:r>
    </w:p>
    <w:p w:rsidR="00485220" w:rsidRDefault="00485220" w:rsidP="004852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</w:p>
    <w:p w:rsidR="00485220" w:rsidRDefault="00485220" w:rsidP="004852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</w:p>
    <w:p w:rsidR="00485220" w:rsidRDefault="00485220" w:rsidP="004852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</w:p>
    <w:p w:rsidR="00485220" w:rsidRPr="00485220" w:rsidRDefault="00485220" w:rsidP="004852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lang w:eastAsia="fr-FR"/>
        </w:rPr>
      </w:pPr>
    </w:p>
    <w:sectPr w:rsidR="00485220" w:rsidRPr="00485220" w:rsidSect="006926C0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BF" w:rsidRDefault="00971FBF" w:rsidP="000E251D">
      <w:r>
        <w:separator/>
      </w:r>
    </w:p>
  </w:endnote>
  <w:endnote w:type="continuationSeparator" w:id="1">
    <w:p w:rsidR="00971FBF" w:rsidRDefault="00971FBF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972433"/>
      <w:docPartObj>
        <w:docPartGallery w:val="Page Numbers (Bottom of Page)"/>
        <w:docPartUnique/>
      </w:docPartObj>
    </w:sdtPr>
    <w:sdtContent>
      <w:p w:rsidR="006926C0" w:rsidRDefault="00BB54A8">
        <w:pPr>
          <w:pStyle w:val="Pieddepage"/>
          <w:jc w:val="center"/>
        </w:pPr>
        <w:fldSimple w:instr=" PAGE   \* MERGEFORMAT ">
          <w:r w:rsidR="0007070B">
            <w:rPr>
              <w:noProof/>
              <w:rtl/>
            </w:rPr>
            <w:t>2</w:t>
          </w:r>
        </w:fldSimple>
      </w:p>
    </w:sdtContent>
  </w:sdt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BF" w:rsidRDefault="00971FBF" w:rsidP="000E251D">
      <w:r>
        <w:separator/>
      </w:r>
    </w:p>
  </w:footnote>
  <w:footnote w:type="continuationSeparator" w:id="1">
    <w:p w:rsidR="00971FBF" w:rsidRDefault="00971FBF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EE68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2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3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6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FB"/>
    <w:rsid w:val="00005DF0"/>
    <w:rsid w:val="00006D1C"/>
    <w:rsid w:val="00007707"/>
    <w:rsid w:val="0001667E"/>
    <w:rsid w:val="00025B4D"/>
    <w:rsid w:val="00027E35"/>
    <w:rsid w:val="00036FC3"/>
    <w:rsid w:val="000421E6"/>
    <w:rsid w:val="000462D3"/>
    <w:rsid w:val="00047173"/>
    <w:rsid w:val="000516D7"/>
    <w:rsid w:val="0006047A"/>
    <w:rsid w:val="0006322D"/>
    <w:rsid w:val="000654DD"/>
    <w:rsid w:val="000657C4"/>
    <w:rsid w:val="0007049E"/>
    <w:rsid w:val="0007070B"/>
    <w:rsid w:val="000711FC"/>
    <w:rsid w:val="00082557"/>
    <w:rsid w:val="000838A8"/>
    <w:rsid w:val="00083993"/>
    <w:rsid w:val="00093354"/>
    <w:rsid w:val="000A060A"/>
    <w:rsid w:val="000B7837"/>
    <w:rsid w:val="000E251D"/>
    <w:rsid w:val="000E5983"/>
    <w:rsid w:val="000F7FCB"/>
    <w:rsid w:val="00104B56"/>
    <w:rsid w:val="00112B0B"/>
    <w:rsid w:val="001158C0"/>
    <w:rsid w:val="001210CE"/>
    <w:rsid w:val="001241FB"/>
    <w:rsid w:val="00132A8E"/>
    <w:rsid w:val="00140D5A"/>
    <w:rsid w:val="00142697"/>
    <w:rsid w:val="00143950"/>
    <w:rsid w:val="001529DA"/>
    <w:rsid w:val="00162D9A"/>
    <w:rsid w:val="00166E4D"/>
    <w:rsid w:val="00170A3E"/>
    <w:rsid w:val="001711F3"/>
    <w:rsid w:val="001732E6"/>
    <w:rsid w:val="0017456E"/>
    <w:rsid w:val="001751C1"/>
    <w:rsid w:val="001762D6"/>
    <w:rsid w:val="00176CFE"/>
    <w:rsid w:val="001826A5"/>
    <w:rsid w:val="00182F91"/>
    <w:rsid w:val="00184198"/>
    <w:rsid w:val="00184F33"/>
    <w:rsid w:val="001872CC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E1085"/>
    <w:rsid w:val="001E2FEF"/>
    <w:rsid w:val="001E6A8E"/>
    <w:rsid w:val="001E7CF3"/>
    <w:rsid w:val="001F46A9"/>
    <w:rsid w:val="0020243C"/>
    <w:rsid w:val="00203A6B"/>
    <w:rsid w:val="00204032"/>
    <w:rsid w:val="002077CD"/>
    <w:rsid w:val="002173B7"/>
    <w:rsid w:val="002205D3"/>
    <w:rsid w:val="0022350B"/>
    <w:rsid w:val="00226884"/>
    <w:rsid w:val="00237BFF"/>
    <w:rsid w:val="00240EBB"/>
    <w:rsid w:val="00244B83"/>
    <w:rsid w:val="00247941"/>
    <w:rsid w:val="002479F7"/>
    <w:rsid w:val="002508B1"/>
    <w:rsid w:val="00261807"/>
    <w:rsid w:val="002626E5"/>
    <w:rsid w:val="0026369E"/>
    <w:rsid w:val="002A7384"/>
    <w:rsid w:val="002B290B"/>
    <w:rsid w:val="002B72E0"/>
    <w:rsid w:val="002C15BC"/>
    <w:rsid w:val="002C5B68"/>
    <w:rsid w:val="002C6BBC"/>
    <w:rsid w:val="002D14E3"/>
    <w:rsid w:val="002E4C07"/>
    <w:rsid w:val="002F100B"/>
    <w:rsid w:val="002F2296"/>
    <w:rsid w:val="002F382A"/>
    <w:rsid w:val="003024E2"/>
    <w:rsid w:val="003108B5"/>
    <w:rsid w:val="0031235E"/>
    <w:rsid w:val="00314A87"/>
    <w:rsid w:val="00314D4E"/>
    <w:rsid w:val="00322C86"/>
    <w:rsid w:val="00331B24"/>
    <w:rsid w:val="00337681"/>
    <w:rsid w:val="0034059B"/>
    <w:rsid w:val="00343A3B"/>
    <w:rsid w:val="00344CE3"/>
    <w:rsid w:val="00361087"/>
    <w:rsid w:val="00362D44"/>
    <w:rsid w:val="00364CD0"/>
    <w:rsid w:val="003677B3"/>
    <w:rsid w:val="00377535"/>
    <w:rsid w:val="00380648"/>
    <w:rsid w:val="003B6D89"/>
    <w:rsid w:val="003C322F"/>
    <w:rsid w:val="003D4F40"/>
    <w:rsid w:val="003F6332"/>
    <w:rsid w:val="003F757B"/>
    <w:rsid w:val="00401ED0"/>
    <w:rsid w:val="00403042"/>
    <w:rsid w:val="004062D5"/>
    <w:rsid w:val="00406CD7"/>
    <w:rsid w:val="00412BF2"/>
    <w:rsid w:val="004172A0"/>
    <w:rsid w:val="004233BB"/>
    <w:rsid w:val="0042530F"/>
    <w:rsid w:val="004324FC"/>
    <w:rsid w:val="00436426"/>
    <w:rsid w:val="00437834"/>
    <w:rsid w:val="00440497"/>
    <w:rsid w:val="00447FBF"/>
    <w:rsid w:val="004551FE"/>
    <w:rsid w:val="004559FB"/>
    <w:rsid w:val="004573EE"/>
    <w:rsid w:val="00463BA2"/>
    <w:rsid w:val="0046579C"/>
    <w:rsid w:val="00465F18"/>
    <w:rsid w:val="0047141D"/>
    <w:rsid w:val="00474170"/>
    <w:rsid w:val="00474E92"/>
    <w:rsid w:val="00482288"/>
    <w:rsid w:val="00485220"/>
    <w:rsid w:val="00490CC8"/>
    <w:rsid w:val="00493B38"/>
    <w:rsid w:val="00493B58"/>
    <w:rsid w:val="004955CB"/>
    <w:rsid w:val="00496A1C"/>
    <w:rsid w:val="00496B2B"/>
    <w:rsid w:val="004A0990"/>
    <w:rsid w:val="004A2020"/>
    <w:rsid w:val="004B45CB"/>
    <w:rsid w:val="004B7154"/>
    <w:rsid w:val="004C2ACE"/>
    <w:rsid w:val="004D0E23"/>
    <w:rsid w:val="004E71EC"/>
    <w:rsid w:val="004F0A6F"/>
    <w:rsid w:val="004F64BA"/>
    <w:rsid w:val="0050230A"/>
    <w:rsid w:val="005055E7"/>
    <w:rsid w:val="0050605A"/>
    <w:rsid w:val="00507BE5"/>
    <w:rsid w:val="0051593C"/>
    <w:rsid w:val="00516ACF"/>
    <w:rsid w:val="00530CEF"/>
    <w:rsid w:val="0056350E"/>
    <w:rsid w:val="0057004E"/>
    <w:rsid w:val="005734CB"/>
    <w:rsid w:val="00573CA1"/>
    <w:rsid w:val="0058261F"/>
    <w:rsid w:val="005830D8"/>
    <w:rsid w:val="00585BD6"/>
    <w:rsid w:val="00592ED6"/>
    <w:rsid w:val="00597456"/>
    <w:rsid w:val="005A153A"/>
    <w:rsid w:val="005A21C1"/>
    <w:rsid w:val="005B0459"/>
    <w:rsid w:val="005C1452"/>
    <w:rsid w:val="005C5608"/>
    <w:rsid w:val="005D2A5B"/>
    <w:rsid w:val="005D49E6"/>
    <w:rsid w:val="005E6BA5"/>
    <w:rsid w:val="005F0291"/>
    <w:rsid w:val="005F4100"/>
    <w:rsid w:val="005F4246"/>
    <w:rsid w:val="005F4963"/>
    <w:rsid w:val="005F4B22"/>
    <w:rsid w:val="00600352"/>
    <w:rsid w:val="006032A4"/>
    <w:rsid w:val="006143A0"/>
    <w:rsid w:val="00617CBA"/>
    <w:rsid w:val="0062212A"/>
    <w:rsid w:val="00625BF8"/>
    <w:rsid w:val="00633EEC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3F53"/>
    <w:rsid w:val="00684106"/>
    <w:rsid w:val="006926C0"/>
    <w:rsid w:val="0069333C"/>
    <w:rsid w:val="006A299F"/>
    <w:rsid w:val="006B7980"/>
    <w:rsid w:val="006C7BC4"/>
    <w:rsid w:val="006D0FD4"/>
    <w:rsid w:val="006D51ED"/>
    <w:rsid w:val="006D77E1"/>
    <w:rsid w:val="006E1145"/>
    <w:rsid w:val="006E2123"/>
    <w:rsid w:val="006E7C13"/>
    <w:rsid w:val="006F45F9"/>
    <w:rsid w:val="006F6A60"/>
    <w:rsid w:val="006F7803"/>
    <w:rsid w:val="00700124"/>
    <w:rsid w:val="00701EF7"/>
    <w:rsid w:val="00715A4E"/>
    <w:rsid w:val="00716BCD"/>
    <w:rsid w:val="007229BC"/>
    <w:rsid w:val="007246DA"/>
    <w:rsid w:val="00732E82"/>
    <w:rsid w:val="00742D5D"/>
    <w:rsid w:val="00747D2E"/>
    <w:rsid w:val="00754718"/>
    <w:rsid w:val="0076571C"/>
    <w:rsid w:val="00767DE1"/>
    <w:rsid w:val="0078558E"/>
    <w:rsid w:val="00785E54"/>
    <w:rsid w:val="00786CC5"/>
    <w:rsid w:val="0079634C"/>
    <w:rsid w:val="00796595"/>
    <w:rsid w:val="00796E2F"/>
    <w:rsid w:val="007A105D"/>
    <w:rsid w:val="007A21DC"/>
    <w:rsid w:val="007A4F6A"/>
    <w:rsid w:val="007A6CE7"/>
    <w:rsid w:val="007C17D7"/>
    <w:rsid w:val="007C439E"/>
    <w:rsid w:val="007D3AC1"/>
    <w:rsid w:val="007E0E7D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2CF8"/>
    <w:rsid w:val="00805FAF"/>
    <w:rsid w:val="00806102"/>
    <w:rsid w:val="00813DC1"/>
    <w:rsid w:val="0082039D"/>
    <w:rsid w:val="00823856"/>
    <w:rsid w:val="00826B2D"/>
    <w:rsid w:val="00827D5B"/>
    <w:rsid w:val="00832F49"/>
    <w:rsid w:val="008340F7"/>
    <w:rsid w:val="00842958"/>
    <w:rsid w:val="0085677C"/>
    <w:rsid w:val="00856AA8"/>
    <w:rsid w:val="008634D8"/>
    <w:rsid w:val="00863C9C"/>
    <w:rsid w:val="00871420"/>
    <w:rsid w:val="00872EF0"/>
    <w:rsid w:val="0088576A"/>
    <w:rsid w:val="00895598"/>
    <w:rsid w:val="008972CF"/>
    <w:rsid w:val="008979E8"/>
    <w:rsid w:val="008A0153"/>
    <w:rsid w:val="008A7828"/>
    <w:rsid w:val="008B06D3"/>
    <w:rsid w:val="008B1E99"/>
    <w:rsid w:val="008B4C41"/>
    <w:rsid w:val="008B641D"/>
    <w:rsid w:val="008C29E1"/>
    <w:rsid w:val="008C3DC3"/>
    <w:rsid w:val="008D59AE"/>
    <w:rsid w:val="008D61F3"/>
    <w:rsid w:val="008D6974"/>
    <w:rsid w:val="008D7762"/>
    <w:rsid w:val="008E1590"/>
    <w:rsid w:val="008F0B1F"/>
    <w:rsid w:val="008F23EA"/>
    <w:rsid w:val="008F656B"/>
    <w:rsid w:val="009028CE"/>
    <w:rsid w:val="00904B58"/>
    <w:rsid w:val="00905C0E"/>
    <w:rsid w:val="00910F07"/>
    <w:rsid w:val="009113E6"/>
    <w:rsid w:val="0091366F"/>
    <w:rsid w:val="00922AA3"/>
    <w:rsid w:val="00931D5D"/>
    <w:rsid w:val="00933889"/>
    <w:rsid w:val="009360BC"/>
    <w:rsid w:val="00943253"/>
    <w:rsid w:val="00953868"/>
    <w:rsid w:val="00960092"/>
    <w:rsid w:val="00960FCA"/>
    <w:rsid w:val="00963048"/>
    <w:rsid w:val="00967215"/>
    <w:rsid w:val="00970F77"/>
    <w:rsid w:val="00971FBF"/>
    <w:rsid w:val="00972B7F"/>
    <w:rsid w:val="00975A24"/>
    <w:rsid w:val="00980D11"/>
    <w:rsid w:val="00982EF0"/>
    <w:rsid w:val="00987981"/>
    <w:rsid w:val="00990E56"/>
    <w:rsid w:val="0099293B"/>
    <w:rsid w:val="009A0A20"/>
    <w:rsid w:val="009A3C12"/>
    <w:rsid w:val="009A7006"/>
    <w:rsid w:val="009C780E"/>
    <w:rsid w:val="009D1660"/>
    <w:rsid w:val="009F41E7"/>
    <w:rsid w:val="009F6CC2"/>
    <w:rsid w:val="00A01226"/>
    <w:rsid w:val="00A0209F"/>
    <w:rsid w:val="00A03EC1"/>
    <w:rsid w:val="00A06584"/>
    <w:rsid w:val="00A175B3"/>
    <w:rsid w:val="00A4347D"/>
    <w:rsid w:val="00A44E94"/>
    <w:rsid w:val="00A460BB"/>
    <w:rsid w:val="00A5009D"/>
    <w:rsid w:val="00A541EC"/>
    <w:rsid w:val="00A62A48"/>
    <w:rsid w:val="00A63143"/>
    <w:rsid w:val="00A71C65"/>
    <w:rsid w:val="00A74EC9"/>
    <w:rsid w:val="00A95855"/>
    <w:rsid w:val="00A9770D"/>
    <w:rsid w:val="00AB4F2D"/>
    <w:rsid w:val="00AC0BAD"/>
    <w:rsid w:val="00AC68C9"/>
    <w:rsid w:val="00AD0872"/>
    <w:rsid w:val="00AD08B3"/>
    <w:rsid w:val="00AD2EE7"/>
    <w:rsid w:val="00AD4B6C"/>
    <w:rsid w:val="00AF0BD7"/>
    <w:rsid w:val="00AF2340"/>
    <w:rsid w:val="00AF5A6B"/>
    <w:rsid w:val="00B050BE"/>
    <w:rsid w:val="00B1017E"/>
    <w:rsid w:val="00B120F8"/>
    <w:rsid w:val="00B12E1A"/>
    <w:rsid w:val="00B22AEE"/>
    <w:rsid w:val="00B25491"/>
    <w:rsid w:val="00B26CE3"/>
    <w:rsid w:val="00B32A94"/>
    <w:rsid w:val="00B349BE"/>
    <w:rsid w:val="00B448DD"/>
    <w:rsid w:val="00B45920"/>
    <w:rsid w:val="00B45EFC"/>
    <w:rsid w:val="00B511E9"/>
    <w:rsid w:val="00B53DD5"/>
    <w:rsid w:val="00B56B5F"/>
    <w:rsid w:val="00B5733C"/>
    <w:rsid w:val="00B640ED"/>
    <w:rsid w:val="00B70A22"/>
    <w:rsid w:val="00B807BE"/>
    <w:rsid w:val="00B9578F"/>
    <w:rsid w:val="00BA2CCF"/>
    <w:rsid w:val="00BA4E38"/>
    <w:rsid w:val="00BA5872"/>
    <w:rsid w:val="00BA602D"/>
    <w:rsid w:val="00BA6A7F"/>
    <w:rsid w:val="00BB54A8"/>
    <w:rsid w:val="00BC4F68"/>
    <w:rsid w:val="00BD094C"/>
    <w:rsid w:val="00BE00BE"/>
    <w:rsid w:val="00BF28C3"/>
    <w:rsid w:val="00BF2E0A"/>
    <w:rsid w:val="00BF64B1"/>
    <w:rsid w:val="00C04184"/>
    <w:rsid w:val="00C04B92"/>
    <w:rsid w:val="00C066E4"/>
    <w:rsid w:val="00C22B99"/>
    <w:rsid w:val="00C261FA"/>
    <w:rsid w:val="00C27532"/>
    <w:rsid w:val="00C276E6"/>
    <w:rsid w:val="00C301AB"/>
    <w:rsid w:val="00C316F7"/>
    <w:rsid w:val="00C36985"/>
    <w:rsid w:val="00C40F00"/>
    <w:rsid w:val="00C46166"/>
    <w:rsid w:val="00C633BC"/>
    <w:rsid w:val="00C637F5"/>
    <w:rsid w:val="00C64ABE"/>
    <w:rsid w:val="00C7540C"/>
    <w:rsid w:val="00C8219C"/>
    <w:rsid w:val="00C8289F"/>
    <w:rsid w:val="00C9110F"/>
    <w:rsid w:val="00C94AC9"/>
    <w:rsid w:val="00C95132"/>
    <w:rsid w:val="00C95443"/>
    <w:rsid w:val="00C95E7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E126F"/>
    <w:rsid w:val="00CE13A8"/>
    <w:rsid w:val="00CF4006"/>
    <w:rsid w:val="00CF6C90"/>
    <w:rsid w:val="00D03C03"/>
    <w:rsid w:val="00D06A8C"/>
    <w:rsid w:val="00D26F4C"/>
    <w:rsid w:val="00D304DD"/>
    <w:rsid w:val="00D31D01"/>
    <w:rsid w:val="00D65D53"/>
    <w:rsid w:val="00D669C1"/>
    <w:rsid w:val="00D6798F"/>
    <w:rsid w:val="00D70B72"/>
    <w:rsid w:val="00D72320"/>
    <w:rsid w:val="00D7558A"/>
    <w:rsid w:val="00D8017F"/>
    <w:rsid w:val="00D80C65"/>
    <w:rsid w:val="00D84A07"/>
    <w:rsid w:val="00D8576F"/>
    <w:rsid w:val="00D97663"/>
    <w:rsid w:val="00DA0708"/>
    <w:rsid w:val="00DA1F61"/>
    <w:rsid w:val="00DA79BD"/>
    <w:rsid w:val="00DB37A2"/>
    <w:rsid w:val="00DB58BF"/>
    <w:rsid w:val="00DE28B8"/>
    <w:rsid w:val="00DF16A1"/>
    <w:rsid w:val="00E122E1"/>
    <w:rsid w:val="00E13DB8"/>
    <w:rsid w:val="00E15843"/>
    <w:rsid w:val="00E16988"/>
    <w:rsid w:val="00E24835"/>
    <w:rsid w:val="00E30FD6"/>
    <w:rsid w:val="00E357A9"/>
    <w:rsid w:val="00E36C16"/>
    <w:rsid w:val="00E37B14"/>
    <w:rsid w:val="00E422E0"/>
    <w:rsid w:val="00E460CB"/>
    <w:rsid w:val="00E56D4F"/>
    <w:rsid w:val="00E74597"/>
    <w:rsid w:val="00E8542C"/>
    <w:rsid w:val="00E94AAC"/>
    <w:rsid w:val="00E95835"/>
    <w:rsid w:val="00E976A2"/>
    <w:rsid w:val="00EA6B13"/>
    <w:rsid w:val="00EB282D"/>
    <w:rsid w:val="00EB48EA"/>
    <w:rsid w:val="00EB4C83"/>
    <w:rsid w:val="00EC75C5"/>
    <w:rsid w:val="00ED6DD1"/>
    <w:rsid w:val="00EE3B01"/>
    <w:rsid w:val="00EE44C7"/>
    <w:rsid w:val="00EE65F7"/>
    <w:rsid w:val="00EF6C75"/>
    <w:rsid w:val="00EF7137"/>
    <w:rsid w:val="00EF74BE"/>
    <w:rsid w:val="00F02EC5"/>
    <w:rsid w:val="00F1017D"/>
    <w:rsid w:val="00F115D6"/>
    <w:rsid w:val="00F17282"/>
    <w:rsid w:val="00F22ABD"/>
    <w:rsid w:val="00F25447"/>
    <w:rsid w:val="00F258C6"/>
    <w:rsid w:val="00F30252"/>
    <w:rsid w:val="00F47DC1"/>
    <w:rsid w:val="00F5313C"/>
    <w:rsid w:val="00F5385F"/>
    <w:rsid w:val="00F65198"/>
    <w:rsid w:val="00F65576"/>
    <w:rsid w:val="00F65EE7"/>
    <w:rsid w:val="00F71699"/>
    <w:rsid w:val="00F744BD"/>
    <w:rsid w:val="00F815EE"/>
    <w:rsid w:val="00FA2F35"/>
    <w:rsid w:val="00FA7EEA"/>
    <w:rsid w:val="00FB117E"/>
    <w:rsid w:val="00FD03BE"/>
    <w:rsid w:val="00FD23D4"/>
    <w:rsid w:val="00FD3870"/>
    <w:rsid w:val="00FD669F"/>
    <w:rsid w:val="00FE1D43"/>
    <w:rsid w:val="00FE4064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 [2409]"/>
    </o:shapedefaults>
    <o:shapelayout v:ext="edit">
      <o:idmap v:ext="edit" data="1"/>
      <o:rules v:ext="edit">
        <o:r id="V:Rule2" type="connector" idref="#_x0000_s105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elhamoumi\Desktop\construction\1er2016%20Construction\r&#233;sultats\Tableaux%2015%203%202016%2012h44mn3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selhamoumi\Desktop\construction\1er2016%20Construction\r&#233;sultats\Tableaux%2015%203%202016%2012h44mn3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التحويلية </a:t>
            </a:r>
            <a:endParaRPr lang="fr-FR" sz="800"/>
          </a:p>
          <a:p>
            <a:pPr algn="ctr">
              <a:defRPr sz="800"/>
            </a:pPr>
            <a:r>
              <a:rPr lang="fr-FR" sz="800" b="1" i="0" baseline="0"/>
              <a:t>)</a:t>
            </a:r>
            <a:r>
              <a:rPr lang="ar-MA" sz="800" b="1" i="0" baseline="0"/>
              <a:t>النسبة ب %</a:t>
            </a:r>
            <a:r>
              <a:rPr lang="fr-FR" sz="800" b="1" i="0" baseline="0"/>
              <a:t>(</a:t>
            </a:r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259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39.480000000000004</c:v>
                </c:pt>
                <c:pt idx="1">
                  <c:v>35.4</c:v>
                </c:pt>
                <c:pt idx="2">
                  <c:v>7.96</c:v>
                </c:pt>
                <c:pt idx="3">
                  <c:v>35.4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40.730000000000011</c:v>
                </c:pt>
                <c:pt idx="1">
                  <c:v>46.98</c:v>
                </c:pt>
                <c:pt idx="2">
                  <c:v>57.230000000000011</c:v>
                </c:pt>
                <c:pt idx="3">
                  <c:v>46.98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19.79</c:v>
                </c:pt>
                <c:pt idx="1">
                  <c:v>17.62</c:v>
                </c:pt>
                <c:pt idx="2">
                  <c:v>34.809999999999995</c:v>
                </c:pt>
                <c:pt idx="3">
                  <c:v>17.62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19.690000000000001</c:v>
                </c:pt>
                <c:pt idx="1">
                  <c:v>17.779999999999987</c:v>
                </c:pt>
                <c:pt idx="2">
                  <c:v>-26.86</c:v>
                </c:pt>
                <c:pt idx="3">
                  <c:v>17.779999999999987</c:v>
                </c:pt>
              </c:numCache>
            </c:numRef>
          </c:val>
        </c:ser>
        <c:axId val="112953600"/>
        <c:axId val="123797504"/>
      </c:barChart>
      <c:catAx>
        <c:axId val="112953600"/>
        <c:scaling>
          <c:orientation val="minMax"/>
        </c:scaling>
        <c:axPos val="b"/>
        <c:majorGridlines/>
        <c:majorTickMark val="none"/>
        <c:tickLblPos val="low"/>
        <c:txPr>
          <a:bodyPr rot="0" vert="horz" anchor="b" anchorCtr="1"/>
          <a:lstStyle/>
          <a:p>
            <a:pPr>
              <a:defRPr sz="800" b="1"/>
            </a:pPr>
            <a:endParaRPr lang="fr-FR"/>
          </a:p>
        </c:txPr>
        <c:crossAx val="123797504"/>
        <c:crosses val="autoZero"/>
        <c:auto val="1"/>
        <c:lblAlgn val="ctr"/>
        <c:lblOffset val="100"/>
        <c:tickLblSkip val="1"/>
      </c:catAx>
      <c:valAx>
        <c:axId val="1237975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2953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5422430304789"/>
          <c:y val="0.35647846344788797"/>
          <c:w val="0.16550010640561819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الاستخراجية</a:t>
            </a:r>
            <a:endParaRPr lang="fr-FR" sz="800"/>
          </a:p>
          <a:p>
            <a:pPr algn="ctr">
              <a:defRPr sz="800"/>
            </a:pPr>
            <a:r>
              <a:rPr lang="ar-MA" sz="800" b="1" i="0" baseline="0"/>
              <a:t> </a:t>
            </a:r>
            <a:r>
              <a:rPr lang="fr-FR" sz="800" b="1" i="0" baseline="0"/>
              <a:t>)</a:t>
            </a:r>
            <a:r>
              <a:rPr lang="ar-MA" sz="800" b="1" i="0" baseline="0"/>
              <a:t>النسبة ب %</a:t>
            </a:r>
            <a:r>
              <a:rPr lang="fr-FR" sz="800" b="1" i="0" baseline="0"/>
              <a:t>(</a:t>
            </a:r>
          </a:p>
          <a:p>
            <a:pPr algn="ctr">
              <a:defRPr sz="800"/>
            </a:pPr>
            <a:endParaRPr lang="fr-FR" sz="800" b="1" i="0" baseline="0"/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  <c:layout>
        <c:manualLayout>
          <c:xMode val="edge"/>
          <c:yMode val="edge"/>
          <c:x val="0.22368411924396267"/>
          <c:y val="7.6183499866351909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11.5</c:v>
                </c:pt>
                <c:pt idx="1">
                  <c:v>11.5</c:v>
                </c:pt>
                <c:pt idx="2">
                  <c:v>9.2800000000000011</c:v>
                </c:pt>
                <c:pt idx="3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4.6599999999999975</c:v>
                </c:pt>
                <c:pt idx="1">
                  <c:v>86.03</c:v>
                </c:pt>
                <c:pt idx="2">
                  <c:v>7.9700000000000024</c:v>
                </c:pt>
                <c:pt idx="3">
                  <c:v>86.03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83.84</c:v>
                </c:pt>
                <c:pt idx="1">
                  <c:v>2.4699999999999998</c:v>
                </c:pt>
                <c:pt idx="2">
                  <c:v>82.75</c:v>
                </c:pt>
                <c:pt idx="3">
                  <c:v>2.4699999999999998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-72.33</c:v>
                </c:pt>
                <c:pt idx="1">
                  <c:v>9.0400000000000009</c:v>
                </c:pt>
                <c:pt idx="2">
                  <c:v>-73.47</c:v>
                </c:pt>
                <c:pt idx="3">
                  <c:v>9.0400000000000009</c:v>
                </c:pt>
              </c:numCache>
            </c:numRef>
          </c:val>
        </c:ser>
        <c:axId val="123828096"/>
        <c:axId val="123829632"/>
      </c:barChart>
      <c:catAx>
        <c:axId val="123828096"/>
        <c:scaling>
          <c:orientation val="minMax"/>
        </c:scaling>
        <c:axPos val="b"/>
        <c:majorGridlines/>
        <c:majorTickMark val="none"/>
        <c:tickLblPos val="low"/>
        <c:txPr>
          <a:bodyPr rot="0" vert="horz" anchor="b" anchorCtr="1"/>
          <a:lstStyle/>
          <a:p>
            <a:pPr>
              <a:defRPr sz="700" b="1"/>
            </a:pPr>
            <a:endParaRPr lang="fr-FR"/>
          </a:p>
        </c:txPr>
        <c:crossAx val="123829632"/>
        <c:crosses val="autoZero"/>
        <c:auto val="1"/>
        <c:lblAlgn val="ctr"/>
        <c:lblOffset val="100"/>
        <c:tickLblSkip val="1"/>
      </c:catAx>
      <c:valAx>
        <c:axId val="123829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382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224844575"/>
          <c:y val="0.44950171926183646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الطاقية </a:t>
            </a:r>
            <a:endParaRPr lang="fr-FR" sz="800" b="1"/>
          </a:p>
          <a:p>
            <a:pPr algn="ctr">
              <a:defRPr sz="800"/>
            </a:pPr>
            <a:r>
              <a:rPr lang="fr-FR" sz="800" b="1" i="0" baseline="0"/>
              <a:t>)</a:t>
            </a:r>
            <a:r>
              <a:rPr lang="ar-MA" sz="800" b="1" i="0" baseline="0"/>
              <a:t>النسبة ب %</a:t>
            </a:r>
            <a:r>
              <a:rPr lang="fr-FR" sz="800" b="1" i="0" baseline="0"/>
              <a:t>(</a:t>
            </a:r>
            <a:endParaRPr lang="fr-FR" sz="800" b="1"/>
          </a:p>
        </c:rich>
      </c:tx>
      <c:layout>
        <c:manualLayout>
          <c:xMode val="edge"/>
          <c:yMode val="edge"/>
          <c:x val="0.23519948218694781"/>
          <c:y val="5.2066425931703141E-3"/>
        </c:manualLayout>
      </c:layout>
    </c:title>
    <c:plotArea>
      <c:layout>
        <c:manualLayout>
          <c:layoutTarget val="inner"/>
          <c:xMode val="edge"/>
          <c:yMode val="edge"/>
          <c:x val="0.14395264385504425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0</c:v>
                </c:pt>
                <c:pt idx="1">
                  <c:v>11.38</c:v>
                </c:pt>
                <c:pt idx="2">
                  <c:v>88.79</c:v>
                </c:pt>
                <c:pt idx="3">
                  <c:v>11.38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16.579999999999988</c:v>
                </c:pt>
                <c:pt idx="1">
                  <c:v>5.2</c:v>
                </c:pt>
                <c:pt idx="2">
                  <c:v>11.209999999999999</c:v>
                </c:pt>
                <c:pt idx="3">
                  <c:v>5.2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83.42</c:v>
                </c:pt>
                <c:pt idx="1">
                  <c:v>83.42</c:v>
                </c:pt>
                <c:pt idx="2">
                  <c:v>0</c:v>
                </c:pt>
                <c:pt idx="3">
                  <c:v>83.42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-83.42</c:v>
                </c:pt>
                <c:pt idx="1">
                  <c:v>-72.040000000000006</c:v>
                </c:pt>
                <c:pt idx="2">
                  <c:v>88.79</c:v>
                </c:pt>
                <c:pt idx="3">
                  <c:v>-72.040000000000006</c:v>
                </c:pt>
              </c:numCache>
            </c:numRef>
          </c:val>
        </c:ser>
        <c:axId val="113337856"/>
        <c:axId val="113339392"/>
      </c:barChart>
      <c:catAx>
        <c:axId val="113337856"/>
        <c:scaling>
          <c:orientation val="minMax"/>
        </c:scaling>
        <c:axPos val="b"/>
        <c:majorGridlines/>
        <c:majorTickMark val="none"/>
        <c:tickLblPos val="low"/>
        <c:txPr>
          <a:bodyPr rot="0" vert="horz" anchor="b" anchorCtr="1"/>
          <a:lstStyle/>
          <a:p>
            <a:pPr>
              <a:defRPr sz="800" b="1"/>
            </a:pPr>
            <a:endParaRPr lang="fr-FR"/>
          </a:p>
        </c:txPr>
        <c:crossAx val="113339392"/>
        <c:crosses val="autoZero"/>
        <c:auto val="1"/>
        <c:lblAlgn val="ctr"/>
        <c:lblOffset val="100"/>
        <c:tickLblSkip val="1"/>
      </c:catAx>
      <c:valAx>
        <c:axId val="11333939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3337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18767650163963"/>
          <c:y val="0.28684574193540358"/>
          <c:w val="0.1391667362104797"/>
          <c:h val="0.29890333475757391"/>
        </c:manualLayout>
      </c:layout>
      <c:txPr>
        <a:bodyPr/>
        <a:lstStyle/>
        <a:p>
          <a:pPr>
            <a:defRPr sz="700" b="1" i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البيئية </a:t>
            </a:r>
            <a:endParaRPr lang="fr-FR" sz="800"/>
          </a:p>
          <a:p>
            <a:pPr algn="ctr">
              <a:defRPr sz="800"/>
            </a:pPr>
            <a:r>
              <a:rPr lang="ar-MA" sz="800" b="1" i="0" baseline="0"/>
              <a:t>(النسبة ب %</a:t>
            </a:r>
            <a:r>
              <a:rPr lang="fr-FR" sz="800" b="1" i="0" baseline="0"/>
              <a:t>(</a:t>
            </a:r>
            <a:endParaRPr lang="fr-FR" sz="800"/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  <c:layout>
        <c:manualLayout>
          <c:xMode val="edge"/>
          <c:yMode val="edge"/>
          <c:x val="0.26812052798038488"/>
          <c:y val="2.3749480760273684E-3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15226905092156892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88.43</c:v>
                </c:pt>
                <c:pt idx="1">
                  <c:v>88.48</c:v>
                </c:pt>
                <c:pt idx="2">
                  <c:v>0</c:v>
                </c:pt>
                <c:pt idx="3">
                  <c:v>88.48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</c:v>
                </c:pt>
                <c:pt idx="1">
                  <c:v>11.44</c:v>
                </c:pt>
                <c:pt idx="2">
                  <c:v>99.92</c:v>
                </c:pt>
                <c:pt idx="3">
                  <c:v>11.44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7.57</c:v>
                </c:pt>
                <c:pt idx="1">
                  <c:v>8.0000000000000043E-2</c:v>
                </c:pt>
                <c:pt idx="2">
                  <c:v>8.0000000000000043E-2</c:v>
                </c:pt>
                <c:pt idx="3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80.849999999999994</c:v>
                </c:pt>
                <c:pt idx="1">
                  <c:v>88.4</c:v>
                </c:pt>
                <c:pt idx="2">
                  <c:v>-8.0000000000000043E-2</c:v>
                </c:pt>
                <c:pt idx="3">
                  <c:v>88.4</c:v>
                </c:pt>
              </c:numCache>
            </c:numRef>
          </c:val>
        </c:ser>
        <c:axId val="63812736"/>
        <c:axId val="63814272"/>
      </c:barChart>
      <c:catAx>
        <c:axId val="63812736"/>
        <c:scaling>
          <c:orientation val="minMax"/>
        </c:scaling>
        <c:axPos val="b"/>
        <c:majorGridlines/>
        <c:majorTickMark val="none"/>
        <c:tickLblPos val="low"/>
        <c:txPr>
          <a:bodyPr rot="0" vert="horz" anchor="b" anchorCtr="1"/>
          <a:lstStyle/>
          <a:p>
            <a:pPr>
              <a:defRPr sz="900" b="1"/>
            </a:pPr>
            <a:endParaRPr lang="fr-FR"/>
          </a:p>
        </c:txPr>
        <c:crossAx val="63814272"/>
        <c:crosses val="autoZero"/>
        <c:auto val="1"/>
        <c:lblAlgn val="ctr"/>
        <c:lblOffset val="100"/>
        <c:tickLblSkip val="1"/>
      </c:catAx>
      <c:valAx>
        <c:axId val="6381427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3812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923150055"/>
          <c:y val="0.34106440194897142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9.4153775737161008E-2"/>
          <c:y val="0.13473388743073791"/>
          <c:w val="0.74710148969798462"/>
          <c:h val="0.72245771361913358"/>
        </c:manualLayout>
      </c:layout>
      <c:barChart>
        <c:barDir val="col"/>
        <c:grouping val="clustered"/>
        <c:ser>
          <c:idx val="0"/>
          <c:order val="0"/>
          <c:tx>
            <c:strRef>
              <c:f>Feuil5!$B$27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Feuil5!$A$28:$A$31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Feuil5!$B$28:$B$31</c:f>
              <c:numCache>
                <c:formatCode>0</c:formatCode>
                <c:ptCount val="4"/>
                <c:pt idx="0">
                  <c:v>33.886862956601234</c:v>
                </c:pt>
                <c:pt idx="1">
                  <c:v>36.135233000000056</c:v>
                </c:pt>
                <c:pt idx="2">
                  <c:v>35.899723000000002</c:v>
                </c:pt>
                <c:pt idx="3">
                  <c:v>29.980247999999957</c:v>
                </c:pt>
              </c:numCache>
            </c:numRef>
          </c:val>
        </c:ser>
        <c:ser>
          <c:idx val="1"/>
          <c:order val="1"/>
          <c:tx>
            <c:strRef>
              <c:f>Feuil5!$C$27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Feuil5!$A$28:$A$31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Feuil5!$C$28:$C$31</c:f>
              <c:numCache>
                <c:formatCode>0</c:formatCode>
                <c:ptCount val="4"/>
                <c:pt idx="0">
                  <c:v>47</c:v>
                </c:pt>
                <c:pt idx="1">
                  <c:v>49.571079999999995</c:v>
                </c:pt>
                <c:pt idx="2">
                  <c:v>49.460109000000003</c:v>
                </c:pt>
                <c:pt idx="3">
                  <c:v>44.106836000000001</c:v>
                </c:pt>
              </c:numCache>
            </c:numRef>
          </c:val>
        </c:ser>
        <c:ser>
          <c:idx val="2"/>
          <c:order val="2"/>
          <c:tx>
            <c:strRef>
              <c:f>Feuil5!$D$27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Feuil5!$A$28:$A$31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Feuil5!$D$28:$D$31</c:f>
              <c:numCache>
                <c:formatCode>0</c:formatCode>
                <c:ptCount val="4"/>
                <c:pt idx="0">
                  <c:v>18.502885387088082</c:v>
                </c:pt>
                <c:pt idx="1">
                  <c:v>14.293686000000006</c:v>
                </c:pt>
                <c:pt idx="2">
                  <c:v>14.640164999999998</c:v>
                </c:pt>
                <c:pt idx="3">
                  <c:v>25.912913</c:v>
                </c:pt>
              </c:numCache>
            </c:numRef>
          </c:val>
        </c:ser>
        <c:ser>
          <c:idx val="3"/>
          <c:order val="3"/>
          <c:tx>
            <c:strRef>
              <c:f>Feuil5!$E$27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Feuil5!$A$28:$A$31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Feuil5!$E$28:$E$31</c:f>
              <c:numCache>
                <c:formatCode>0</c:formatCode>
                <c:ptCount val="4"/>
                <c:pt idx="0">
                  <c:v>15.383977217955524</c:v>
                </c:pt>
                <c:pt idx="1">
                  <c:v>21.841546999999967</c:v>
                </c:pt>
                <c:pt idx="2">
                  <c:v>21.259557999999988</c:v>
                </c:pt>
                <c:pt idx="3">
                  <c:v>4.0673339999999945</c:v>
                </c:pt>
              </c:numCache>
            </c:numRef>
          </c:val>
        </c:ser>
        <c:axId val="63513344"/>
        <c:axId val="63514880"/>
      </c:barChart>
      <c:catAx>
        <c:axId val="63513344"/>
        <c:scaling>
          <c:orientation val="minMax"/>
        </c:scaling>
        <c:axPos val="b"/>
        <c:majorGridlines>
          <c:spPr>
            <a:ln w="22225">
              <a:solidFill>
                <a:schemeClr val="tx1">
                  <a:lumMod val="50000"/>
                  <a:lumOff val="50000"/>
                </a:schemeClr>
              </a:solidFill>
            </a:ln>
          </c:spPr>
        </c:majorGridlines>
        <c:tickLblPos val="nextTo"/>
        <c:txPr>
          <a:bodyPr/>
          <a:lstStyle/>
          <a:p>
            <a:pPr>
              <a:defRPr sz="900" b="1"/>
            </a:pPr>
            <a:endParaRPr lang="fr-FR"/>
          </a:p>
        </c:txPr>
        <c:crossAx val="63514880"/>
        <c:crosses val="autoZero"/>
        <c:auto val="1"/>
        <c:lblAlgn val="ctr"/>
        <c:lblOffset val="100"/>
      </c:catAx>
      <c:valAx>
        <c:axId val="63514880"/>
        <c:scaling>
          <c:orientation val="minMax"/>
        </c:scaling>
        <c:axPos val="l"/>
        <c:majorGridlines/>
        <c:numFmt formatCode="0" sourceLinked="1"/>
        <c:tickLblPos val="nextTo"/>
        <c:crossAx val="6351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49369690857789"/>
          <c:y val="0.35670411030167937"/>
          <c:w val="0.16250630309142425"/>
          <c:h val="0.29534225526556546"/>
        </c:manualLayout>
      </c:layout>
      <c:txPr>
        <a:bodyPr/>
        <a:lstStyle/>
        <a:p>
          <a:pPr>
            <a:defRPr sz="900" b="1"/>
          </a:pPr>
          <a:endParaRPr lang="fr-FR"/>
        </a:p>
      </c:txPr>
    </c:legend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900" b="1" i="0" baseline="0"/>
              <a:t>توقعات رؤساء مقاولات الصناعة التحويلية النسبة ب %</a:t>
            </a:r>
            <a:endParaRPr lang="fr-FR" sz="900" b="1" i="0" baseline="0"/>
          </a:p>
          <a:p>
            <a:pPr algn="ctr">
              <a:defRPr sz="800"/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9855577458"/>
          <c:y val="1.7962030835083843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8546"/>
          <c:h val="0.6616706625502459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45.3</c:v>
                </c:pt>
                <c:pt idx="1">
                  <c:v>43.01</c:v>
                </c:pt>
                <c:pt idx="2">
                  <c:v>12.29</c:v>
                </c:pt>
                <c:pt idx="3">
                  <c:v>43.01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32.200000000000003</c:v>
                </c:pt>
                <c:pt idx="1">
                  <c:v>35.050000000000004</c:v>
                </c:pt>
                <c:pt idx="2">
                  <c:v>69.08</c:v>
                </c:pt>
                <c:pt idx="3">
                  <c:v>35.050000000000004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22.5</c:v>
                </c:pt>
                <c:pt idx="1">
                  <c:v>21.939999999999987</c:v>
                </c:pt>
                <c:pt idx="2">
                  <c:v>18.630000000000024</c:v>
                </c:pt>
                <c:pt idx="3">
                  <c:v>21.939999999999987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22.8</c:v>
                </c:pt>
                <c:pt idx="1">
                  <c:v>21.06</c:v>
                </c:pt>
                <c:pt idx="2">
                  <c:v>-6.34</c:v>
                </c:pt>
                <c:pt idx="3">
                  <c:v>21.06</c:v>
                </c:pt>
              </c:numCache>
            </c:numRef>
          </c:val>
        </c:ser>
        <c:axId val="63557632"/>
        <c:axId val="63559168"/>
      </c:barChart>
      <c:catAx>
        <c:axId val="63557632"/>
        <c:scaling>
          <c:orientation val="minMax"/>
        </c:scaling>
        <c:axPos val="b"/>
        <c:majorGridlines/>
        <c:minorGridlines/>
        <c:majorTickMark val="none"/>
        <c:tickLblPos val="low"/>
        <c:txPr>
          <a:bodyPr rot="0" vert="horz" anchor="t" anchorCtr="1"/>
          <a:lstStyle/>
          <a:p>
            <a:pPr>
              <a:defRPr sz="900" b="1"/>
            </a:pPr>
            <a:endParaRPr lang="fr-FR"/>
          </a:p>
        </c:txPr>
        <c:crossAx val="63559168"/>
        <c:crosses val="autoZero"/>
        <c:lblAlgn val="ctr"/>
        <c:lblOffset val="100"/>
        <c:tickLblSkip val="1"/>
      </c:catAx>
      <c:valAx>
        <c:axId val="635591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355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53640903683"/>
          <c:y val="0.2221904323028335"/>
          <c:w val="0.18000246359096969"/>
          <c:h val="0.2989033347575739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9.9830610275044043E-2"/>
          <c:y val="0.21822547719169547"/>
          <c:w val="0.70324043965494165"/>
          <c:h val="0.63263059859453186"/>
        </c:manualLayout>
      </c:layout>
      <c:barChart>
        <c:barDir val="col"/>
        <c:grouping val="clustered"/>
        <c:ser>
          <c:idx val="0"/>
          <c:order val="0"/>
          <c:tx>
            <c:strRef>
              <c:f>Feuil5!$B$39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Feuil5!$A$40:$A$43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Feuil5!$B$40:$B$43</c:f>
              <c:numCache>
                <c:formatCode>0</c:formatCode>
                <c:ptCount val="4"/>
                <c:pt idx="0">
                  <c:v>38.172380004598402</c:v>
                </c:pt>
                <c:pt idx="1">
                  <c:v>61.018795000000011</c:v>
                </c:pt>
                <c:pt idx="2">
                  <c:v>23.855357000000001</c:v>
                </c:pt>
                <c:pt idx="3">
                  <c:v>33.978011000000002</c:v>
                </c:pt>
              </c:numCache>
            </c:numRef>
          </c:val>
        </c:ser>
        <c:ser>
          <c:idx val="1"/>
          <c:order val="1"/>
          <c:tx>
            <c:strRef>
              <c:f>Feuil5!$C$39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Feuil5!$A$40:$A$43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Feuil5!$C$40:$C$43</c:f>
              <c:numCache>
                <c:formatCode>0</c:formatCode>
                <c:ptCount val="4"/>
                <c:pt idx="0">
                  <c:v>48.472388703726395</c:v>
                </c:pt>
                <c:pt idx="1">
                  <c:v>31.517846000000024</c:v>
                </c:pt>
                <c:pt idx="2">
                  <c:v>58.357558999999995</c:v>
                </c:pt>
                <c:pt idx="3">
                  <c:v>52.340262999999993</c:v>
                </c:pt>
              </c:numCache>
            </c:numRef>
          </c:val>
        </c:ser>
        <c:ser>
          <c:idx val="2"/>
          <c:order val="2"/>
          <c:tx>
            <c:strRef>
              <c:f>Feuil5!$D$39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Feuil5!$A$40:$A$43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Feuil5!$D$40:$D$43</c:f>
              <c:numCache>
                <c:formatCode>0</c:formatCode>
                <c:ptCount val="4"/>
                <c:pt idx="0">
                  <c:v>14</c:v>
                </c:pt>
                <c:pt idx="1">
                  <c:v>7.4633580000000004</c:v>
                </c:pt>
                <c:pt idx="2">
                  <c:v>17.787081000000001</c:v>
                </c:pt>
                <c:pt idx="3">
                  <c:v>13.681722999999998</c:v>
                </c:pt>
              </c:numCache>
            </c:numRef>
          </c:val>
        </c:ser>
        <c:ser>
          <c:idx val="3"/>
          <c:order val="3"/>
          <c:tx>
            <c:strRef>
              <c:f>Feuil5!$E$39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Feuil5!$A$40:$A$43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Feuil5!$E$40:$E$43</c:f>
              <c:numCache>
                <c:formatCode>0</c:formatCode>
                <c:ptCount val="4"/>
                <c:pt idx="0">
                  <c:v>24.81715077449417</c:v>
                </c:pt>
                <c:pt idx="1">
                  <c:v>53.555437000000005</c:v>
                </c:pt>
                <c:pt idx="2">
                  <c:v>6.0682749999999945</c:v>
                </c:pt>
                <c:pt idx="3">
                  <c:v>20.296288000000001</c:v>
                </c:pt>
              </c:numCache>
            </c:numRef>
          </c:val>
        </c:ser>
        <c:axId val="63757696"/>
        <c:axId val="63763584"/>
      </c:barChart>
      <c:catAx>
        <c:axId val="63757696"/>
        <c:scaling>
          <c:orientation val="minMax"/>
        </c:scaling>
        <c:axPos val="b"/>
        <c:majorGridlines>
          <c:spPr>
            <a:ln w="22225">
              <a:solidFill>
                <a:schemeClr val="tx1">
                  <a:lumMod val="65000"/>
                  <a:lumOff val="35000"/>
                </a:schemeClr>
              </a:solidFill>
            </a:ln>
          </c:spPr>
        </c:majorGridlines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63763584"/>
        <c:crosses val="autoZero"/>
        <c:auto val="1"/>
        <c:lblAlgn val="ctr"/>
        <c:lblOffset val="100"/>
      </c:catAx>
      <c:valAx>
        <c:axId val="63763584"/>
        <c:scaling>
          <c:orientation val="minMax"/>
        </c:scaling>
        <c:axPos val="l"/>
        <c:majorGridlines/>
        <c:numFmt formatCode="0" sourceLinked="1"/>
        <c:tickLblPos val="nextTo"/>
        <c:crossAx val="6375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80197787733292"/>
          <c:y val="0.36651891357030986"/>
          <c:w val="0.14075271541712409"/>
          <c:h val="0.2669618374380518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0.05843</cdr:x>
      <cdr:y>0.02431</cdr:y>
    </cdr:from>
    <cdr:to>
      <cdr:x>0.84889</cdr:x>
      <cdr:y>0.12847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180753" y="70562"/>
          <a:ext cx="2445489" cy="3023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MA" sz="1100" b="1" i="0" baseline="0">
              <a:latin typeface="+mn-lt"/>
              <a:ea typeface="+mn-ea"/>
              <a:cs typeface="+mn-cs"/>
            </a:rPr>
            <a:t>آراء رؤساء مقاولات قطاع البناء (النسبة ب %)</a:t>
          </a:r>
          <a:endParaRPr lang="fr-FR" sz="1100" b="1" i="0" baseline="0">
            <a:latin typeface="+mn-lt"/>
            <a:ea typeface="+mn-ea"/>
            <a:cs typeface="+mn-cs"/>
          </a:endParaRPr>
        </a:p>
        <a:p xmlns:a="http://schemas.openxmlformats.org/drawingml/2006/main">
          <a:endParaRPr lang="fr-FR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0.15762</cdr:x>
      <cdr:y>0.03834</cdr:y>
    </cdr:from>
    <cdr:to>
      <cdr:x>0.82946</cdr:x>
      <cdr:y>0.13419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581024" y="114301"/>
          <a:ext cx="24765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</cdr:x>
      <cdr:y>0.03834</cdr:y>
    </cdr:from>
    <cdr:to>
      <cdr:x>0.96338</cdr:x>
      <cdr:y>0.20505</cdr:y>
    </cdr:to>
    <cdr:sp macro="" textlink="">
      <cdr:nvSpPr>
        <cdr:cNvPr id="4" name="ZoneTexte 3"/>
        <cdr:cNvSpPr txBox="1"/>
      </cdr:nvSpPr>
      <cdr:spPr>
        <a:xfrm xmlns:a="http://schemas.openxmlformats.org/drawingml/2006/main">
          <a:off x="0" y="105564"/>
          <a:ext cx="3072810" cy="4590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MA" sz="1100" b="1" i="0" baseline="0">
              <a:latin typeface="+mn-lt"/>
              <a:ea typeface="+mn-ea"/>
              <a:cs typeface="+mn-cs"/>
            </a:rPr>
            <a:t>توقعات رؤساء المقاولات لأنشطة قطاع البناء </a:t>
          </a:r>
        </a:p>
        <a:p xmlns:a="http://schemas.openxmlformats.org/drawingml/2006/main"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MA" sz="1100" b="1" i="0" baseline="0">
              <a:latin typeface="+mn-lt"/>
              <a:ea typeface="+mn-ea"/>
              <a:cs typeface="+mn-cs"/>
            </a:rPr>
            <a:t> (النسبة ب %)</a:t>
          </a:r>
          <a:endParaRPr lang="fr-FR" sz="1100">
            <a:latin typeface="+mn-lt"/>
            <a:ea typeface="+mn-ea"/>
            <a:cs typeface="+mn-cs"/>
          </a:endParaRPr>
        </a:p>
        <a:p xmlns:a="http://schemas.openxmlformats.org/drawingml/2006/main">
          <a:endParaRPr lang="fr-FR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0E18C-90A2-45CD-8D97-52C1D96B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 </cp:lastModifiedBy>
  <cp:revision>2</cp:revision>
  <cp:lastPrinted>2016-06-16T13:09:00Z</cp:lastPrinted>
  <dcterms:created xsi:type="dcterms:W3CDTF">2016-06-16T17:24:00Z</dcterms:created>
  <dcterms:modified xsi:type="dcterms:W3CDTF">2016-06-16T17:24:00Z</dcterms:modified>
</cp:coreProperties>
</file>