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B32222" w:rsidP="00B32222">
      <w:pPr>
        <w:tabs>
          <w:tab w:val="left" w:pos="3155"/>
          <w:tab w:val="center" w:pos="4844"/>
        </w:tabs>
        <w:bidi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noProof/>
          <w:sz w:val="32"/>
          <w:szCs w:val="32"/>
          <w:rtl/>
        </w:rPr>
        <w:pict>
          <v:rect id="_x0000_s1027" style="position:absolute;left:0;text-align:left;margin-left:-102.25pt;margin-top:-42.2pt;width:645pt;height:323.8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7" DrawAspect="Content" ObjectID="_1526732575" r:id="rId8"/>
        </w:pict>
      </w:r>
      <w:r>
        <w:rPr>
          <w:rFonts w:cs="Simplified Arabic"/>
          <w:b/>
          <w:bCs/>
          <w:sz w:val="32"/>
          <w:szCs w:val="32"/>
          <w:rtl/>
        </w:rPr>
        <w:tab/>
      </w:r>
      <w:r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 w:hint="cs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64672" w:rsidRDefault="00FC4B44" w:rsidP="00621354">
      <w:pPr>
        <w:bidi/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 xml:space="preserve">     </w:t>
      </w:r>
    </w:p>
    <w:p w:rsidR="00111ED3" w:rsidRDefault="001306C0" w:rsidP="00AF42C6">
      <w:pPr>
        <w:bidi/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مذكرة إخبارية حول </w:t>
      </w:r>
      <w:r w:rsidR="00111ED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الحسابات الوطنية لسنة </w:t>
      </w:r>
      <w:r w:rsidR="001F20FA">
        <w:rPr>
          <w:rFonts w:cs="Simplified Arabic"/>
          <w:b/>
          <w:bCs/>
          <w:sz w:val="32"/>
          <w:szCs w:val="32"/>
          <w:lang w:bidi="ar-MA"/>
        </w:rPr>
        <w:t>2015</w:t>
      </w:r>
      <w:r w:rsidR="00111ED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</w:p>
    <w:p w:rsidR="00111ED3" w:rsidRPr="00064672" w:rsidRDefault="00111ED3" w:rsidP="00621354">
      <w:pPr>
        <w:bidi/>
        <w:ind w:right="284"/>
        <w:jc w:val="center"/>
        <w:rPr>
          <w:rFonts w:cs="Simplified Arabic"/>
          <w:b/>
          <w:bCs/>
          <w:sz w:val="44"/>
          <w:szCs w:val="44"/>
          <w:rtl/>
          <w:lang w:bidi="ar-MA"/>
        </w:rPr>
      </w:pPr>
    </w:p>
    <w:p w:rsidR="00111ED3" w:rsidRPr="002778E1" w:rsidRDefault="00111ED3" w:rsidP="00D0152E">
      <w:pPr>
        <w:bidi/>
        <w:spacing w:after="120"/>
        <w:ind w:right="28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أظهرت الحسابات الوطنية لسنة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2015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ارتفاعا في وتيرة نمو ا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لاقتصاد الوطني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بلغت</w:t>
      </w:r>
      <w:r w:rsidR="00D0152E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4</w:t>
      </w:r>
      <w:r w:rsidR="00423E29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,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5</w:t>
      </w:r>
      <w:r w:rsidR="00D0152E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>%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عوض 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2</w:t>
      </w:r>
      <w:r w:rsidR="00423E29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,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6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>%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سنة 201</w:t>
      </w:r>
      <w:r w:rsidR="001F20F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4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. ويرجع هذا التطور إلى </w:t>
      </w:r>
      <w:r w:rsidR="00200835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</w:t>
      </w:r>
      <w:r w:rsidR="00584262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لا</w:t>
      </w:r>
      <w:r w:rsidR="00200835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رتفاع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584262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ملحوظ للقيم</w:t>
      </w:r>
      <w:r w:rsidR="00A01EA9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ة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المضافة ل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لن</w:t>
      </w:r>
      <w:r w:rsidR="0051309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شاط الفلاحي </w:t>
      </w:r>
      <w:r w:rsidR="00200835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و</w:t>
      </w:r>
      <w:r w:rsidR="00584262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إلى ال</w:t>
      </w:r>
      <w:r w:rsidR="00200835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نمو </w:t>
      </w:r>
      <w:r w:rsidR="00584262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</w:t>
      </w:r>
      <w:r w:rsidR="00200835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متواضع</w:t>
      </w:r>
      <w:r w:rsidR="0051309A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200835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ل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لأنشطة غير الفلاحية. ويظل النمو الاقتصادي </w:t>
      </w:r>
      <w:r w:rsidR="00DA228F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مد</w:t>
      </w:r>
      <w:r w:rsidR="00A01EA9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ع</w:t>
      </w:r>
      <w:r w:rsidR="00DA228F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و</w:t>
      </w:r>
      <w:r w:rsidR="00A01EA9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م</w:t>
      </w:r>
      <w:r w:rsidR="00DA228F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بالطلب 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الخارجي ف</w:t>
      </w:r>
      <w:r w:rsidR="00A01EA9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ي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الوقت الذي سجل </w:t>
      </w:r>
      <w:r w:rsidR="00A01EA9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فيه 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الطلب الداخلي تباطؤا واضحا في وتيرة تطوره.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BD0473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ومن جهته</w:t>
      </w:r>
      <w:r w:rsidR="007367DB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،</w:t>
      </w:r>
      <w:r w:rsidR="00BD0473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عرفت الحاجة إلى 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تمويل الاقتصاد الوطني انخفاضا </w:t>
      </w:r>
      <w:r w:rsidR="00A01EA9" w:rsidRPr="00277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ملموسا</w:t>
      </w:r>
      <w:r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في سياق</w:t>
      </w:r>
      <w:r w:rsidR="00D334C6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093F84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اتسم ب</w:t>
      </w:r>
      <w:r w:rsidR="00FD0480" w:rsidRPr="002778E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التحكم في التضخم.</w:t>
      </w:r>
    </w:p>
    <w:p w:rsidR="00661836" w:rsidRDefault="00661836" w:rsidP="00D0152E">
      <w:pPr>
        <w:bidi/>
        <w:ind w:right="284"/>
        <w:rPr>
          <w:rFonts w:cs="Simplified Arabic"/>
          <w:b/>
          <w:bCs/>
          <w:sz w:val="28"/>
          <w:szCs w:val="28"/>
          <w:lang w:bidi="ar-MA"/>
        </w:rPr>
      </w:pPr>
    </w:p>
    <w:p w:rsidR="00B814C1" w:rsidRDefault="007A2337" w:rsidP="00661836">
      <w:pPr>
        <w:bidi/>
        <w:ind w:right="284"/>
        <w:rPr>
          <w:rFonts w:cs="Simplified Arabic" w:hint="cs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تحسن </w:t>
      </w:r>
      <w:r w:rsidR="00C63E5F">
        <w:rPr>
          <w:rFonts w:cs="Simplified Arabic" w:hint="cs"/>
          <w:b/>
          <w:bCs/>
          <w:sz w:val="28"/>
          <w:szCs w:val="28"/>
          <w:rtl/>
          <w:lang w:bidi="ar-MA"/>
        </w:rPr>
        <w:t>وثيرة</w:t>
      </w:r>
      <w:r w:rsidR="00111ED3" w:rsidRPr="0062135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النمو الاقتصادي</w:t>
      </w:r>
    </w:p>
    <w:p w:rsidR="00111ED3" w:rsidRPr="00B814C1" w:rsidRDefault="00111ED3" w:rsidP="00B814C1">
      <w:pPr>
        <w:bidi/>
        <w:ind w:right="284"/>
        <w:rPr>
          <w:rFonts w:cs="Simplified Arabic" w:hint="cs"/>
          <w:b/>
          <w:bCs/>
          <w:sz w:val="16"/>
          <w:szCs w:val="16"/>
          <w:rtl/>
          <w:lang w:bidi="ar-MA"/>
        </w:rPr>
      </w:pPr>
      <w:r w:rsidRPr="0062135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7B6D11" w:rsidRPr="00B814C1" w:rsidRDefault="007B6D11" w:rsidP="00D0152E">
      <w:pPr>
        <w:bidi/>
        <w:ind w:left="-92"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ارتفعت القيمة المضافة للقطاع الفلاحي بالحجم بنسبة 12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8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مقابل انخفاض بنسبة 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</w:t>
      </w:r>
      <w:r w:rsidRPr="00B814C1">
        <w:rPr>
          <w:rFonts w:ascii="Simplified Arabic" w:hAnsi="Simplified Arabic" w:cs="Simplified Arabic"/>
          <w:sz w:val="26"/>
          <w:szCs w:val="26"/>
          <w:rtl/>
          <w:lang w:bidi="ar-MA"/>
        </w:rPr>
        <w:t>2014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r w:rsidR="00D0152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في حين سجلت القيمة المضافة للأنشطة غير الفلاحية نموا نسبته 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9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عوض 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D0152E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السنة الفارطة.</w:t>
      </w:r>
    </w:p>
    <w:p w:rsidR="007B6D11" w:rsidRPr="00B814C1" w:rsidRDefault="007B6D11" w:rsidP="007B6D11">
      <w:pPr>
        <w:bidi/>
        <w:ind w:left="50" w:right="284"/>
        <w:jc w:val="both"/>
        <w:rPr>
          <w:rFonts w:cs="Simplified Arabic" w:hint="cs"/>
          <w:sz w:val="12"/>
          <w:szCs w:val="12"/>
          <w:rtl/>
          <w:lang w:bidi="ar-MA"/>
        </w:rPr>
      </w:pPr>
    </w:p>
    <w:p w:rsidR="007B6D11" w:rsidRPr="00B814C1" w:rsidRDefault="00D0152E" w:rsidP="00661836">
      <w:pPr>
        <w:pStyle w:val="Paragraphedeliste"/>
        <w:bidi/>
        <w:spacing w:line="400" w:lineRule="exact"/>
        <w:ind w:left="-59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إلى جانب ذلك، سجل حجم صافي الضرائب على السلع والخدمات، 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خلال سنــة 2015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ارتفاع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A355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نسبته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15,8</w:t>
      </w:r>
      <w:r w:rsidR="00661836">
        <w:rPr>
          <w:rFonts w:ascii="Simplified Arabic" w:hAnsi="Simplified Arabic" w:cs="Simplified Arabic"/>
          <w:sz w:val="28"/>
          <w:szCs w:val="28"/>
          <w:lang w:bidi="ar-MA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A355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مما أسفر عن نمو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6045E" w:rsidRPr="00A01EA9">
        <w:rPr>
          <w:rFonts w:ascii="Simplified Arabic" w:hAnsi="Simplified Arabic" w:cs="Simplified Arabic"/>
          <w:sz w:val="28"/>
          <w:szCs w:val="28"/>
          <w:rtl/>
          <w:lang w:bidi="ar-MA"/>
        </w:rPr>
        <w:t>الناتــج الداخــلي الإجمــالي</w:t>
      </w:r>
      <w:r w:rsidR="006A355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بالحجم</w:t>
      </w:r>
      <w:r w:rsidR="006A355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A355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نسب</w:t>
      </w:r>
      <w:r w:rsidR="006A355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ة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4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A6045E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A6045E" w:rsidRPr="00B814C1">
        <w:rPr>
          <w:rFonts w:ascii="Simplified Arabic" w:hAnsi="Simplified Arabic" w:cs="Simplified Arabic"/>
          <w:color w:val="333333"/>
          <w:sz w:val="28"/>
          <w:szCs w:val="28"/>
          <w:shd w:val="clear" w:color="auto" w:fill="FFFFFF"/>
          <w:rtl/>
          <w:lang w:bidi="ar-MA"/>
        </w:rPr>
        <w:t xml:space="preserve"> عوض 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A6045E" w:rsidRPr="00B814C1">
        <w:rPr>
          <w:rFonts w:ascii="Simplified Arabic" w:hAnsi="Simplified Arabic" w:cs="Sakkal Majalla"/>
          <w:sz w:val="28"/>
          <w:szCs w:val="28"/>
          <w:rtl/>
          <w:lang w:bidi="ar-MA"/>
        </w:rPr>
        <w:t>٫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6</w:t>
      </w:r>
      <w:r w:rsidR="00A6045E" w:rsidRPr="00B814C1">
        <w:rPr>
          <w:rFonts w:ascii="Simplified Arabic" w:hAnsi="Simplified Arabic" w:cs="Simplified Arabic"/>
          <w:sz w:val="28"/>
          <w:szCs w:val="28"/>
          <w:lang w:bidi="ar-MA"/>
        </w:rPr>
        <w:t xml:space="preserve"> %</w:t>
      </w:r>
      <w:r w:rsidR="00A604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</w:t>
      </w:r>
      <w:r w:rsidR="006A3552">
        <w:rPr>
          <w:rFonts w:ascii="Simplified Arabic" w:hAnsi="Simplified Arabic" w:cs="Simplified Arabic" w:hint="cs"/>
          <w:sz w:val="28"/>
          <w:szCs w:val="28"/>
          <w:rtl/>
          <w:lang w:bidi="ar-MA"/>
        </w:rPr>
        <w:t>2014.</w:t>
      </w:r>
    </w:p>
    <w:p w:rsidR="00093F84" w:rsidRPr="00B814C1" w:rsidRDefault="00093F84" w:rsidP="00093F84">
      <w:pPr>
        <w:pStyle w:val="Paragraphedeliste"/>
        <w:bidi/>
        <w:spacing w:line="400" w:lineRule="exact"/>
        <w:ind w:left="-59"/>
        <w:jc w:val="both"/>
        <w:rPr>
          <w:rFonts w:ascii="Simplified Arabic" w:hAnsi="Simplified Arabic" w:cs="Simplified Arabic"/>
          <w:sz w:val="4"/>
          <w:szCs w:val="4"/>
        </w:rPr>
      </w:pPr>
    </w:p>
    <w:p w:rsidR="00093F84" w:rsidRPr="00B814C1" w:rsidRDefault="00093F84" w:rsidP="00093F84">
      <w:pPr>
        <w:pStyle w:val="Paragraphedeliste"/>
        <w:bidi/>
        <w:spacing w:line="400" w:lineRule="exact"/>
        <w:ind w:left="-59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814C1">
        <w:rPr>
          <w:rFonts w:ascii="Simplified Arabic" w:hAnsi="Simplified Arabic" w:cs="Simplified Arabic"/>
          <w:sz w:val="28"/>
          <w:szCs w:val="28"/>
          <w:rtl/>
        </w:rPr>
        <w:t xml:space="preserve">وبالأسعار الجارية، عرف 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الناتج الداخلي الإجمالي </w:t>
      </w:r>
      <w:r w:rsidRPr="00B814C1">
        <w:rPr>
          <w:rFonts w:ascii="Simplified Arabic" w:hAnsi="Simplified Arabic" w:cs="Simplified Arabic"/>
          <w:sz w:val="28"/>
          <w:szCs w:val="28"/>
          <w:rtl/>
        </w:rPr>
        <w:t>نموا قدره 6</w:t>
      </w:r>
      <w:r w:rsidRPr="00B814C1">
        <w:rPr>
          <w:rFonts w:ascii="Simplified Arabic" w:hAnsi="Simplified Arabic" w:cs="Sakkal Majalla"/>
          <w:sz w:val="28"/>
          <w:szCs w:val="28"/>
          <w:rtl/>
        </w:rPr>
        <w:t>٫</w:t>
      </w:r>
      <w:r w:rsidRPr="00B814C1">
        <w:rPr>
          <w:rFonts w:ascii="Simplified Arabic" w:hAnsi="Simplified Arabic" w:cs="Simplified Arabic"/>
          <w:sz w:val="28"/>
          <w:szCs w:val="28"/>
          <w:rtl/>
        </w:rPr>
        <w:t>3</w:t>
      </w:r>
      <w:r w:rsidRPr="00B814C1">
        <w:rPr>
          <w:rFonts w:ascii="Simplified Arabic" w:hAnsi="Simplified Arabic" w:cs="Simplified Arabic"/>
          <w:sz w:val="28"/>
          <w:szCs w:val="28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</w:rPr>
        <w:t>، مما نتج عنه زيادة في المستوى العام للأسعار بنسبة 1</w:t>
      </w:r>
      <w:r w:rsidRPr="00B814C1">
        <w:rPr>
          <w:rFonts w:ascii="Simplified Arabic" w:hAnsi="Simplified Arabic" w:cs="Sakkal Majalla"/>
          <w:sz w:val="28"/>
          <w:szCs w:val="28"/>
          <w:rtl/>
        </w:rPr>
        <w:t>٫</w:t>
      </w:r>
      <w:r w:rsidRPr="00B814C1">
        <w:rPr>
          <w:rFonts w:ascii="Simplified Arabic" w:hAnsi="Simplified Arabic" w:cs="Simplified Arabic"/>
          <w:sz w:val="28"/>
          <w:szCs w:val="28"/>
          <w:rtl/>
        </w:rPr>
        <w:t>7</w:t>
      </w:r>
      <w:r w:rsidRPr="00B814C1">
        <w:rPr>
          <w:rFonts w:ascii="Simplified Arabic" w:hAnsi="Simplified Arabic" w:cs="Simplified Arabic"/>
          <w:sz w:val="28"/>
          <w:szCs w:val="28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</w:rPr>
        <w:t xml:space="preserve"> مقابل 0</w:t>
      </w:r>
      <w:r w:rsidRPr="00B814C1">
        <w:rPr>
          <w:rFonts w:ascii="Simplified Arabic" w:hAnsi="Simplified Arabic" w:cs="Sakkal Majalla"/>
          <w:sz w:val="28"/>
          <w:szCs w:val="28"/>
          <w:rtl/>
        </w:rPr>
        <w:t>٫</w:t>
      </w:r>
      <w:r w:rsidRPr="00B814C1">
        <w:rPr>
          <w:rFonts w:ascii="Simplified Arabic" w:hAnsi="Simplified Arabic" w:cs="Simplified Arabic"/>
          <w:sz w:val="28"/>
          <w:szCs w:val="28"/>
          <w:rtl/>
        </w:rPr>
        <w:t>3</w:t>
      </w:r>
      <w:r w:rsidR="006A355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814C1">
        <w:rPr>
          <w:rFonts w:ascii="Simplified Arabic" w:hAnsi="Simplified Arabic" w:cs="Simplified Arabic"/>
          <w:sz w:val="28"/>
          <w:szCs w:val="28"/>
        </w:rPr>
        <w:t>%</w:t>
      </w:r>
      <w:r w:rsidR="006A3552">
        <w:rPr>
          <w:rFonts w:ascii="Simplified Arabic" w:hAnsi="Simplified Arabic" w:cs="Simplified Arabic" w:hint="cs"/>
          <w:sz w:val="28"/>
          <w:szCs w:val="28"/>
          <w:rtl/>
        </w:rPr>
        <w:t xml:space="preserve"> سنة 2014</w:t>
      </w:r>
      <w:r w:rsidRPr="00B814C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259CF" w:rsidRDefault="00B259CF" w:rsidP="00A01EA9">
      <w:pPr>
        <w:bidi/>
        <w:spacing w:before="200"/>
        <w:ind w:right="284"/>
        <w:rPr>
          <w:rFonts w:cs="Simplified Arabic" w:hint="cs"/>
          <w:b/>
          <w:bCs/>
          <w:sz w:val="28"/>
          <w:szCs w:val="28"/>
          <w:rtl/>
          <w:lang w:bidi="ar-MA"/>
        </w:rPr>
      </w:pPr>
      <w:r w:rsidRPr="0062135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مساهمة ضعيفة للطلب الداخلي في </w:t>
      </w:r>
      <w:r w:rsidR="00A01EA9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621354">
        <w:rPr>
          <w:rFonts w:cs="Simplified Arabic" w:hint="cs"/>
          <w:b/>
          <w:bCs/>
          <w:sz w:val="28"/>
          <w:szCs w:val="28"/>
          <w:rtl/>
          <w:lang w:bidi="ar-MA"/>
        </w:rPr>
        <w:t>نمو</w:t>
      </w:r>
      <w:r w:rsidR="00340318" w:rsidRPr="00340318">
        <w:rPr>
          <w:rFonts w:cs="Simplified Arabic" w:hint="cs"/>
          <w:rtl/>
        </w:rPr>
        <w:t xml:space="preserve"> </w:t>
      </w:r>
    </w:p>
    <w:p w:rsidR="009000FB" w:rsidRPr="00261BD7" w:rsidRDefault="009000FB" w:rsidP="009000FB">
      <w:pPr>
        <w:bidi/>
        <w:spacing w:before="200"/>
        <w:ind w:right="284"/>
        <w:rPr>
          <w:rFonts w:cs="Simplified Arabic"/>
          <w:b/>
          <w:bCs/>
          <w:sz w:val="4"/>
          <w:szCs w:val="4"/>
          <w:rtl/>
          <w:lang w:bidi="ar-MA"/>
        </w:rPr>
      </w:pPr>
    </w:p>
    <w:p w:rsidR="00B259CF" w:rsidRPr="00B814C1" w:rsidRDefault="00B259CF" w:rsidP="00A01EA9">
      <w:pPr>
        <w:bidi/>
        <w:ind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سجل الطلب الداخلي</w:t>
      </w:r>
      <w:r w:rsidR="00A01EA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بالحجم،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01EA9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ارتفاع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 </w:t>
      </w:r>
      <w:r w:rsidR="00636FBD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ضعيفا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بنسبة </w:t>
      </w:r>
      <w:r w:rsidR="009000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0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9000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9</w:t>
      </w:r>
      <w:r w:rsidR="00DB180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</w:t>
      </w:r>
      <w:r w:rsidR="009000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مقابل </w:t>
      </w:r>
      <w:r w:rsidR="009000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</w:t>
      </w:r>
      <w:r w:rsidR="009000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 مساهم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B180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بذلك 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في نمو الناتج الداخلي الإجمالي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بنقطة واحدة عوض </w:t>
      </w:r>
      <w:r w:rsidR="009000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9000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نقطة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ال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سنة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الماضية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C3712C" w:rsidRPr="00C3712C" w:rsidRDefault="00C3712C" w:rsidP="00C3712C">
      <w:pPr>
        <w:bidi/>
        <w:ind w:right="284"/>
        <w:jc w:val="both"/>
        <w:rPr>
          <w:rFonts w:cs="Simplified Arabic"/>
          <w:sz w:val="16"/>
          <w:szCs w:val="16"/>
          <w:rtl/>
          <w:lang w:bidi="ar-MA"/>
        </w:rPr>
      </w:pPr>
    </w:p>
    <w:p w:rsidR="00C3712C" w:rsidRPr="00B814C1" w:rsidRDefault="00153852" w:rsidP="00D403D1">
      <w:pPr>
        <w:bidi/>
        <w:spacing w:after="120"/>
        <w:ind w:left="50"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lastRenderedPageBreak/>
        <w:t xml:space="preserve">في هذا الإطار، </w:t>
      </w:r>
      <w:r w:rsidR="00B259CF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ارتفعت نفقات ال</w:t>
      </w:r>
      <w:r w:rsidR="00636FBD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استهلاك النهائي للأسر بنسبة </w:t>
      </w:r>
      <w:r w:rsidR="00C3712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3712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B259CF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3712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مقابل </w:t>
      </w:r>
      <w:r w:rsidR="00B259CF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3712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B259CF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259CF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</w:t>
      </w:r>
      <w:r w:rsidR="00C3712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B259CF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B180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وقد بلغت </w:t>
      </w:r>
      <w:r w:rsidR="00B259CF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مساهم</w:t>
      </w:r>
      <w:r w:rsidR="00DB1806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تها في النمو</w:t>
      </w:r>
      <w:r w:rsidR="00B259CF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B259CF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</w:t>
      </w:r>
      <w:r w:rsidR="00C3712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B259CF" w:rsidRPr="00B814C1" w:rsidRDefault="00636FBD" w:rsidP="00E50DD6">
      <w:pPr>
        <w:bidi/>
        <w:spacing w:after="120"/>
        <w:ind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و</w:t>
      </w:r>
      <w:r w:rsidR="00E50DD6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 جهته</w:t>
      </w:r>
      <w:r w:rsidR="00C3712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r w:rsidR="00C81DD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حافظ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الاستهلاك النهائي </w:t>
      </w:r>
      <w:r w:rsidR="00C81DD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للإدارات العمومية على نفس معدل النمو المسجل سنة 2014 الذي بلغ 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81DD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9</w:t>
      </w:r>
      <w:r w:rsidR="00535D5E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مع مساهمة في النمو بلغت 0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81DD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</w:t>
      </w:r>
      <w:r w:rsidR="00C81DD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535D5E" w:rsidRPr="00B814C1" w:rsidRDefault="00E50DD6" w:rsidP="00D403D1">
      <w:pPr>
        <w:bidi/>
        <w:spacing w:after="120"/>
        <w:ind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وبدوره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سجل 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إجمالي </w:t>
      </w:r>
      <w:r w:rsidR="00636FBD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تكوين 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رأس المال الثابت 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نموا إيجابيا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بنسبة 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535D5E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403D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مقابل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تراجع</w:t>
      </w:r>
      <w:r w:rsidR="00535D5E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بنسبة 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BD0473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DA2554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السنة الماضية مساهما 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في النمو </w:t>
      </w:r>
      <w:r w:rsidR="001B0720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ب</w:t>
      </w:r>
      <w:r w:rsidR="00AD7846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0</w:t>
      </w:r>
      <w:r w:rsidR="00AD784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AD7846">
        <w:rPr>
          <w:rFonts w:ascii="Simplified Arabic" w:hAnsi="Simplified Arabic" w:cs="Simplified Arabic" w:hint="cs"/>
          <w:sz w:val="28"/>
          <w:szCs w:val="28"/>
          <w:rtl/>
          <w:lang w:bidi="ar-MA"/>
        </w:rPr>
        <w:t>5 نقطة</w:t>
      </w:r>
      <w:r w:rsidR="001B0720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BD0473" w:rsidRPr="00B814C1" w:rsidRDefault="00B0225B" w:rsidP="00153852">
      <w:pPr>
        <w:bidi/>
        <w:ind w:right="284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814C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مساهمة </w:t>
      </w:r>
      <w:r w:rsidR="00153852" w:rsidRPr="00B814C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قوية</w:t>
      </w:r>
      <w:r w:rsidRPr="00B814C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للمبادلات الخارجية في النمو</w:t>
      </w:r>
      <w:r w:rsidR="00BD0473" w:rsidRPr="00B814C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C40866" w:rsidRPr="00B814C1" w:rsidRDefault="00C40866" w:rsidP="00C40866">
      <w:pPr>
        <w:bidi/>
        <w:ind w:right="284"/>
        <w:rPr>
          <w:rFonts w:ascii="Simplified Arabic" w:hAnsi="Simplified Arabic" w:cs="Simplified Arabic"/>
          <w:b/>
          <w:bCs/>
          <w:sz w:val="4"/>
          <w:szCs w:val="4"/>
          <w:rtl/>
          <w:lang w:bidi="ar-MA"/>
        </w:rPr>
      </w:pPr>
    </w:p>
    <w:p w:rsidR="00BD0473" w:rsidRPr="00B814C1" w:rsidRDefault="00D82E62" w:rsidP="00D82E62">
      <w:pPr>
        <w:bidi/>
        <w:ind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ارتفعت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الصادرات من السلع 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والخدمات ارتفاعا بالحجم بنسبة 6</w:t>
      </w:r>
      <w:r w:rsidR="00BD0473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عوض 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8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BD0473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4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، في حين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عرفت الواردات 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انخفاضا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بنسبة 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BD0473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مقابل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ارتفاع بنسبة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4086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="00BD0473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. </w:t>
      </w:r>
      <w:r w:rsidR="00A90F9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وهكذا،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90F9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ساهم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صافي المبادلات الخارجية</w:t>
      </w:r>
      <w:r w:rsidR="00A90F9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بشكل إيجابي في النمو الإقتصادي ب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90F9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A90F9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 </w:t>
      </w:r>
      <w:r w:rsidR="00A90F9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مقابل 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A90F9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 نقطة السنة الماضية</w:t>
      </w:r>
      <w:r w:rsidR="00BD0473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</w:p>
    <w:p w:rsidR="00A90F9A" w:rsidRPr="00B814C1" w:rsidRDefault="00A90F9A" w:rsidP="00A90F9A">
      <w:pPr>
        <w:bidi/>
        <w:ind w:right="284"/>
        <w:jc w:val="both"/>
        <w:rPr>
          <w:rFonts w:ascii="Simplified Arabic" w:hAnsi="Simplified Arabic" w:cs="Simplified Arabic"/>
          <w:sz w:val="4"/>
          <w:szCs w:val="4"/>
          <w:rtl/>
          <w:lang w:bidi="ar-MA"/>
        </w:rPr>
      </w:pPr>
    </w:p>
    <w:p w:rsidR="00BD0473" w:rsidRPr="00B814C1" w:rsidRDefault="00B814C1" w:rsidP="009F49A3">
      <w:pPr>
        <w:bidi/>
        <w:spacing w:before="120"/>
        <w:ind w:right="284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تراجع </w:t>
      </w:r>
      <w:r w:rsidR="009F49A3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بين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في</w:t>
      </w:r>
      <w:r w:rsidR="00D33CA1" w:rsidRPr="00B814C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="00BD0473" w:rsidRPr="00B814C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الحاجة إلى تمويل</w:t>
      </w:r>
      <w:r w:rsidR="00D33CA1" w:rsidRPr="00B814C1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الاقتصاد الوطني</w:t>
      </w:r>
    </w:p>
    <w:p w:rsidR="00A90F9A" w:rsidRPr="00B814C1" w:rsidRDefault="00A90F9A" w:rsidP="00A90F9A">
      <w:pPr>
        <w:bidi/>
        <w:spacing w:before="120"/>
        <w:ind w:right="284"/>
        <w:rPr>
          <w:rFonts w:ascii="Simplified Arabic" w:hAnsi="Simplified Arabic" w:cs="Simplified Arabic"/>
          <w:b/>
          <w:bCs/>
          <w:sz w:val="4"/>
          <w:szCs w:val="4"/>
          <w:rtl/>
          <w:lang w:bidi="ar-MA"/>
        </w:rPr>
      </w:pPr>
    </w:p>
    <w:p w:rsidR="00D33CA1" w:rsidRPr="00B814C1" w:rsidRDefault="00B8760C" w:rsidP="00423E29">
      <w:pPr>
        <w:bidi/>
        <w:spacing w:after="120"/>
        <w:ind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مع ارتفاع الناتج الداخلي الإجمالي </w:t>
      </w:r>
      <w:r w:rsidR="006F36D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بالأسعار الجارية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بنسبة </w:t>
      </w:r>
      <w:r w:rsidR="006F36D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6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6F36D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وانخفاض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صافي </w:t>
      </w:r>
      <w:r w:rsidR="00157EC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المداخيل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F36D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المتأتية من بقية العالم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بنسبة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7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، عرف إجمالي الدخل الوطني الم</w:t>
      </w:r>
      <w:r w:rsidR="00157EC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ت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اح ارتفاعا بنسبة </w:t>
      </w:r>
      <w:r w:rsidR="00E8030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E8030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عوض</w:t>
      </w:r>
      <w:r w:rsidR="00E8030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8</w:t>
      </w:r>
      <w:r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2014</w:t>
      </w:r>
      <w:r w:rsidR="00E8030A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  <w:r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</w:p>
    <w:p w:rsidR="00B8760C" w:rsidRPr="00B814C1" w:rsidRDefault="00A612CF" w:rsidP="00A612CF">
      <w:pPr>
        <w:bidi/>
        <w:spacing w:after="120"/>
        <w:ind w:left="50" w:right="284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وقد</w:t>
      </w:r>
      <w:r w:rsidR="0072475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عرف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مجموع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الاستهلاك النهائي </w:t>
      </w:r>
      <w:r w:rsidR="0015385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ارتفاعا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بنسبة 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6</w:t>
      </w:r>
      <w:r w:rsidR="00B8760C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(2</w:t>
      </w:r>
      <w:r w:rsidR="0072475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6</w:t>
      </w:r>
      <w:r w:rsidR="00C12279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للأسر، 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7</w:t>
      </w:r>
      <w:r w:rsidR="00C12279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للإدارات العمومية و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10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C12279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للمؤسسات غير الهادفة للربح التي تخدم الأسر)، 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مما نتج عنه 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تحسن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إجمالي الادخار الوطني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منتقلا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من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26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B8760C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الناتج الداخلي الإجمالي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2014 إلى 28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3</w:t>
      </w:r>
      <w:r w:rsidR="00C12279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2015.</w:t>
      </w:r>
    </w:p>
    <w:p w:rsidR="00621354" w:rsidRPr="00B814C1" w:rsidRDefault="00724759" w:rsidP="00423E29">
      <w:pPr>
        <w:bidi/>
        <w:spacing w:after="120"/>
        <w:ind w:right="284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كما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شكل إجمالي الاستثمار (إجمالي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تكوين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رأس المال الثابت والتغير في المخزون) 3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0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CA57FB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CA57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من الناتج الداخلي الإجمالي سنة 201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عوض 3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2</w:t>
      </w:r>
      <w:r w:rsidR="00AB79C7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AB79C7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سنة 201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CA57FB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وقد تم ت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م</w:t>
      </w:r>
      <w:r w:rsidR="00FE74B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ويله من قبل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B79C7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إجمالي ا</w:t>
      </w:r>
      <w:r w:rsidR="00064672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لإ</w:t>
      </w:r>
      <w:r w:rsidR="00AB79C7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دخار الوطني 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بنسبة 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93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6</w:t>
      </w:r>
      <w:r w:rsidR="00B8760C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AB79C7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عوض 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82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B8760C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</w:t>
      </w:r>
      <w:r w:rsidR="00C1227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. وهكذا</w:t>
      </w:r>
      <w:r w:rsidR="00DC353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تقلصت الحاجة إلى تمويل ا</w:t>
      </w:r>
      <w:r w:rsidR="00AB79C7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لإ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قتصاد الوطني </w:t>
      </w:r>
      <w:r w:rsidR="00DC353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منتقلة من 5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DC353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8</w:t>
      </w:r>
      <w:r w:rsidR="00B8760C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 الناتج الداخلي الإجمالي سنة 201</w:t>
      </w:r>
      <w:r w:rsidR="00DC353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4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 إلى </w:t>
      </w:r>
      <w:r w:rsidR="00DC353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1</w:t>
      </w:r>
      <w:r w:rsidR="00423E29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,</w:t>
      </w:r>
      <w:r w:rsidR="00DC353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9</w:t>
      </w:r>
      <w:r w:rsidR="00B8760C" w:rsidRPr="00B814C1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B8760C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سنة 201</w:t>
      </w:r>
      <w:r w:rsidR="00DC3536" w:rsidRPr="00B814C1">
        <w:rPr>
          <w:rFonts w:ascii="Simplified Arabic" w:hAnsi="Simplified Arabic" w:cs="Simplified Arabic"/>
          <w:sz w:val="28"/>
          <w:szCs w:val="28"/>
          <w:rtl/>
          <w:lang w:bidi="ar-MA"/>
        </w:rPr>
        <w:t>5</w:t>
      </w:r>
      <w:r w:rsidR="00F72BF6" w:rsidRPr="00B814C1">
        <w:rPr>
          <w:rFonts w:ascii="Simplified Arabic" w:hAnsi="Simplified Arabic" w:cs="Simplified Arabic"/>
          <w:sz w:val="28"/>
          <w:szCs w:val="28"/>
          <w:lang w:bidi="ar-MA"/>
        </w:rPr>
        <w:t>.</w:t>
      </w:r>
    </w:p>
    <w:p w:rsidR="00621354" w:rsidRPr="00A9498C" w:rsidRDefault="00621354" w:rsidP="00EF4674">
      <w:pPr>
        <w:bidi/>
        <w:jc w:val="center"/>
        <w:rPr>
          <w:b/>
          <w:bCs/>
          <w:color w:val="76923C"/>
          <w:sz w:val="32"/>
          <w:szCs w:val="32"/>
          <w:rtl/>
        </w:rPr>
      </w:pPr>
      <w:r>
        <w:rPr>
          <w:rFonts w:cs="Simplified Arabic"/>
          <w:sz w:val="28"/>
          <w:szCs w:val="28"/>
          <w:lang w:bidi="ar-MA"/>
        </w:rPr>
        <w:br w:type="page"/>
      </w:r>
      <w:r w:rsidRPr="00A9498C">
        <w:rPr>
          <w:rFonts w:hint="cs"/>
          <w:b/>
          <w:bCs/>
          <w:color w:val="76923C"/>
          <w:sz w:val="32"/>
          <w:szCs w:val="32"/>
          <w:rtl/>
        </w:rPr>
        <w:lastRenderedPageBreak/>
        <w:t>تطور</w:t>
      </w:r>
      <w:r w:rsidRPr="00A9498C">
        <w:rPr>
          <w:b/>
          <w:bCs/>
          <w:color w:val="76923C"/>
          <w:sz w:val="32"/>
          <w:szCs w:val="32"/>
          <w:rtl/>
        </w:rPr>
        <w:t xml:space="preserve"> </w:t>
      </w:r>
      <w:r w:rsidRPr="00A9498C">
        <w:rPr>
          <w:rFonts w:hint="cs"/>
          <w:b/>
          <w:bCs/>
          <w:color w:val="76923C"/>
          <w:sz w:val="32"/>
          <w:szCs w:val="32"/>
          <w:rtl/>
        </w:rPr>
        <w:t>المجاميع</w:t>
      </w:r>
      <w:r w:rsidRPr="00A9498C">
        <w:rPr>
          <w:b/>
          <w:bCs/>
          <w:color w:val="76923C"/>
          <w:sz w:val="32"/>
          <w:szCs w:val="32"/>
          <w:rtl/>
        </w:rPr>
        <w:t xml:space="preserve"> </w:t>
      </w:r>
      <w:r w:rsidRPr="00A9498C">
        <w:rPr>
          <w:rFonts w:hint="cs"/>
          <w:b/>
          <w:bCs/>
          <w:color w:val="76923C"/>
          <w:sz w:val="32"/>
          <w:szCs w:val="32"/>
          <w:rtl/>
        </w:rPr>
        <w:t>الاقتصادية</w:t>
      </w:r>
      <w:r w:rsidRPr="00A9498C">
        <w:rPr>
          <w:b/>
          <w:bCs/>
          <w:color w:val="76923C"/>
          <w:sz w:val="32"/>
          <w:szCs w:val="32"/>
          <w:rtl/>
        </w:rPr>
        <w:t xml:space="preserve"> </w:t>
      </w:r>
      <w:r w:rsidRPr="00A9498C">
        <w:rPr>
          <w:rFonts w:hint="cs"/>
          <w:b/>
          <w:bCs/>
          <w:color w:val="76923C"/>
          <w:sz w:val="32"/>
          <w:szCs w:val="32"/>
          <w:rtl/>
        </w:rPr>
        <w:t>الأساسية</w:t>
      </w:r>
    </w:p>
    <w:tbl>
      <w:tblPr>
        <w:tblW w:w="9207" w:type="dxa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090"/>
        <w:gridCol w:w="1026"/>
        <w:gridCol w:w="1046"/>
        <w:gridCol w:w="6045"/>
      </w:tblGrid>
      <w:tr w:rsidR="00621354" w:rsidRPr="000F254E" w:rsidTr="00360ED9">
        <w:trPr>
          <w:trHeight w:val="330"/>
          <w:jc w:val="center"/>
        </w:trPr>
        <w:tc>
          <w:tcPr>
            <w:tcW w:w="1090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621354" w:rsidRPr="000F254E" w:rsidRDefault="00621354" w:rsidP="00FA2113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</w:rPr>
            </w:pPr>
            <w:r w:rsidRPr="000F254E">
              <w:rPr>
                <w:rFonts w:ascii="Arial" w:hAnsi="Arial"/>
                <w:b/>
                <w:bCs/>
                <w:color w:val="800080"/>
                <w:sz w:val="24"/>
                <w:szCs w:val="24"/>
                <w:rtl/>
              </w:rPr>
              <w:t>201</w:t>
            </w:r>
            <w:r w:rsidR="00FA2113"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5</w:t>
            </w:r>
          </w:p>
        </w:tc>
        <w:tc>
          <w:tcPr>
            <w:tcW w:w="1026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621354" w:rsidRPr="000F254E" w:rsidRDefault="00621354" w:rsidP="00FA2113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201</w:t>
            </w:r>
            <w:r w:rsidR="00FA2113"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4</w:t>
            </w:r>
          </w:p>
        </w:tc>
        <w:tc>
          <w:tcPr>
            <w:tcW w:w="1046" w:type="dxa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621354" w:rsidRPr="000F254E" w:rsidRDefault="00621354" w:rsidP="00FA2113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</w:rPr>
            </w:pPr>
            <w:r w:rsidRPr="000F254E"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201</w:t>
            </w:r>
            <w:r w:rsidR="00FA2113">
              <w:rPr>
                <w:rFonts w:ascii="Arial" w:hAnsi="Arial" w:hint="cs"/>
                <w:b/>
                <w:bCs/>
                <w:color w:val="800080"/>
                <w:sz w:val="24"/>
                <w:szCs w:val="24"/>
                <w:rtl/>
              </w:rPr>
              <w:t>3</w:t>
            </w:r>
          </w:p>
        </w:tc>
        <w:tc>
          <w:tcPr>
            <w:tcW w:w="6045" w:type="dxa"/>
            <w:tcBorders>
              <w:top w:val="single" w:sz="12" w:space="0" w:color="4F6228"/>
              <w:bottom w:val="single" w:sz="12" w:space="0" w:color="4F6228"/>
            </w:tcBorders>
          </w:tcPr>
          <w:p w:rsidR="00621354" w:rsidRPr="000F254E" w:rsidRDefault="00621354" w:rsidP="00360ED9">
            <w:pPr>
              <w:bidi/>
              <w:jc w:val="center"/>
              <w:rPr>
                <w:rFonts w:ascii="Arial" w:hAnsi="Arial"/>
                <w:b/>
                <w:bCs/>
                <w:color w:val="800080"/>
                <w:sz w:val="24"/>
                <w:szCs w:val="24"/>
                <w:lang w:bidi="ar-MA"/>
              </w:rPr>
            </w:pPr>
            <w:r w:rsidRPr="000F254E">
              <w:rPr>
                <w:rFonts w:ascii="Arial" w:hAnsi="Arial"/>
                <w:b/>
                <w:bCs/>
                <w:color w:val="800080"/>
                <w:sz w:val="32"/>
                <w:szCs w:val="32"/>
                <w:rtl/>
                <w:lang w:bidi="ar-MA"/>
              </w:rPr>
              <w:t>العمليات</w:t>
            </w:r>
          </w:p>
        </w:tc>
      </w:tr>
      <w:tr w:rsidR="00621354" w:rsidRPr="000F254E" w:rsidTr="00360ED9">
        <w:trPr>
          <w:trHeight w:val="510"/>
          <w:jc w:val="center"/>
        </w:trPr>
        <w:tc>
          <w:tcPr>
            <w:tcW w:w="3162" w:type="dxa"/>
            <w:gridSpan w:val="3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النمو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الاقتصادي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السنوي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b/>
                <w:bCs/>
                <w:color w:val="993300"/>
                <w:sz w:val="22"/>
                <w:szCs w:val="22"/>
              </w:rPr>
              <w:t xml:space="preserve"> %</w:t>
            </w:r>
          </w:p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(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بأسعار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السنة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الماضية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)</w:t>
            </w:r>
          </w:p>
        </w:tc>
        <w:tc>
          <w:tcPr>
            <w:tcW w:w="6045" w:type="dxa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تقسيم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الناتج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الداخلي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الإجمالي</w:t>
            </w:r>
          </w:p>
        </w:tc>
      </w:tr>
      <w:tr w:rsidR="00FA2113" w:rsidRPr="003171D7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9B4C64" w:rsidRDefault="00FA2113" w:rsidP="00FA2113">
            <w:pPr>
              <w:jc w:val="right"/>
              <w:rPr>
                <w:b/>
                <w:bCs/>
                <w:color w:val="800080"/>
              </w:rPr>
            </w:pPr>
            <w:r w:rsidRPr="009B4C64">
              <w:rPr>
                <w:rFonts w:hint="cs"/>
                <w:b/>
                <w:bCs/>
                <w:color w:val="800080"/>
                <w:rtl/>
              </w:rPr>
              <w:t>4</w:t>
            </w:r>
            <w:r w:rsidRPr="009B4C64">
              <w:rPr>
                <w:b/>
                <w:bCs/>
                <w:color w:val="800080"/>
              </w:rPr>
              <w:t>,</w:t>
            </w:r>
            <w:r w:rsidRPr="009B4C64">
              <w:rPr>
                <w:rFonts w:hint="cs"/>
                <w:b/>
                <w:bCs/>
                <w:color w:val="800080"/>
                <w:rtl/>
              </w:rPr>
              <w:t>5</w:t>
            </w:r>
          </w:p>
        </w:tc>
        <w:tc>
          <w:tcPr>
            <w:tcW w:w="1026" w:type="dxa"/>
            <w:vAlign w:val="center"/>
          </w:tcPr>
          <w:p w:rsidR="00FA2113" w:rsidRPr="009B4C64" w:rsidRDefault="00FA2113" w:rsidP="00FA2113">
            <w:pPr>
              <w:jc w:val="right"/>
              <w:rPr>
                <w:b/>
                <w:bCs/>
                <w:color w:val="800080"/>
              </w:rPr>
            </w:pPr>
            <w:r w:rsidRPr="009B4C64">
              <w:rPr>
                <w:b/>
                <w:bCs/>
                <w:color w:val="800080"/>
              </w:rPr>
              <w:t>2,</w:t>
            </w:r>
            <w:r w:rsidRPr="009B4C64">
              <w:rPr>
                <w:rFonts w:hint="cs"/>
                <w:b/>
                <w:bCs/>
                <w:color w:val="800080"/>
                <w:rtl/>
              </w:rPr>
              <w:t>6</w:t>
            </w:r>
          </w:p>
        </w:tc>
        <w:tc>
          <w:tcPr>
            <w:tcW w:w="1046" w:type="dxa"/>
            <w:vAlign w:val="center"/>
          </w:tcPr>
          <w:p w:rsidR="00FA2113" w:rsidRPr="009B4C64" w:rsidRDefault="00FA2113" w:rsidP="00FA2113">
            <w:pPr>
              <w:jc w:val="right"/>
              <w:rPr>
                <w:b/>
                <w:bCs/>
                <w:color w:val="800080"/>
              </w:rPr>
            </w:pPr>
            <w:r w:rsidRPr="009B4C64">
              <w:rPr>
                <w:b/>
                <w:bCs/>
                <w:color w:val="800080"/>
              </w:rPr>
              <w:t>4,</w:t>
            </w:r>
            <w:r w:rsidRPr="009B4C64">
              <w:rPr>
                <w:rFonts w:hint="cs"/>
                <w:b/>
                <w:bCs/>
                <w:color w:val="800080"/>
                <w:rtl/>
              </w:rPr>
              <w:t>5</w:t>
            </w:r>
          </w:p>
        </w:tc>
        <w:tc>
          <w:tcPr>
            <w:tcW w:w="6045" w:type="dxa"/>
          </w:tcPr>
          <w:p w:rsidR="00FA2113" w:rsidRPr="003171D7" w:rsidRDefault="00FA2113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الناتج</w:t>
            </w:r>
            <w:r w:rsidRPr="003171D7">
              <w:rPr>
                <w:b/>
                <w:rtl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الداخلي</w:t>
            </w:r>
            <w:r w:rsidRPr="003171D7">
              <w:rPr>
                <w:b/>
                <w:rtl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الإج</w:t>
            </w:r>
            <w:r w:rsidR="00724759">
              <w:rPr>
                <w:rFonts w:hint="cs"/>
                <w:b/>
                <w:rtl/>
              </w:rPr>
              <w:t>م</w:t>
            </w:r>
            <w:r w:rsidRPr="003171D7">
              <w:rPr>
                <w:rFonts w:hint="cs"/>
                <w:b/>
                <w:rtl/>
              </w:rPr>
              <w:t>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3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2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1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9</w:t>
            </w:r>
          </w:p>
        </w:tc>
        <w:tc>
          <w:tcPr>
            <w:tcW w:w="104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3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7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12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8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/>
              </w:rPr>
              <w:t>-</w:t>
            </w:r>
            <w:r w:rsidRPr="003171D7">
              <w:rPr>
                <w:bCs/>
              </w:rPr>
              <w:t>2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2</w:t>
            </w:r>
          </w:p>
        </w:tc>
        <w:tc>
          <w:tcPr>
            <w:tcW w:w="104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17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2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1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9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2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5</w:t>
            </w:r>
          </w:p>
        </w:tc>
        <w:tc>
          <w:tcPr>
            <w:tcW w:w="104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1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8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1</w:t>
            </w:r>
            <w:r w:rsidRPr="003171D7">
              <w:rPr>
                <w:rFonts w:hint="cs"/>
                <w:b/>
                <w:rtl/>
              </w:rPr>
              <w:t>5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8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9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7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14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6</w:t>
            </w:r>
          </w:p>
        </w:tc>
        <w:tc>
          <w:tcPr>
            <w:tcW w:w="6045" w:type="dxa"/>
            <w:tcBorders>
              <w:bottom w:val="nil"/>
            </w:tcBorders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3,</w:t>
            </w:r>
            <w:r>
              <w:rPr>
                <w:rFonts w:hint="cs"/>
                <w:b/>
                <w:bCs/>
                <w:color w:val="800080"/>
                <w:rtl/>
              </w:rPr>
              <w:t>5</w:t>
            </w:r>
          </w:p>
        </w:tc>
        <w:tc>
          <w:tcPr>
            <w:tcW w:w="1026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3,</w:t>
            </w:r>
            <w:r>
              <w:rPr>
                <w:rFonts w:hint="cs"/>
                <w:b/>
                <w:bCs/>
                <w:color w:val="800080"/>
                <w:rtl/>
              </w:rPr>
              <w:t>2</w:t>
            </w:r>
          </w:p>
        </w:tc>
        <w:tc>
          <w:tcPr>
            <w:tcW w:w="1046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2</w:t>
            </w:r>
            <w:r w:rsidRPr="003C770D">
              <w:rPr>
                <w:b/>
                <w:bCs/>
                <w:color w:val="800080"/>
              </w:rPr>
              <w:t>,</w:t>
            </w:r>
            <w:r>
              <w:rPr>
                <w:rFonts w:hint="cs"/>
                <w:b/>
                <w:bCs/>
                <w:color w:val="800080"/>
                <w:rtl/>
              </w:rPr>
              <w:t>9</w:t>
            </w:r>
          </w:p>
        </w:tc>
        <w:tc>
          <w:tcPr>
            <w:tcW w:w="6045" w:type="dxa"/>
            <w:tcBorders>
              <w:top w:val="nil"/>
              <w:bottom w:val="single" w:sz="6" w:space="0" w:color="4F6228"/>
            </w:tcBorders>
          </w:tcPr>
          <w:p w:rsidR="00FA2113" w:rsidRPr="000F254E" w:rsidRDefault="00FA2113" w:rsidP="00B85109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F254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621354" w:rsidRPr="000F254E" w:rsidTr="00360ED9">
        <w:trPr>
          <w:trHeight w:val="283"/>
          <w:jc w:val="center"/>
        </w:trPr>
        <w:tc>
          <w:tcPr>
            <w:tcW w:w="3162" w:type="dxa"/>
            <w:gridSpan w:val="3"/>
            <w:tcBorders>
              <w:top w:val="single" w:sz="6" w:space="0" w:color="4F6228"/>
            </w:tcBorders>
            <w:vAlign w:val="center"/>
          </w:tcPr>
          <w:p w:rsidR="00621354" w:rsidRPr="000F254E" w:rsidRDefault="00621354" w:rsidP="00360ED9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6045" w:type="dxa"/>
            <w:tcBorders>
              <w:top w:val="single" w:sz="6" w:space="0" w:color="4F6228"/>
            </w:tcBorders>
          </w:tcPr>
          <w:p w:rsidR="00621354" w:rsidRPr="006F25EE" w:rsidRDefault="00621354" w:rsidP="00360ED9">
            <w:pPr>
              <w:bidi/>
              <w:rPr>
                <w:rFonts w:ascii="Calibri" w:hAnsi="Calibri"/>
                <w:b/>
                <w:bCs/>
                <w:color w:val="993300"/>
              </w:rPr>
            </w:pPr>
            <w:r w:rsidRPr="006F25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2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4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</w:t>
            </w:r>
            <w:r w:rsidRPr="003171D7">
              <w:rPr>
                <w:rFonts w:hint="cs"/>
                <w:b/>
                <w:rtl/>
              </w:rPr>
              <w:t>5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3,</w:t>
            </w:r>
            <w:r w:rsidRPr="003171D7">
              <w:rPr>
                <w:rFonts w:hint="cs"/>
                <w:b/>
                <w:rtl/>
              </w:rPr>
              <w:t>2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1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9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1,8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4,2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8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5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14,0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1,9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 w:hint="cs"/>
                <w:color w:val="000000"/>
                <w:rtl/>
              </w:rPr>
            </w:pPr>
            <w:r w:rsidRPr="00E8533F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1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5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/>
              </w:rPr>
              <w:t>-</w:t>
            </w:r>
            <w:r w:rsidRPr="003171D7">
              <w:rPr>
                <w:rFonts w:hint="cs"/>
                <w:b/>
                <w:rtl/>
              </w:rPr>
              <w:t>2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1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-</w:t>
            </w:r>
            <w:r w:rsidRPr="003171D7">
              <w:rPr>
                <w:rFonts w:hint="cs"/>
                <w:b/>
                <w:rtl/>
              </w:rPr>
              <w:t>0</w:t>
            </w:r>
            <w:r w:rsidRPr="003C770D">
              <w:rPr>
                <w:bCs/>
              </w:rPr>
              <w:t>,5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b/>
              </w:rPr>
              <w:t>-</w:t>
            </w:r>
            <w:r w:rsidRPr="003171D7">
              <w:rPr>
                <w:rFonts w:hint="cs"/>
                <w:b/>
                <w:rtl/>
              </w:rPr>
              <w:t>3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1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3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3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>
              <w:rPr>
                <w:rFonts w:hint="cs"/>
                <w:bCs/>
                <w:rtl/>
              </w:rPr>
              <w:t>-</w:t>
            </w:r>
            <w:r w:rsidRPr="003C770D">
              <w:rPr>
                <w:bCs/>
              </w:rPr>
              <w:t>0</w:t>
            </w:r>
            <w:r w:rsidRPr="003171D7">
              <w:rPr>
                <w:b/>
              </w:rPr>
              <w:t>,</w:t>
            </w:r>
            <w:r w:rsidRPr="003171D7">
              <w:rPr>
                <w:rFonts w:hint="cs"/>
                <w:b/>
                <w:rtl/>
              </w:rPr>
              <w:t>1</w:t>
            </w:r>
          </w:p>
        </w:tc>
        <w:tc>
          <w:tcPr>
            <w:tcW w:w="6045" w:type="dxa"/>
            <w:tcBorders>
              <w:bottom w:val="nil"/>
            </w:tcBorders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12" w:space="0" w:color="4F6228"/>
            </w:tcBorders>
            <w:vAlign w:val="center"/>
          </w:tcPr>
          <w:p w:rsidR="00FA2113" w:rsidRPr="003C770D" w:rsidRDefault="00FA2113" w:rsidP="003171D7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6,</w:t>
            </w:r>
            <w:r w:rsidR="003171D7">
              <w:rPr>
                <w:rFonts w:hint="cs"/>
                <w:b/>
                <w:bCs/>
                <w:color w:val="800080"/>
                <w:rtl/>
              </w:rPr>
              <w:t>0</w:t>
            </w:r>
          </w:p>
        </w:tc>
        <w:tc>
          <w:tcPr>
            <w:tcW w:w="1026" w:type="dxa"/>
            <w:tcBorders>
              <w:top w:val="nil"/>
              <w:bottom w:val="single" w:sz="12" w:space="0" w:color="4F6228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8</w:t>
            </w:r>
            <w:r w:rsidRPr="003C770D">
              <w:rPr>
                <w:b/>
                <w:bCs/>
                <w:color w:val="800080"/>
              </w:rPr>
              <w:t>,</w:t>
            </w:r>
            <w:r>
              <w:rPr>
                <w:rFonts w:hint="cs"/>
                <w:b/>
                <w:bCs/>
                <w:color w:val="800080"/>
                <w:rtl/>
              </w:rPr>
              <w:t>4</w:t>
            </w:r>
          </w:p>
        </w:tc>
        <w:tc>
          <w:tcPr>
            <w:tcW w:w="1046" w:type="dxa"/>
            <w:tcBorders>
              <w:top w:val="nil"/>
              <w:bottom w:val="single" w:sz="12" w:space="0" w:color="4F6228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 w:rsidRPr="003C770D">
              <w:rPr>
                <w:b/>
                <w:bCs/>
                <w:color w:val="800080"/>
              </w:rPr>
              <w:t>0,</w:t>
            </w:r>
            <w:r>
              <w:rPr>
                <w:rFonts w:hint="cs"/>
                <w:b/>
                <w:bCs/>
                <w:color w:val="800080"/>
                <w:rtl/>
              </w:rPr>
              <w:t>0</w:t>
            </w:r>
          </w:p>
        </w:tc>
        <w:tc>
          <w:tcPr>
            <w:tcW w:w="6045" w:type="dxa"/>
            <w:tcBorders>
              <w:top w:val="nil"/>
              <w:bottom w:val="single" w:sz="12" w:space="0" w:color="4F6228"/>
            </w:tcBorders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621354" w:rsidRPr="000F254E" w:rsidTr="00621354">
        <w:trPr>
          <w:trHeight w:val="340"/>
          <w:jc w:val="center"/>
        </w:trPr>
        <w:tc>
          <w:tcPr>
            <w:tcW w:w="3162" w:type="dxa"/>
            <w:gridSpan w:val="3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jc w:val="center"/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بالأسعار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 xml:space="preserve">الجارية </w:t>
            </w:r>
          </w:p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(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بمليون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درهم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>)</w:t>
            </w:r>
          </w:p>
        </w:tc>
        <w:tc>
          <w:tcPr>
            <w:tcW w:w="6045" w:type="dxa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تقسيم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الناتج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الداخلي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الإجمالي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3171D7" w:rsidP="003171D7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982</w:t>
            </w:r>
            <w:r w:rsidR="00FA2113" w:rsidRPr="003C770D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223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923</w:t>
            </w:r>
            <w:r w:rsidRPr="003C770D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696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897</w:t>
            </w:r>
            <w:r w:rsidRPr="003C770D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923</w:t>
            </w:r>
          </w:p>
        </w:tc>
        <w:tc>
          <w:tcPr>
            <w:tcW w:w="6045" w:type="dxa"/>
          </w:tcPr>
          <w:p w:rsidR="00FA2113" w:rsidRPr="000F254E" w:rsidRDefault="00FA2113" w:rsidP="00B85109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الإج</w:t>
            </w:r>
            <w:r w:rsidR="00724759">
              <w:rPr>
                <w:rFonts w:hint="cs"/>
                <w:b/>
                <w:bCs/>
                <w:color w:val="800080"/>
                <w:rtl/>
              </w:rPr>
              <w:t>م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868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178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829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028</w:t>
            </w:r>
          </w:p>
        </w:tc>
        <w:tc>
          <w:tcPr>
            <w:tcW w:w="104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818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413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115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728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bCs/>
              </w:rPr>
              <w:t>99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084</w:t>
            </w:r>
          </w:p>
        </w:tc>
        <w:tc>
          <w:tcPr>
            <w:tcW w:w="104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112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195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752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450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729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944</w:t>
            </w:r>
          </w:p>
        </w:tc>
        <w:tc>
          <w:tcPr>
            <w:tcW w:w="1046" w:type="dxa"/>
            <w:vAlign w:val="center"/>
          </w:tcPr>
          <w:p w:rsidR="00FA2113" w:rsidRPr="003171D7" w:rsidRDefault="00D933F3" w:rsidP="00D933F3">
            <w:pPr>
              <w:jc w:val="right"/>
              <w:rPr>
                <w:b/>
              </w:rPr>
            </w:pPr>
            <w:r>
              <w:rPr>
                <w:rFonts w:hint="cs"/>
                <w:b/>
                <w:rtl/>
              </w:rPr>
              <w:t>218</w:t>
            </w:r>
            <w:r w:rsidR="00FA2113" w:rsidRPr="003171D7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>706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</w:rPr>
              <w:t xml:space="preserve">    </w:t>
            </w:r>
            <w:r w:rsidRPr="00E8533F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114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045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 xml:space="preserve">94 </w:t>
            </w:r>
            <w:r w:rsidRPr="003171D7">
              <w:rPr>
                <w:rFonts w:hint="cs"/>
                <w:b/>
                <w:rtl/>
              </w:rPr>
              <w:t>668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79</w:t>
            </w:r>
            <w:r>
              <w:rPr>
                <w:rFonts w:hint="cs"/>
                <w:bCs/>
                <w:rtl/>
              </w:rPr>
              <w:t xml:space="preserve"> </w:t>
            </w:r>
            <w:r w:rsidRPr="003C770D">
              <w:rPr>
                <w:bCs/>
              </w:rPr>
              <w:t>510</w:t>
            </w:r>
          </w:p>
        </w:tc>
        <w:tc>
          <w:tcPr>
            <w:tcW w:w="6045" w:type="dxa"/>
            <w:tcBorders>
              <w:bottom w:val="nil"/>
            </w:tcBorders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C770D" w:rsidRDefault="003171D7" w:rsidP="003171D7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866</w:t>
            </w:r>
            <w:r w:rsidR="00FA2113" w:rsidRPr="003C770D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495</w:t>
            </w:r>
          </w:p>
        </w:tc>
        <w:tc>
          <w:tcPr>
            <w:tcW w:w="1026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824</w:t>
            </w:r>
            <w:r w:rsidRPr="003C770D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612</w:t>
            </w:r>
          </w:p>
        </w:tc>
        <w:tc>
          <w:tcPr>
            <w:tcW w:w="1046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C770D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785</w:t>
            </w:r>
            <w:r w:rsidRPr="003C770D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728</w:t>
            </w:r>
          </w:p>
        </w:tc>
        <w:tc>
          <w:tcPr>
            <w:tcW w:w="6045" w:type="dxa"/>
            <w:tcBorders>
              <w:top w:val="nil"/>
              <w:bottom w:val="single" w:sz="6" w:space="0" w:color="4F6228"/>
            </w:tcBorders>
          </w:tcPr>
          <w:p w:rsidR="00FA2113" w:rsidRPr="000F254E" w:rsidRDefault="00FA2113" w:rsidP="00B85109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0F254E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621354" w:rsidRPr="000F254E" w:rsidTr="00360ED9">
        <w:trPr>
          <w:trHeight w:val="283"/>
          <w:jc w:val="center"/>
        </w:trPr>
        <w:tc>
          <w:tcPr>
            <w:tcW w:w="3162" w:type="dxa"/>
            <w:gridSpan w:val="3"/>
            <w:tcBorders>
              <w:top w:val="single" w:sz="6" w:space="0" w:color="4F6228"/>
            </w:tcBorders>
            <w:vAlign w:val="center"/>
          </w:tcPr>
          <w:p w:rsidR="00621354" w:rsidRPr="000F254E" w:rsidRDefault="00621354" w:rsidP="00360ED9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6045" w:type="dxa"/>
            <w:tcBorders>
              <w:top w:val="single" w:sz="6" w:space="0" w:color="4F6228"/>
            </w:tcBorders>
          </w:tcPr>
          <w:p w:rsidR="00621354" w:rsidRPr="000F254E" w:rsidRDefault="00621354" w:rsidP="00967225">
            <w:pPr>
              <w:bidi/>
              <w:ind w:left="126"/>
              <w:rPr>
                <w:rFonts w:ascii="Arial" w:hAnsi="Arial"/>
                <w:b/>
                <w:bCs/>
                <w:color w:val="7030A0"/>
              </w:rPr>
            </w:pPr>
            <w:r w:rsidRPr="006F25EE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567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535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553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287</w:t>
            </w:r>
          </w:p>
        </w:tc>
        <w:tc>
          <w:tcPr>
            <w:tcW w:w="104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533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903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188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720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 xml:space="preserve">183 </w:t>
            </w:r>
            <w:r w:rsidRPr="003171D7">
              <w:rPr>
                <w:rFonts w:hint="cs"/>
                <w:b/>
                <w:rtl/>
              </w:rPr>
              <w:t>841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178 309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3171D7" w:rsidP="003171D7">
            <w:pPr>
              <w:jc w:val="right"/>
              <w:rPr>
                <w:bCs/>
              </w:rPr>
            </w:pPr>
            <w:r w:rsidRPr="003171D7">
              <w:rPr>
                <w:rFonts w:hint="cs"/>
                <w:b/>
                <w:rtl/>
              </w:rPr>
              <w:t>5</w:t>
            </w:r>
            <w:r w:rsidR="00FA2113" w:rsidRPr="003C770D">
              <w:rPr>
                <w:bCs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439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4 923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4 242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  <w:lang w:bidi="ar-MA"/>
              </w:rPr>
            </w:pPr>
            <w:r w:rsidRPr="00E8533F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281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492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274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028</w:t>
            </w:r>
          </w:p>
        </w:tc>
        <w:tc>
          <w:tcPr>
            <w:tcW w:w="1046" w:type="dxa"/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276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496</w:t>
            </w:r>
          </w:p>
        </w:tc>
        <w:tc>
          <w:tcPr>
            <w:tcW w:w="6045" w:type="dxa"/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413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368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432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700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424 205</w:t>
            </w:r>
          </w:p>
        </w:tc>
        <w:tc>
          <w:tcPr>
            <w:tcW w:w="6045" w:type="dxa"/>
            <w:tcBorders>
              <w:bottom w:val="nil"/>
            </w:tcBorders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336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846</w:t>
            </w:r>
          </w:p>
        </w:tc>
        <w:tc>
          <w:tcPr>
            <w:tcW w:w="1026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171D7" w:rsidRDefault="00FA2113" w:rsidP="00FA211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317</w:t>
            </w:r>
            <w:r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129</w:t>
            </w:r>
          </w:p>
        </w:tc>
        <w:tc>
          <w:tcPr>
            <w:tcW w:w="1046" w:type="dxa"/>
            <w:tcBorders>
              <w:top w:val="nil"/>
              <w:bottom w:val="single" w:sz="6" w:space="0" w:color="4F6228"/>
            </w:tcBorders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294 318</w:t>
            </w:r>
          </w:p>
        </w:tc>
        <w:tc>
          <w:tcPr>
            <w:tcW w:w="6045" w:type="dxa"/>
            <w:tcBorders>
              <w:top w:val="nil"/>
              <w:bottom w:val="single" w:sz="6" w:space="0" w:color="4F6228"/>
            </w:tcBorders>
          </w:tcPr>
          <w:p w:rsidR="00FA2113" w:rsidRPr="00E8533F" w:rsidRDefault="00FA2113" w:rsidP="00B85109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top w:val="single" w:sz="6" w:space="0" w:color="4F6228"/>
            </w:tcBorders>
            <w:vAlign w:val="center"/>
          </w:tcPr>
          <w:p w:rsidR="00FA2113" w:rsidRDefault="003171D7" w:rsidP="003171D7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1039</w:t>
            </w:r>
            <w:r w:rsidR="00FA2113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809</w:t>
            </w:r>
          </w:p>
        </w:tc>
        <w:tc>
          <w:tcPr>
            <w:tcW w:w="1026" w:type="dxa"/>
            <w:tcBorders>
              <w:top w:val="single" w:sz="6" w:space="0" w:color="4F6228"/>
            </w:tcBorders>
            <w:vAlign w:val="center"/>
          </w:tcPr>
          <w:p w:rsidR="00FA2113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 xml:space="preserve">985 </w:t>
            </w:r>
            <w:r>
              <w:rPr>
                <w:rFonts w:hint="cs"/>
                <w:b/>
                <w:bCs/>
                <w:color w:val="800080"/>
                <w:rtl/>
              </w:rPr>
              <w:t>917</w:t>
            </w:r>
          </w:p>
        </w:tc>
        <w:tc>
          <w:tcPr>
            <w:tcW w:w="1046" w:type="dxa"/>
            <w:tcBorders>
              <w:top w:val="single" w:sz="6" w:space="0" w:color="4F6228"/>
            </w:tcBorders>
            <w:vAlign w:val="center"/>
          </w:tcPr>
          <w:p w:rsidR="00FA2113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958</w:t>
            </w:r>
            <w:r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628</w:t>
            </w:r>
          </w:p>
        </w:tc>
        <w:tc>
          <w:tcPr>
            <w:tcW w:w="6045" w:type="dxa"/>
            <w:tcBorders>
              <w:top w:val="single" w:sz="6" w:space="0" w:color="4F6228"/>
            </w:tcBorders>
          </w:tcPr>
          <w:p w:rsidR="00FA2113" w:rsidRPr="000F254E" w:rsidRDefault="00FA2113" w:rsidP="00967225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الدخل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الوطني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المتاح</w:t>
            </w:r>
          </w:p>
        </w:tc>
      </w:tr>
      <w:tr w:rsidR="00FA2113" w:rsidRPr="000F254E" w:rsidTr="00360ED9">
        <w:trPr>
          <w:trHeight w:val="283"/>
          <w:jc w:val="center"/>
        </w:trPr>
        <w:tc>
          <w:tcPr>
            <w:tcW w:w="1090" w:type="dxa"/>
            <w:tcBorders>
              <w:bottom w:val="nil"/>
            </w:tcBorders>
            <w:vAlign w:val="center"/>
          </w:tcPr>
          <w:p w:rsidR="00FA2113" w:rsidRDefault="003171D7" w:rsidP="003171D7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278</w:t>
            </w:r>
            <w:r w:rsidR="00FA2113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115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FA2113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 xml:space="preserve">243 </w:t>
            </w:r>
            <w:r>
              <w:rPr>
                <w:rFonts w:hint="cs"/>
                <w:b/>
                <w:bCs/>
                <w:color w:val="800080"/>
                <w:rtl/>
              </w:rPr>
              <w:t>866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FA2113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242</w:t>
            </w:r>
            <w:r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174</w:t>
            </w:r>
          </w:p>
        </w:tc>
        <w:tc>
          <w:tcPr>
            <w:tcW w:w="6045" w:type="dxa"/>
            <w:tcBorders>
              <w:bottom w:val="nil"/>
            </w:tcBorders>
          </w:tcPr>
          <w:p w:rsidR="00FA2113" w:rsidRPr="000F254E" w:rsidRDefault="00FA2113" w:rsidP="00967225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الادخار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الوطني</w:t>
            </w:r>
          </w:p>
        </w:tc>
      </w:tr>
      <w:tr w:rsidR="00FA2113" w:rsidRPr="000F254E" w:rsidTr="00360ED9">
        <w:trPr>
          <w:trHeight w:val="283"/>
          <w:jc w:val="center"/>
        </w:trPr>
        <w:tc>
          <w:tcPr>
            <w:tcW w:w="1090" w:type="dxa"/>
            <w:tcBorders>
              <w:top w:val="nil"/>
              <w:bottom w:val="single" w:sz="12" w:space="0" w:color="4F6228"/>
            </w:tcBorders>
            <w:vAlign w:val="center"/>
          </w:tcPr>
          <w:p w:rsidR="00FA2113" w:rsidRDefault="003171D7" w:rsidP="003171D7">
            <w:pPr>
              <w:jc w:val="right"/>
              <w:rPr>
                <w:b/>
                <w:bCs/>
                <w:color w:val="800080"/>
              </w:rPr>
            </w:pPr>
            <w:r>
              <w:rPr>
                <w:rFonts w:hint="cs"/>
                <w:b/>
                <w:bCs/>
                <w:color w:val="800080"/>
                <w:rtl/>
              </w:rPr>
              <w:t>18</w:t>
            </w:r>
            <w:r w:rsidR="00FA2113">
              <w:rPr>
                <w:b/>
                <w:bCs/>
                <w:color w:val="800080"/>
              </w:rPr>
              <w:t xml:space="preserve"> </w:t>
            </w:r>
            <w:r>
              <w:rPr>
                <w:rFonts w:hint="cs"/>
                <w:b/>
                <w:bCs/>
                <w:color w:val="800080"/>
                <w:rtl/>
              </w:rPr>
              <w:t>927</w:t>
            </w:r>
          </w:p>
        </w:tc>
        <w:tc>
          <w:tcPr>
            <w:tcW w:w="1026" w:type="dxa"/>
            <w:tcBorders>
              <w:top w:val="nil"/>
              <w:bottom w:val="single" w:sz="12" w:space="0" w:color="4F6228"/>
            </w:tcBorders>
            <w:vAlign w:val="center"/>
          </w:tcPr>
          <w:p w:rsidR="00FA2113" w:rsidRDefault="00FA2113" w:rsidP="00FA2113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 xml:space="preserve">53 </w:t>
            </w:r>
            <w:r>
              <w:rPr>
                <w:rFonts w:hint="cs"/>
                <w:b/>
                <w:bCs/>
                <w:color w:val="800080"/>
                <w:rtl/>
              </w:rPr>
              <w:t>331</w:t>
            </w:r>
          </w:p>
        </w:tc>
        <w:tc>
          <w:tcPr>
            <w:tcW w:w="1046" w:type="dxa"/>
            <w:tcBorders>
              <w:top w:val="nil"/>
              <w:bottom w:val="single" w:sz="12" w:space="0" w:color="4F6228"/>
            </w:tcBorders>
            <w:vAlign w:val="center"/>
          </w:tcPr>
          <w:p w:rsidR="00FA2113" w:rsidRDefault="00FA2113" w:rsidP="007F7A8B">
            <w:pPr>
              <w:jc w:val="right"/>
              <w:rPr>
                <w:b/>
                <w:bCs/>
                <w:color w:val="800080"/>
              </w:rPr>
            </w:pPr>
            <w:r>
              <w:rPr>
                <w:b/>
                <w:bCs/>
                <w:color w:val="800080"/>
              </w:rPr>
              <w:t>69 183</w:t>
            </w:r>
          </w:p>
        </w:tc>
        <w:tc>
          <w:tcPr>
            <w:tcW w:w="6045" w:type="dxa"/>
            <w:tcBorders>
              <w:top w:val="nil"/>
              <w:bottom w:val="single" w:sz="12" w:space="0" w:color="4F6228"/>
            </w:tcBorders>
          </w:tcPr>
          <w:p w:rsidR="00FA2113" w:rsidRPr="000F254E" w:rsidRDefault="00FA2113" w:rsidP="00967225">
            <w:pPr>
              <w:bidi/>
              <w:ind w:left="126"/>
              <w:rPr>
                <w:b/>
                <w:bCs/>
                <w:color w:val="800080"/>
              </w:rPr>
            </w:pPr>
            <w:r w:rsidRPr="000F254E">
              <w:rPr>
                <w:rFonts w:hint="cs"/>
                <w:b/>
                <w:bCs/>
                <w:color w:val="800080"/>
                <w:rtl/>
              </w:rPr>
              <w:t>الحاجة</w:t>
            </w:r>
            <w:r w:rsidRPr="000F254E">
              <w:rPr>
                <w:b/>
                <w:bCs/>
                <w:color w:val="800080"/>
                <w:rtl/>
              </w:rPr>
              <w:t xml:space="preserve"> </w:t>
            </w:r>
            <w:r w:rsidRPr="000F254E">
              <w:rPr>
                <w:rFonts w:hint="cs"/>
                <w:b/>
                <w:bCs/>
                <w:color w:val="800080"/>
                <w:rtl/>
              </w:rPr>
              <w:t>التمويلية</w:t>
            </w:r>
          </w:p>
        </w:tc>
      </w:tr>
      <w:tr w:rsidR="00621354" w:rsidRPr="000F254E" w:rsidTr="00360ED9">
        <w:trPr>
          <w:trHeight w:val="397"/>
          <w:jc w:val="center"/>
        </w:trPr>
        <w:tc>
          <w:tcPr>
            <w:tcW w:w="3162" w:type="dxa"/>
            <w:gridSpan w:val="3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jc w:val="center"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b/>
                <w:bCs/>
                <w:color w:val="993300"/>
                <w:sz w:val="22"/>
                <w:szCs w:val="22"/>
              </w:rPr>
              <w:t xml:space="preserve"> %</w:t>
            </w:r>
          </w:p>
        </w:tc>
        <w:tc>
          <w:tcPr>
            <w:tcW w:w="6045" w:type="dxa"/>
            <w:tcBorders>
              <w:top w:val="single" w:sz="12" w:space="0" w:color="4F6228"/>
            </w:tcBorders>
            <w:vAlign w:val="center"/>
          </w:tcPr>
          <w:p w:rsidR="00621354" w:rsidRPr="00621354" w:rsidRDefault="00621354" w:rsidP="00360ED9">
            <w:pPr>
              <w:bidi/>
              <w:rPr>
                <w:b/>
                <w:bCs/>
                <w:color w:val="993300"/>
                <w:sz w:val="22"/>
                <w:szCs w:val="22"/>
              </w:rPr>
            </w:pP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بعض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النسب</w:t>
            </w:r>
            <w:r w:rsidRPr="00621354">
              <w:rPr>
                <w:b/>
                <w:bCs/>
                <w:color w:val="993300"/>
                <w:sz w:val="22"/>
                <w:szCs w:val="22"/>
                <w:rtl/>
              </w:rPr>
              <w:t xml:space="preserve"> </w:t>
            </w:r>
            <w:r w:rsidRPr="00621354">
              <w:rPr>
                <w:rFonts w:hint="cs"/>
                <w:b/>
                <w:bCs/>
                <w:color w:val="993300"/>
                <w:sz w:val="22"/>
                <w:szCs w:val="22"/>
                <w:rtl/>
              </w:rPr>
              <w:t>الاقتصادية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29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184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 xml:space="preserve">27 </w:t>
            </w:r>
            <w:r w:rsidRPr="003171D7">
              <w:rPr>
                <w:rFonts w:hint="cs"/>
                <w:b/>
                <w:rtl/>
              </w:rPr>
              <w:t>735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 xml:space="preserve">27 </w:t>
            </w:r>
            <w:r w:rsidRPr="003171D7">
              <w:rPr>
                <w:rFonts w:hint="cs"/>
                <w:b/>
                <w:rtl/>
              </w:rPr>
              <w:t>251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الناتج الداخلي الاجمالي حسب الفرد (بالدرهم)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171D7" w:rsidRDefault="003171D7" w:rsidP="003171D7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30</w:t>
            </w:r>
            <w:r w:rsidR="00FA2113" w:rsidRPr="003171D7">
              <w:rPr>
                <w:b/>
              </w:rPr>
              <w:t xml:space="preserve"> </w:t>
            </w:r>
            <w:r w:rsidRPr="003171D7">
              <w:rPr>
                <w:rFonts w:hint="cs"/>
                <w:b/>
                <w:rtl/>
              </w:rPr>
              <w:t>895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 xml:space="preserve">29 </w:t>
            </w:r>
            <w:r w:rsidRPr="003171D7">
              <w:rPr>
                <w:rFonts w:hint="cs"/>
                <w:b/>
                <w:rtl/>
              </w:rPr>
              <w:t>604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 xml:space="preserve">29 </w:t>
            </w:r>
            <w:r w:rsidRPr="003171D7">
              <w:rPr>
                <w:rFonts w:hint="cs"/>
                <w:b/>
                <w:rtl/>
              </w:rPr>
              <w:t>093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3171D7" w:rsidP="00360ED9">
            <w:pPr>
              <w:jc w:val="right"/>
              <w:rPr>
                <w:bCs/>
              </w:rPr>
            </w:pPr>
            <w:r w:rsidRPr="003171D7">
              <w:rPr>
                <w:rFonts w:hint="cs"/>
                <w:b/>
                <w:rtl/>
              </w:rPr>
              <w:t>57</w:t>
            </w:r>
            <w:r w:rsidR="00FA2113" w:rsidRPr="003C770D">
              <w:rPr>
                <w:bCs/>
              </w:rPr>
              <w:t>,8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59,</w:t>
            </w:r>
            <w:r w:rsidRPr="003171D7">
              <w:rPr>
                <w:rFonts w:hint="cs"/>
                <w:b/>
                <w:rtl/>
              </w:rPr>
              <w:t>9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59,</w:t>
            </w:r>
            <w:r w:rsidRPr="003171D7">
              <w:rPr>
                <w:rFonts w:hint="cs"/>
                <w:b/>
                <w:rtl/>
              </w:rPr>
              <w:t>5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استهلاك الأسر / الناتج الداخلي الإجمالي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FA2113" w:rsidP="003171D7">
            <w:pPr>
              <w:jc w:val="right"/>
              <w:rPr>
                <w:bCs/>
              </w:rPr>
            </w:pPr>
            <w:r w:rsidRPr="003C770D">
              <w:rPr>
                <w:bCs/>
              </w:rPr>
              <w:t>19,</w:t>
            </w:r>
            <w:r w:rsidR="003171D7" w:rsidRPr="003171D7">
              <w:rPr>
                <w:rFonts w:hint="cs"/>
                <w:b/>
                <w:rtl/>
              </w:rPr>
              <w:t>2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19,9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19,</w:t>
            </w:r>
            <w:r w:rsidRPr="003171D7">
              <w:rPr>
                <w:rFonts w:hint="cs"/>
                <w:b/>
                <w:rtl/>
              </w:rPr>
              <w:t>9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FA2113" w:rsidP="003171D7">
            <w:pPr>
              <w:jc w:val="right"/>
              <w:rPr>
                <w:bCs/>
              </w:rPr>
            </w:pPr>
            <w:r w:rsidRPr="003C770D">
              <w:rPr>
                <w:bCs/>
              </w:rPr>
              <w:t>0,</w:t>
            </w:r>
            <w:r w:rsidR="003171D7" w:rsidRPr="003171D7">
              <w:rPr>
                <w:rFonts w:hint="cs"/>
                <w:b/>
                <w:rtl/>
              </w:rPr>
              <w:t>6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0,5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0,5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  <w:rtl/>
                <w:lang w:bidi="ar-MA"/>
              </w:rPr>
            </w:pPr>
            <w:r w:rsidRPr="00E8533F">
              <w:rPr>
                <w:rFonts w:ascii="Arial" w:hAnsi="Arial"/>
                <w:color w:val="000000"/>
                <w:rtl/>
              </w:rPr>
              <w:t>نفقات الاستهلاك النهائي</w:t>
            </w:r>
            <w:r w:rsidRPr="00E8533F">
              <w:rPr>
                <w:rFonts w:ascii="Arial" w:hAnsi="Arial" w:hint="cs"/>
                <w:color w:val="000000"/>
                <w:rtl/>
              </w:rPr>
              <w:t xml:space="preserve"> للمؤسسات الغير الهادفة للربح</w:t>
            </w:r>
            <w:r w:rsidRPr="00E8533F">
              <w:rPr>
                <w:rFonts w:ascii="Arial" w:hAnsi="Arial" w:hint="cs"/>
                <w:color w:val="000000"/>
                <w:rtl/>
                <w:lang w:bidi="ar-MA"/>
              </w:rPr>
              <w:t xml:space="preserve"> / </w:t>
            </w:r>
            <w:r w:rsidRPr="00E8533F">
              <w:rPr>
                <w:rFonts w:ascii="Arial" w:hAnsi="Arial"/>
                <w:color w:val="000000"/>
                <w:rtl/>
              </w:rPr>
              <w:t>الناتج الداخلي الإجمالي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FA2113" w:rsidP="00360ED9">
            <w:pPr>
              <w:jc w:val="right"/>
              <w:rPr>
                <w:bCs/>
              </w:rPr>
            </w:pPr>
            <w:r w:rsidRPr="003C770D">
              <w:rPr>
                <w:bCs/>
              </w:rPr>
              <w:t>34,3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7F7A8B">
            <w:pPr>
              <w:jc w:val="right"/>
              <w:rPr>
                <w:bCs/>
              </w:rPr>
            </w:pPr>
            <w:r w:rsidRPr="003C770D">
              <w:rPr>
                <w:bCs/>
              </w:rPr>
              <w:t>34,3</w:t>
            </w:r>
          </w:p>
        </w:tc>
        <w:tc>
          <w:tcPr>
            <w:tcW w:w="104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32,</w:t>
            </w:r>
            <w:r w:rsidRPr="003171D7">
              <w:rPr>
                <w:rFonts w:hint="cs"/>
                <w:b/>
                <w:rtl/>
              </w:rPr>
              <w:t>8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FA2113" w:rsidP="003171D7">
            <w:pPr>
              <w:jc w:val="right"/>
              <w:rPr>
                <w:bCs/>
              </w:rPr>
            </w:pPr>
            <w:r w:rsidRPr="003C770D">
              <w:rPr>
                <w:bCs/>
              </w:rPr>
              <w:t>4</w:t>
            </w:r>
            <w:r w:rsidR="003171D7" w:rsidRPr="003171D7">
              <w:rPr>
                <w:rFonts w:hint="cs"/>
                <w:b/>
                <w:rtl/>
              </w:rPr>
              <w:t>2</w:t>
            </w:r>
            <w:r w:rsidRPr="003C770D">
              <w:rPr>
                <w:bCs/>
              </w:rPr>
              <w:t>,</w:t>
            </w:r>
            <w:r w:rsidR="003171D7" w:rsidRPr="003171D7">
              <w:rPr>
                <w:rFonts w:hint="cs"/>
                <w:b/>
                <w:rtl/>
              </w:rPr>
              <w:t>1</w:t>
            </w:r>
          </w:p>
        </w:tc>
        <w:tc>
          <w:tcPr>
            <w:tcW w:w="1026" w:type="dxa"/>
            <w:vAlign w:val="center"/>
          </w:tcPr>
          <w:p w:rsidR="00FA2113" w:rsidRPr="003C770D" w:rsidRDefault="00FA2113" w:rsidP="00FA2113">
            <w:pPr>
              <w:jc w:val="right"/>
              <w:rPr>
                <w:bCs/>
              </w:rPr>
            </w:pPr>
            <w:r w:rsidRPr="003C770D">
              <w:rPr>
                <w:bCs/>
              </w:rPr>
              <w:t>46,</w:t>
            </w:r>
            <w:r w:rsidRPr="003171D7">
              <w:rPr>
                <w:rFonts w:hint="cs"/>
                <w:b/>
                <w:rtl/>
              </w:rPr>
              <w:t>8</w:t>
            </w:r>
          </w:p>
        </w:tc>
        <w:tc>
          <w:tcPr>
            <w:tcW w:w="1046" w:type="dxa"/>
            <w:vAlign w:val="center"/>
          </w:tcPr>
          <w:p w:rsidR="00FA2113" w:rsidRPr="003C770D" w:rsidRDefault="00D933F3" w:rsidP="00D933F3">
            <w:pPr>
              <w:jc w:val="right"/>
              <w:rPr>
                <w:bCs/>
              </w:rPr>
            </w:pPr>
            <w:r>
              <w:rPr>
                <w:rFonts w:hint="cs"/>
                <w:b/>
                <w:rtl/>
              </w:rPr>
              <w:t>47</w:t>
            </w:r>
            <w:r w:rsidR="00FA2113" w:rsidRPr="003C770D">
              <w:rPr>
                <w:bCs/>
              </w:rPr>
              <w:t>,</w:t>
            </w:r>
            <w:r>
              <w:rPr>
                <w:rFonts w:hint="cs"/>
                <w:b/>
                <w:rtl/>
              </w:rPr>
              <w:t>2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</w:tcPr>
          <w:p w:rsidR="00FA2113" w:rsidRPr="003171D7" w:rsidRDefault="00D933F3" w:rsidP="00D933F3">
            <w:pPr>
              <w:jc w:val="right"/>
              <w:rPr>
                <w:b/>
              </w:rPr>
            </w:pPr>
            <w:r>
              <w:rPr>
                <w:rFonts w:hint="cs"/>
                <w:b/>
                <w:rtl/>
              </w:rPr>
              <w:t>30</w:t>
            </w:r>
            <w:r w:rsidR="00FA2113" w:rsidRPr="003171D7">
              <w:rPr>
                <w:b/>
              </w:rPr>
              <w:t>,</w:t>
            </w:r>
            <w:r>
              <w:rPr>
                <w:rFonts w:hint="cs"/>
                <w:b/>
                <w:rtl/>
              </w:rPr>
              <w:t>2</w:t>
            </w:r>
          </w:p>
        </w:tc>
        <w:tc>
          <w:tcPr>
            <w:tcW w:w="1026" w:type="dxa"/>
          </w:tcPr>
          <w:p w:rsidR="00FA2113" w:rsidRPr="003171D7" w:rsidRDefault="00D933F3" w:rsidP="00D933F3">
            <w:pPr>
              <w:jc w:val="right"/>
              <w:rPr>
                <w:b/>
              </w:rPr>
            </w:pPr>
            <w:r>
              <w:rPr>
                <w:rFonts w:hint="cs"/>
                <w:b/>
                <w:rtl/>
              </w:rPr>
              <w:t>32</w:t>
            </w:r>
            <w:r w:rsidR="00FA2113" w:rsidRPr="003171D7">
              <w:rPr>
                <w:b/>
              </w:rPr>
              <w:t>,</w:t>
            </w:r>
            <w:r>
              <w:rPr>
                <w:rFonts w:hint="cs"/>
                <w:b/>
                <w:rtl/>
              </w:rPr>
              <w:t>2</w:t>
            </w:r>
          </w:p>
        </w:tc>
        <w:tc>
          <w:tcPr>
            <w:tcW w:w="1046" w:type="dxa"/>
          </w:tcPr>
          <w:p w:rsidR="00FA2113" w:rsidRPr="003C770D" w:rsidRDefault="00D933F3" w:rsidP="00D933F3">
            <w:pPr>
              <w:jc w:val="right"/>
              <w:rPr>
                <w:bCs/>
              </w:rPr>
            </w:pPr>
            <w:r>
              <w:rPr>
                <w:rFonts w:hint="cs"/>
                <w:b/>
                <w:rtl/>
              </w:rPr>
              <w:t>34</w:t>
            </w:r>
            <w:r w:rsidR="00FA2113">
              <w:rPr>
                <w:bCs/>
              </w:rPr>
              <w:t>,</w:t>
            </w:r>
            <w:r>
              <w:rPr>
                <w:rFonts w:hint="cs"/>
                <w:b/>
                <w:rtl/>
              </w:rPr>
              <w:t>7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معدل الاستثمار (إجمالي تكوين رأس المال الثابت</w:t>
            </w:r>
            <w:r w:rsidRPr="00E8533F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E8533F">
              <w:rPr>
                <w:rFonts w:ascii="Arial" w:hAnsi="Arial" w:hint="cs"/>
                <w:color w:val="000000"/>
                <w:rtl/>
                <w:lang w:bidi="ar-MA"/>
              </w:rPr>
              <w:t xml:space="preserve">+ التغير في المخزون / </w:t>
            </w:r>
            <w:r w:rsidRPr="00E8533F">
              <w:rPr>
                <w:rFonts w:ascii="Arial" w:hAnsi="Arial"/>
                <w:color w:val="000000"/>
                <w:rtl/>
              </w:rPr>
              <w:t xml:space="preserve">الناتج الداخلي </w:t>
            </w:r>
            <w:r w:rsidRPr="00E8533F">
              <w:rPr>
                <w:rFonts w:ascii="Arial" w:hAnsi="Arial" w:hint="cs"/>
                <w:color w:val="000000"/>
                <w:rtl/>
              </w:rPr>
              <w:t>الإجمالي</w:t>
            </w:r>
            <w:r w:rsidRPr="00E8533F">
              <w:rPr>
                <w:rFonts w:ascii="Arial" w:hAnsi="Arial"/>
                <w:color w:val="000000"/>
                <w:rtl/>
              </w:rPr>
              <w:t>)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vAlign w:val="center"/>
          </w:tcPr>
          <w:p w:rsidR="00FA2113" w:rsidRPr="003C770D" w:rsidRDefault="00D933F3" w:rsidP="00D933F3">
            <w:pPr>
              <w:jc w:val="right"/>
              <w:rPr>
                <w:bCs/>
              </w:rPr>
            </w:pPr>
            <w:r w:rsidRPr="00D933F3">
              <w:rPr>
                <w:rFonts w:hint="cs"/>
                <w:b/>
                <w:rtl/>
              </w:rPr>
              <w:t>28</w:t>
            </w:r>
            <w:r w:rsidR="00FA2113">
              <w:rPr>
                <w:bCs/>
              </w:rPr>
              <w:t>,</w:t>
            </w:r>
            <w:r>
              <w:rPr>
                <w:rFonts w:hint="cs"/>
                <w:b/>
                <w:rtl/>
              </w:rPr>
              <w:t>3</w:t>
            </w:r>
          </w:p>
        </w:tc>
        <w:tc>
          <w:tcPr>
            <w:tcW w:w="1026" w:type="dxa"/>
            <w:vAlign w:val="center"/>
          </w:tcPr>
          <w:p w:rsidR="00FA2113" w:rsidRPr="003171D7" w:rsidRDefault="00FA2113" w:rsidP="00D933F3">
            <w:pPr>
              <w:jc w:val="right"/>
              <w:rPr>
                <w:b/>
              </w:rPr>
            </w:pPr>
            <w:r w:rsidRPr="003171D7">
              <w:rPr>
                <w:rFonts w:hint="cs"/>
                <w:b/>
                <w:rtl/>
              </w:rPr>
              <w:t>2</w:t>
            </w:r>
            <w:r w:rsidR="00D933F3">
              <w:rPr>
                <w:rFonts w:hint="cs"/>
                <w:b/>
                <w:rtl/>
              </w:rPr>
              <w:t>6</w:t>
            </w:r>
            <w:r w:rsidRPr="003171D7">
              <w:rPr>
                <w:b/>
              </w:rPr>
              <w:t>,</w:t>
            </w:r>
            <w:r w:rsidR="00D933F3">
              <w:rPr>
                <w:rFonts w:hint="cs"/>
                <w:b/>
                <w:rtl/>
              </w:rPr>
              <w:t>4</w:t>
            </w:r>
          </w:p>
        </w:tc>
        <w:tc>
          <w:tcPr>
            <w:tcW w:w="1046" w:type="dxa"/>
            <w:vAlign w:val="center"/>
          </w:tcPr>
          <w:p w:rsidR="00FA2113" w:rsidRPr="003C770D" w:rsidRDefault="00D933F3" w:rsidP="00D933F3">
            <w:pPr>
              <w:jc w:val="right"/>
              <w:rPr>
                <w:bCs/>
              </w:rPr>
            </w:pPr>
            <w:r w:rsidRPr="00D933F3">
              <w:rPr>
                <w:rFonts w:hint="cs"/>
                <w:b/>
                <w:rtl/>
              </w:rPr>
              <w:t>27</w:t>
            </w:r>
            <w:r w:rsidR="00FA2113" w:rsidRPr="003171D7">
              <w:rPr>
                <w:b/>
              </w:rPr>
              <w:t>,</w:t>
            </w:r>
            <w:r>
              <w:rPr>
                <w:rFonts w:hint="cs"/>
                <w:b/>
                <w:rtl/>
              </w:rPr>
              <w:t>0</w:t>
            </w:r>
          </w:p>
        </w:tc>
        <w:tc>
          <w:tcPr>
            <w:tcW w:w="6045" w:type="dxa"/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معدل الادخار الوطني (إجمالي الادخار الوطني</w:t>
            </w:r>
            <w:r w:rsidRPr="00E8533F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E8533F">
              <w:rPr>
                <w:rFonts w:ascii="Arial" w:hAnsi="Arial"/>
                <w:color w:val="000000"/>
                <w:rtl/>
              </w:rPr>
              <w:t>/ الناتج الداخلي الإجمالي)</w:t>
            </w:r>
          </w:p>
        </w:tc>
      </w:tr>
      <w:tr w:rsidR="00FA2113" w:rsidRPr="000F254E" w:rsidTr="00064672">
        <w:trPr>
          <w:trHeight w:val="283"/>
          <w:jc w:val="center"/>
        </w:trPr>
        <w:tc>
          <w:tcPr>
            <w:tcW w:w="1090" w:type="dxa"/>
            <w:tcBorders>
              <w:bottom w:val="single" w:sz="12" w:space="0" w:color="4F6228"/>
            </w:tcBorders>
            <w:vAlign w:val="bottom"/>
          </w:tcPr>
          <w:p w:rsidR="00FA2113" w:rsidRDefault="00FA2113" w:rsidP="003171D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  <w:r w:rsidR="003171D7">
              <w:rPr>
                <w:rFonts w:ascii="Arial" w:hAnsi="Arial" w:hint="cs"/>
                <w:rtl/>
              </w:rPr>
              <w:t>1</w:t>
            </w:r>
            <w:r>
              <w:rPr>
                <w:rFonts w:ascii="Arial" w:hAnsi="Arial"/>
              </w:rPr>
              <w:t>,</w:t>
            </w:r>
            <w:r w:rsidR="003171D7">
              <w:rPr>
                <w:rFonts w:ascii="Arial" w:hAnsi="Arial" w:hint="cs"/>
                <w:rtl/>
              </w:rPr>
              <w:t>9</w:t>
            </w:r>
          </w:p>
        </w:tc>
        <w:tc>
          <w:tcPr>
            <w:tcW w:w="1026" w:type="dxa"/>
            <w:tcBorders>
              <w:bottom w:val="single" w:sz="12" w:space="0" w:color="4F6228"/>
            </w:tcBorders>
            <w:vAlign w:val="bottom"/>
          </w:tcPr>
          <w:p w:rsidR="00FA2113" w:rsidRDefault="00FA2113" w:rsidP="00FA2113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-5,</w:t>
            </w:r>
            <w:r>
              <w:rPr>
                <w:rFonts w:ascii="Arial" w:hAnsi="Arial" w:hint="cs"/>
                <w:rtl/>
              </w:rPr>
              <w:t>8</w:t>
            </w:r>
          </w:p>
        </w:tc>
        <w:tc>
          <w:tcPr>
            <w:tcW w:w="1046" w:type="dxa"/>
            <w:tcBorders>
              <w:bottom w:val="single" w:sz="12" w:space="0" w:color="4F6228"/>
            </w:tcBorders>
            <w:vAlign w:val="bottom"/>
          </w:tcPr>
          <w:p w:rsidR="00FA2113" w:rsidRDefault="00FA2113" w:rsidP="007F7A8B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-7,7</w:t>
            </w:r>
          </w:p>
        </w:tc>
        <w:tc>
          <w:tcPr>
            <w:tcW w:w="6045" w:type="dxa"/>
            <w:tcBorders>
              <w:bottom w:val="single" w:sz="12" w:space="0" w:color="4F6228"/>
            </w:tcBorders>
          </w:tcPr>
          <w:p w:rsidR="00FA2113" w:rsidRPr="00E8533F" w:rsidRDefault="00FA2113" w:rsidP="00967225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E8533F">
              <w:rPr>
                <w:rFonts w:ascii="Arial" w:hAnsi="Arial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B8760C" w:rsidRPr="00724759" w:rsidRDefault="00621354" w:rsidP="00621354">
      <w:pPr>
        <w:bidi/>
        <w:spacing w:before="120"/>
        <w:rPr>
          <w:rFonts w:cs="Simplified Arabic"/>
          <w:rtl/>
          <w:lang w:bidi="ar-MA"/>
        </w:rPr>
      </w:pPr>
      <w:r w:rsidRPr="00724759">
        <w:rPr>
          <w:rFonts w:ascii="Arial" w:hAnsi="Arial"/>
          <w:b/>
          <w:bCs/>
          <w:rtl/>
        </w:rPr>
        <w:t>(*) القيمة المضافة غير الفلاحية مضاف إليها صافي الضرائب من الإعانات على المنتجات</w:t>
      </w:r>
    </w:p>
    <w:sectPr w:rsidR="00B8760C" w:rsidRPr="00724759" w:rsidSect="00EF4674">
      <w:pgSz w:w="12240" w:h="15840"/>
      <w:pgMar w:top="993" w:right="1418" w:bottom="709" w:left="1134" w:header="720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CA" w:rsidRDefault="00B277CA" w:rsidP="00064672">
      <w:r>
        <w:separator/>
      </w:r>
    </w:p>
  </w:endnote>
  <w:endnote w:type="continuationSeparator" w:id="1">
    <w:p w:rsidR="00B277CA" w:rsidRDefault="00B277CA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CA" w:rsidRDefault="00B277CA" w:rsidP="00064672">
      <w:r>
        <w:separator/>
      </w:r>
    </w:p>
  </w:footnote>
  <w:footnote w:type="continuationSeparator" w:id="1">
    <w:p w:rsidR="00B277CA" w:rsidRDefault="00B277CA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C0"/>
    <w:rsid w:val="00007D44"/>
    <w:rsid w:val="00014F3A"/>
    <w:rsid w:val="0002681C"/>
    <w:rsid w:val="00056C78"/>
    <w:rsid w:val="0006195D"/>
    <w:rsid w:val="00064672"/>
    <w:rsid w:val="000720A3"/>
    <w:rsid w:val="00080039"/>
    <w:rsid w:val="00083662"/>
    <w:rsid w:val="0009278D"/>
    <w:rsid w:val="00092C80"/>
    <w:rsid w:val="00093F84"/>
    <w:rsid w:val="000A1308"/>
    <w:rsid w:val="000A5CB4"/>
    <w:rsid w:val="000B75CA"/>
    <w:rsid w:val="000C12D8"/>
    <w:rsid w:val="000C40D2"/>
    <w:rsid w:val="000D4269"/>
    <w:rsid w:val="000E2DF1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444A"/>
    <w:rsid w:val="0015643B"/>
    <w:rsid w:val="00157EC2"/>
    <w:rsid w:val="001633D6"/>
    <w:rsid w:val="00165099"/>
    <w:rsid w:val="00172A58"/>
    <w:rsid w:val="00173D46"/>
    <w:rsid w:val="00174245"/>
    <w:rsid w:val="001747BF"/>
    <w:rsid w:val="0018062B"/>
    <w:rsid w:val="001811F0"/>
    <w:rsid w:val="00196DD3"/>
    <w:rsid w:val="001A7951"/>
    <w:rsid w:val="001A7E45"/>
    <w:rsid w:val="001B0720"/>
    <w:rsid w:val="001D35CA"/>
    <w:rsid w:val="001E4B42"/>
    <w:rsid w:val="001F20FA"/>
    <w:rsid w:val="001F6DC2"/>
    <w:rsid w:val="00200835"/>
    <w:rsid w:val="00201934"/>
    <w:rsid w:val="002023D3"/>
    <w:rsid w:val="00204D7C"/>
    <w:rsid w:val="00221C96"/>
    <w:rsid w:val="00222D0A"/>
    <w:rsid w:val="00227176"/>
    <w:rsid w:val="002329A4"/>
    <w:rsid w:val="00243076"/>
    <w:rsid w:val="00244C85"/>
    <w:rsid w:val="0024515C"/>
    <w:rsid w:val="00246125"/>
    <w:rsid w:val="00261BD7"/>
    <w:rsid w:val="002630F1"/>
    <w:rsid w:val="00266C01"/>
    <w:rsid w:val="002714D1"/>
    <w:rsid w:val="00276A6F"/>
    <w:rsid w:val="002778E1"/>
    <w:rsid w:val="00285AD6"/>
    <w:rsid w:val="002862AF"/>
    <w:rsid w:val="002A2D77"/>
    <w:rsid w:val="002B0CE7"/>
    <w:rsid w:val="002B3AB3"/>
    <w:rsid w:val="002B4770"/>
    <w:rsid w:val="002B6732"/>
    <w:rsid w:val="002C2E42"/>
    <w:rsid w:val="002C53CB"/>
    <w:rsid w:val="002C663B"/>
    <w:rsid w:val="00302C22"/>
    <w:rsid w:val="00314B1A"/>
    <w:rsid w:val="003171D7"/>
    <w:rsid w:val="00317FB5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60ED9"/>
    <w:rsid w:val="0036541F"/>
    <w:rsid w:val="003770AC"/>
    <w:rsid w:val="00382CDA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5E87"/>
    <w:rsid w:val="003C32C8"/>
    <w:rsid w:val="003C3626"/>
    <w:rsid w:val="003C43D7"/>
    <w:rsid w:val="003D5F38"/>
    <w:rsid w:val="003D72BC"/>
    <w:rsid w:val="003E11F8"/>
    <w:rsid w:val="003E1688"/>
    <w:rsid w:val="003E1706"/>
    <w:rsid w:val="003E3E6A"/>
    <w:rsid w:val="003E5857"/>
    <w:rsid w:val="003E6943"/>
    <w:rsid w:val="003F0796"/>
    <w:rsid w:val="003F4B8C"/>
    <w:rsid w:val="0040531B"/>
    <w:rsid w:val="00406304"/>
    <w:rsid w:val="00411FC3"/>
    <w:rsid w:val="00423563"/>
    <w:rsid w:val="00423E29"/>
    <w:rsid w:val="00431500"/>
    <w:rsid w:val="00432DBC"/>
    <w:rsid w:val="00433E0C"/>
    <w:rsid w:val="00434513"/>
    <w:rsid w:val="00444CB3"/>
    <w:rsid w:val="00451DBD"/>
    <w:rsid w:val="004522EC"/>
    <w:rsid w:val="0045348D"/>
    <w:rsid w:val="0045360F"/>
    <w:rsid w:val="0045625D"/>
    <w:rsid w:val="00457C95"/>
    <w:rsid w:val="00465DDC"/>
    <w:rsid w:val="00471DFC"/>
    <w:rsid w:val="00476694"/>
    <w:rsid w:val="004951FA"/>
    <w:rsid w:val="004A1731"/>
    <w:rsid w:val="004A30EF"/>
    <w:rsid w:val="004A3426"/>
    <w:rsid w:val="004A7092"/>
    <w:rsid w:val="004A7B48"/>
    <w:rsid w:val="004B2645"/>
    <w:rsid w:val="004B652C"/>
    <w:rsid w:val="004C0CDE"/>
    <w:rsid w:val="004C30F9"/>
    <w:rsid w:val="004C5CE4"/>
    <w:rsid w:val="004D02FB"/>
    <w:rsid w:val="004E3B33"/>
    <w:rsid w:val="004E3E91"/>
    <w:rsid w:val="004E4ED2"/>
    <w:rsid w:val="004E5167"/>
    <w:rsid w:val="004E61E8"/>
    <w:rsid w:val="004F7B80"/>
    <w:rsid w:val="004F7BC7"/>
    <w:rsid w:val="00503BCB"/>
    <w:rsid w:val="0051309A"/>
    <w:rsid w:val="0051548F"/>
    <w:rsid w:val="005169D5"/>
    <w:rsid w:val="00526526"/>
    <w:rsid w:val="00530CBC"/>
    <w:rsid w:val="00534193"/>
    <w:rsid w:val="00535D5E"/>
    <w:rsid w:val="005371D4"/>
    <w:rsid w:val="00537EE6"/>
    <w:rsid w:val="0054132A"/>
    <w:rsid w:val="00545BD7"/>
    <w:rsid w:val="005471BB"/>
    <w:rsid w:val="00560FE0"/>
    <w:rsid w:val="00584262"/>
    <w:rsid w:val="00590DE6"/>
    <w:rsid w:val="00591AAE"/>
    <w:rsid w:val="00597DFF"/>
    <w:rsid w:val="005A2AEF"/>
    <w:rsid w:val="005A3F6A"/>
    <w:rsid w:val="005B3AD6"/>
    <w:rsid w:val="005B7670"/>
    <w:rsid w:val="005C024E"/>
    <w:rsid w:val="005C29EC"/>
    <w:rsid w:val="005D7582"/>
    <w:rsid w:val="005E19AA"/>
    <w:rsid w:val="005E452F"/>
    <w:rsid w:val="005E4F96"/>
    <w:rsid w:val="005F7AEF"/>
    <w:rsid w:val="00606B55"/>
    <w:rsid w:val="00611D67"/>
    <w:rsid w:val="00621354"/>
    <w:rsid w:val="0062541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A2D9B"/>
    <w:rsid w:val="006A2E2A"/>
    <w:rsid w:val="006A3552"/>
    <w:rsid w:val="006B4E3E"/>
    <w:rsid w:val="006B4FCF"/>
    <w:rsid w:val="006B6F1D"/>
    <w:rsid w:val="006C17FC"/>
    <w:rsid w:val="006C6866"/>
    <w:rsid w:val="006E014E"/>
    <w:rsid w:val="006F0F12"/>
    <w:rsid w:val="006F36D6"/>
    <w:rsid w:val="006F4897"/>
    <w:rsid w:val="00710DC2"/>
    <w:rsid w:val="007133DA"/>
    <w:rsid w:val="007142E8"/>
    <w:rsid w:val="00717842"/>
    <w:rsid w:val="00722123"/>
    <w:rsid w:val="00724759"/>
    <w:rsid w:val="007274FE"/>
    <w:rsid w:val="007367DB"/>
    <w:rsid w:val="0074109A"/>
    <w:rsid w:val="007416A3"/>
    <w:rsid w:val="007466E0"/>
    <w:rsid w:val="007543E8"/>
    <w:rsid w:val="00755999"/>
    <w:rsid w:val="00766F6F"/>
    <w:rsid w:val="00767607"/>
    <w:rsid w:val="00777AEE"/>
    <w:rsid w:val="007921F7"/>
    <w:rsid w:val="007936D1"/>
    <w:rsid w:val="0079390C"/>
    <w:rsid w:val="007956CB"/>
    <w:rsid w:val="007A22A8"/>
    <w:rsid w:val="007A2337"/>
    <w:rsid w:val="007B6D11"/>
    <w:rsid w:val="007C08BD"/>
    <w:rsid w:val="007C6337"/>
    <w:rsid w:val="007D497E"/>
    <w:rsid w:val="007E08E0"/>
    <w:rsid w:val="007F4397"/>
    <w:rsid w:val="007F7A8B"/>
    <w:rsid w:val="00806609"/>
    <w:rsid w:val="00816F7A"/>
    <w:rsid w:val="00833AF6"/>
    <w:rsid w:val="00835409"/>
    <w:rsid w:val="00835D02"/>
    <w:rsid w:val="00840264"/>
    <w:rsid w:val="0084171E"/>
    <w:rsid w:val="00841C0F"/>
    <w:rsid w:val="00851C28"/>
    <w:rsid w:val="00856C4A"/>
    <w:rsid w:val="00862523"/>
    <w:rsid w:val="00865C76"/>
    <w:rsid w:val="008725F6"/>
    <w:rsid w:val="00882F7E"/>
    <w:rsid w:val="0089734D"/>
    <w:rsid w:val="008C013A"/>
    <w:rsid w:val="008C28CF"/>
    <w:rsid w:val="008D45DA"/>
    <w:rsid w:val="008E23EF"/>
    <w:rsid w:val="008E3A9A"/>
    <w:rsid w:val="008E48E6"/>
    <w:rsid w:val="008E57D2"/>
    <w:rsid w:val="008F712A"/>
    <w:rsid w:val="009000FB"/>
    <w:rsid w:val="009012D4"/>
    <w:rsid w:val="00915A0E"/>
    <w:rsid w:val="00917C47"/>
    <w:rsid w:val="0092283C"/>
    <w:rsid w:val="00922DB8"/>
    <w:rsid w:val="00924854"/>
    <w:rsid w:val="00940861"/>
    <w:rsid w:val="00944A3E"/>
    <w:rsid w:val="009453B1"/>
    <w:rsid w:val="00954B41"/>
    <w:rsid w:val="00967225"/>
    <w:rsid w:val="00970B7A"/>
    <w:rsid w:val="00977448"/>
    <w:rsid w:val="009824C8"/>
    <w:rsid w:val="00985DE4"/>
    <w:rsid w:val="009913D7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E1582"/>
    <w:rsid w:val="009E4B2B"/>
    <w:rsid w:val="009F109B"/>
    <w:rsid w:val="009F49A3"/>
    <w:rsid w:val="00A01EA9"/>
    <w:rsid w:val="00A028AE"/>
    <w:rsid w:val="00A17210"/>
    <w:rsid w:val="00A32B53"/>
    <w:rsid w:val="00A33FAF"/>
    <w:rsid w:val="00A36F31"/>
    <w:rsid w:val="00A40C43"/>
    <w:rsid w:val="00A54905"/>
    <w:rsid w:val="00A6045E"/>
    <w:rsid w:val="00A612CF"/>
    <w:rsid w:val="00A63355"/>
    <w:rsid w:val="00A64AC8"/>
    <w:rsid w:val="00A725FF"/>
    <w:rsid w:val="00A87930"/>
    <w:rsid w:val="00A90F9A"/>
    <w:rsid w:val="00A9107F"/>
    <w:rsid w:val="00A9548C"/>
    <w:rsid w:val="00AB79C7"/>
    <w:rsid w:val="00AB7A95"/>
    <w:rsid w:val="00AC106C"/>
    <w:rsid w:val="00AC1463"/>
    <w:rsid w:val="00AC5294"/>
    <w:rsid w:val="00AD46FD"/>
    <w:rsid w:val="00AD51F1"/>
    <w:rsid w:val="00AD5517"/>
    <w:rsid w:val="00AD6643"/>
    <w:rsid w:val="00AD6AF2"/>
    <w:rsid w:val="00AD7846"/>
    <w:rsid w:val="00AD789E"/>
    <w:rsid w:val="00AE0F46"/>
    <w:rsid w:val="00AE235A"/>
    <w:rsid w:val="00AF28EA"/>
    <w:rsid w:val="00AF42C6"/>
    <w:rsid w:val="00B01046"/>
    <w:rsid w:val="00B0225B"/>
    <w:rsid w:val="00B02624"/>
    <w:rsid w:val="00B07924"/>
    <w:rsid w:val="00B114B4"/>
    <w:rsid w:val="00B12D5F"/>
    <w:rsid w:val="00B22997"/>
    <w:rsid w:val="00B23F1D"/>
    <w:rsid w:val="00B2596F"/>
    <w:rsid w:val="00B259CF"/>
    <w:rsid w:val="00B277CA"/>
    <w:rsid w:val="00B32222"/>
    <w:rsid w:val="00B3234F"/>
    <w:rsid w:val="00B44A67"/>
    <w:rsid w:val="00B50820"/>
    <w:rsid w:val="00B517E6"/>
    <w:rsid w:val="00B52446"/>
    <w:rsid w:val="00B54E44"/>
    <w:rsid w:val="00B70CF8"/>
    <w:rsid w:val="00B714C3"/>
    <w:rsid w:val="00B73DFA"/>
    <w:rsid w:val="00B763A7"/>
    <w:rsid w:val="00B814C1"/>
    <w:rsid w:val="00B835A8"/>
    <w:rsid w:val="00B84324"/>
    <w:rsid w:val="00B84849"/>
    <w:rsid w:val="00B85109"/>
    <w:rsid w:val="00B854A9"/>
    <w:rsid w:val="00B8760C"/>
    <w:rsid w:val="00BB2304"/>
    <w:rsid w:val="00BB64E6"/>
    <w:rsid w:val="00BC6B2D"/>
    <w:rsid w:val="00BD0473"/>
    <w:rsid w:val="00BE4F03"/>
    <w:rsid w:val="00BE5F29"/>
    <w:rsid w:val="00BF4B6F"/>
    <w:rsid w:val="00BF5B07"/>
    <w:rsid w:val="00BF7529"/>
    <w:rsid w:val="00C04A1B"/>
    <w:rsid w:val="00C1211F"/>
    <w:rsid w:val="00C12279"/>
    <w:rsid w:val="00C174D4"/>
    <w:rsid w:val="00C17FAC"/>
    <w:rsid w:val="00C21AEB"/>
    <w:rsid w:val="00C23184"/>
    <w:rsid w:val="00C25204"/>
    <w:rsid w:val="00C25CFB"/>
    <w:rsid w:val="00C25ED6"/>
    <w:rsid w:val="00C30136"/>
    <w:rsid w:val="00C35EAA"/>
    <w:rsid w:val="00C3712C"/>
    <w:rsid w:val="00C40866"/>
    <w:rsid w:val="00C4516E"/>
    <w:rsid w:val="00C5083A"/>
    <w:rsid w:val="00C50F66"/>
    <w:rsid w:val="00C60146"/>
    <w:rsid w:val="00C63E5F"/>
    <w:rsid w:val="00C6782D"/>
    <w:rsid w:val="00C70C06"/>
    <w:rsid w:val="00C81DD9"/>
    <w:rsid w:val="00C85221"/>
    <w:rsid w:val="00C85E66"/>
    <w:rsid w:val="00C865CA"/>
    <w:rsid w:val="00C86D07"/>
    <w:rsid w:val="00C91327"/>
    <w:rsid w:val="00C92B40"/>
    <w:rsid w:val="00CA57FB"/>
    <w:rsid w:val="00CB2476"/>
    <w:rsid w:val="00CC22B1"/>
    <w:rsid w:val="00CC37F9"/>
    <w:rsid w:val="00CF12AF"/>
    <w:rsid w:val="00CF311C"/>
    <w:rsid w:val="00CF4EAD"/>
    <w:rsid w:val="00CF7FBA"/>
    <w:rsid w:val="00D0152E"/>
    <w:rsid w:val="00D11A76"/>
    <w:rsid w:val="00D12479"/>
    <w:rsid w:val="00D13A80"/>
    <w:rsid w:val="00D1531F"/>
    <w:rsid w:val="00D309C6"/>
    <w:rsid w:val="00D334C6"/>
    <w:rsid w:val="00D339B6"/>
    <w:rsid w:val="00D33CA1"/>
    <w:rsid w:val="00D35D0D"/>
    <w:rsid w:val="00D3747F"/>
    <w:rsid w:val="00D403D1"/>
    <w:rsid w:val="00D51D0B"/>
    <w:rsid w:val="00D62C57"/>
    <w:rsid w:val="00D81EC3"/>
    <w:rsid w:val="00D82E62"/>
    <w:rsid w:val="00D857A8"/>
    <w:rsid w:val="00D857BE"/>
    <w:rsid w:val="00D87562"/>
    <w:rsid w:val="00D9157B"/>
    <w:rsid w:val="00D933F3"/>
    <w:rsid w:val="00D94BF3"/>
    <w:rsid w:val="00DA228F"/>
    <w:rsid w:val="00DA2554"/>
    <w:rsid w:val="00DB1806"/>
    <w:rsid w:val="00DB2A43"/>
    <w:rsid w:val="00DB42EA"/>
    <w:rsid w:val="00DB6B17"/>
    <w:rsid w:val="00DC3391"/>
    <w:rsid w:val="00DC3536"/>
    <w:rsid w:val="00DC51F2"/>
    <w:rsid w:val="00DC6983"/>
    <w:rsid w:val="00DD001E"/>
    <w:rsid w:val="00DD0F46"/>
    <w:rsid w:val="00DE4BC2"/>
    <w:rsid w:val="00DE56D9"/>
    <w:rsid w:val="00DF2732"/>
    <w:rsid w:val="00DF2B4E"/>
    <w:rsid w:val="00DF6B0B"/>
    <w:rsid w:val="00E03EFE"/>
    <w:rsid w:val="00E154D8"/>
    <w:rsid w:val="00E15910"/>
    <w:rsid w:val="00E15AEB"/>
    <w:rsid w:val="00E27D40"/>
    <w:rsid w:val="00E358AD"/>
    <w:rsid w:val="00E467DB"/>
    <w:rsid w:val="00E475E3"/>
    <w:rsid w:val="00E50DD6"/>
    <w:rsid w:val="00E70941"/>
    <w:rsid w:val="00E75A93"/>
    <w:rsid w:val="00E8030A"/>
    <w:rsid w:val="00E83FB6"/>
    <w:rsid w:val="00E8533F"/>
    <w:rsid w:val="00E939CA"/>
    <w:rsid w:val="00E940FA"/>
    <w:rsid w:val="00E96A25"/>
    <w:rsid w:val="00EA7A00"/>
    <w:rsid w:val="00EB0634"/>
    <w:rsid w:val="00EB1EA6"/>
    <w:rsid w:val="00EB2842"/>
    <w:rsid w:val="00EB772D"/>
    <w:rsid w:val="00ED117F"/>
    <w:rsid w:val="00ED5586"/>
    <w:rsid w:val="00EE4B65"/>
    <w:rsid w:val="00EF1C23"/>
    <w:rsid w:val="00EF263E"/>
    <w:rsid w:val="00EF4674"/>
    <w:rsid w:val="00EF7704"/>
    <w:rsid w:val="00EF7A45"/>
    <w:rsid w:val="00F10A8F"/>
    <w:rsid w:val="00F27103"/>
    <w:rsid w:val="00F3283A"/>
    <w:rsid w:val="00F3660D"/>
    <w:rsid w:val="00F47E28"/>
    <w:rsid w:val="00F51579"/>
    <w:rsid w:val="00F55FF3"/>
    <w:rsid w:val="00F66872"/>
    <w:rsid w:val="00F72BF6"/>
    <w:rsid w:val="00F77F18"/>
    <w:rsid w:val="00F872AB"/>
    <w:rsid w:val="00F90ED0"/>
    <w:rsid w:val="00F916C5"/>
    <w:rsid w:val="00F921F1"/>
    <w:rsid w:val="00F93246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C4408"/>
    <w:rsid w:val="00FC4B44"/>
    <w:rsid w:val="00FD0480"/>
    <w:rsid w:val="00FE74B6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7B6D1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إخبارية حول نتائج الحساب التابع</vt:lpstr>
    </vt:vector>
  </TitlesOfParts>
  <Company>Hewlett-Packard Company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subject/>
  <dc:creator>admin</dc:creator>
  <cp:keywords/>
  <cp:lastModifiedBy> </cp:lastModifiedBy>
  <cp:revision>2</cp:revision>
  <cp:lastPrinted>2016-06-01T08:50:00Z</cp:lastPrinted>
  <dcterms:created xsi:type="dcterms:W3CDTF">2016-06-06T14:37:00Z</dcterms:created>
  <dcterms:modified xsi:type="dcterms:W3CDTF">2016-06-06T14:37:00Z</dcterms:modified>
</cp:coreProperties>
</file>