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79" w:rsidRPr="003A2CE4" w:rsidRDefault="00A05E42" w:rsidP="002A7221">
      <w:r w:rsidRPr="00A05E42">
        <w:rPr>
          <w:rFonts w:eastAsia="Arial Unicode MS"/>
          <w:noProof/>
        </w:rPr>
        <w:pict>
          <v:shapetype id="_x0000_t202" coordsize="21600,21600" o:spt="202" path="m,l,21600r21600,l21600,xe">
            <v:stroke joinstyle="miter"/>
            <v:path gradientshapeok="t" o:connecttype="rect"/>
          </v:shapetype>
          <v:shape id="Text Box 353" o:spid="_x0000_s1026" type="#_x0000_t202" style="position:absolute;margin-left:-62.95pt;margin-top:-63.05pt;width:48.75pt;height:9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wqhwIAABkFAAAOAAAAZHJzL2Uyb0RvYy54bWysVG1v2yAQ/j5p/wHxPbWdOGlsxamadpkm&#10;dS9Sux9AAMdoGBiQ2F21/74DJ2m6F2ma5g8YuOO55+4eWFz1rUR7bp3QqsLZRYoRV1QzobYV/vyw&#10;Hs0xcp4oRqRWvMKP3OGr5etXi86UfKwbLRm3CECUKztT4cZ7UyaJow1vibvQhisw1tq2xMPSbhNm&#10;SQforUzGaTpLOm2ZsZpy52D3djDiZcSva079x7p23CNZYeDm42jjuAljslyQcmuJaQQ90CD/wKIl&#10;QkHQE9Qt8QTtrPgFqhXUaqdrf0F1m+i6FpTHHCCbLP0pm/uGGB5zgeI4cyqT+3+w9MP+k0WCQe8K&#10;jBRpoUcPvPdopXs0mU5CgTrjSvC7N+DpezCAc0zWmTtNvzik9E1D1JZfW6u7hhMGBLNwMjk7OuC4&#10;ALLp3msGgcjO6wjU17YN1YN6IECHRj2emhPIUNicZUU2nmJEwZSNJ7NJPo0hSHk8bazzb7luUZhU&#10;2ELzIzrZ3zkf2JDy6BKCOS0FWwsp48JuNzfSoj0Boazjd0B/4SZVcFY6HBsQhx0gCTGCLdCNjX8C&#10;unm6Ghej9Wx+OcrX+XRUXKbzUZoVq2KW5kV+u/4eCGZ52QjGuLoTih9FmOV/1+TDdRjkE2WIugoX&#10;UyhVzOuPSabx+12SrfBwJ6VoKzw/OZEyNPaNYpA2KT0RcpgnL+nHKkMNjv9YlSiD0PlBA77f9IPk&#10;QvQgkY1mj6ALq6Ft0Hx4T2DSaPsNow7uZoXd1x2xHCP5ToG2iizPw2WOi3x6OYaFPbdszi1EUYCq&#10;sMdomN744QHYGSu2DUQa1Kz0NeixFlEqz6wOKob7F3M6vBXhgp+vo9fzi7b8AQAA//8DAFBLAwQU&#10;AAYACAAAACEA/1rQC+AAAAAMAQAADwAAAGRycy9kb3ducmV2LnhtbEyPQW6DMBBF95V6B2sidVMR&#10;A0ocQjFRW6lVt0lzgAE7gILHCDuB3L5uN81uRvP05/1iN5ueXfXoOksSkmUMTFNtVUeNhOP3R5QB&#10;cx5JYW9JS7hpB7vy8aHAXNmJ9vp68A0LIeRylNB6P+Scu7rVBt3SDprC7WRHgz6sY8PViFMINz1P&#10;41hwgx2FDy0O+r3V9flwMRJOX9PzejtVn/642a/EG3abyt6kfFrMry/AvJ79Pwy/+kEdyuBU2Qsp&#10;x3oJUZKut4H9m0QCLDBRmq2AVRJEJoCXBb8vUf4AAAD//wMAUEsBAi0AFAAGAAgAAAAhALaDOJL+&#10;AAAA4QEAABMAAAAAAAAAAAAAAAAAAAAAAFtDb250ZW50X1R5cGVzXS54bWxQSwECLQAUAAYACAAA&#10;ACEAOP0h/9YAAACUAQAACwAAAAAAAAAAAAAAAAAvAQAAX3JlbHMvLnJlbHNQSwECLQAUAAYACAAA&#10;ACEAJotMKocCAAAZBQAADgAAAAAAAAAAAAAAAAAuAgAAZHJzL2Uyb0RvYy54bWxQSwECLQAUAAYA&#10;CAAAACEA/1rQC+AAAAAMAQAADwAAAAAAAAAAAAAAAADhBAAAZHJzL2Rvd25yZXYueG1sUEsFBgAA&#10;AAAEAAQA8wAAAO4FAAAAAA==&#10;" stroked="f">
            <v:textbox>
              <w:txbxContent>
                <w:p w:rsidR="00AD53FD" w:rsidRDefault="00AD53FD"/>
              </w:txbxContent>
            </v:textbox>
          </v:shape>
        </w:pict>
      </w:r>
      <w:r w:rsidRPr="00A05E42">
        <w:rPr>
          <w:rFonts w:eastAsia="Arial Unicode MS"/>
          <w:noProof/>
        </w:rPr>
        <w:pict>
          <v:shape id="Text Box 112" o:spid="_x0000_s1027" type="#_x0000_t202" style="position:absolute;margin-left:504.8pt;margin-top:-59.65pt;width:43.05pt;height:20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aBhwIAABk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DLgD&#10;phTpgaMHPnp0rUeUZXko0GBcDX73Bjz9CAZwjsk6c6fpJ4eUvumI2vKX1uqh44RBgFk4mZwdnXBc&#10;ANkMbzWDi8jO6wg0trYP1YN6IEAHoh5P5IRgKGyWxXzxosSIgikv58ViXsYrSH08bazzr7nuUZg0&#10;2AL5EZ3s75wP0ZD66BIuc1oKthZSxoXdbm6kRXsCQlnH74D+xE2q4Kx0ODYhTjsQJNwRbCHcSPzX&#10;KsuL9DqvZuv5cjEr1kU5qxbpcpZm1XU1T4uquF1/CwFmRd0Jxri6E4ofRZgVf0fyoR0m+UQZoqHB&#10;VZmXE0V/TDKN3++S7IWHnpSib/Dy5ETqQOwrxSBtUnsi5DRPnoYfqww1OP5jVaIMAvOTBvy4GaPk&#10;TuraaPYIurAaaAPy4T2BSaftF4wG6M0Gu887YjlG8o0CbVVZUYRmjouiXOSwsOeWzbmFKApQDfYY&#10;TdMbPz0AO2PFtoObJjUr/RL02IoolSDcKaqDiqH/Yk6HtyI0+Pk6ev140VbfAQAA//8DAFBLAwQU&#10;AAYACAAAACEABfvL1OEAAAAOAQAADwAAAGRycy9kb3ducmV2LnhtbEyP0U6DQBBF3038h82Y+GLa&#10;XWoLBVkaNdH42toPGGAKRHaWsNtC/97tkz7ezMm9Z/LdbHpxodF1ljVESwWCuLJ1x42G4/fHYgvC&#10;eeQae8uk4UoOdsX9XY5ZbSfe0+XgGxFK2GWoofV+yKR0VUsG3dIOxOF2sqNBH+LYyHrEKZSbXq6U&#10;iqXBjsNCiwO9t1T9HM5Gw+lretqkU/npj8l+Hb9hl5T2qvXjw/z6AsLT7P9guOkHdSiCU2nPXDvR&#10;h6xUGgdWwyKK0mcQN0almwREqWG1Xccgi1z+f6P4BQAA//8DAFBLAQItABQABgAIAAAAIQC2gziS&#10;/gAAAOEBAAATAAAAAAAAAAAAAAAAAAAAAABbQ29udGVudF9UeXBlc10ueG1sUEsBAi0AFAAGAAgA&#10;AAAhADj9If/WAAAAlAEAAAsAAAAAAAAAAAAAAAAALwEAAF9yZWxzLy5yZWxzUEsBAi0AFAAGAAgA&#10;AAAhAJteloGHAgAAGQUAAA4AAAAAAAAAAAAAAAAALgIAAGRycy9lMm9Eb2MueG1sUEsBAi0AFAAG&#10;AAgAAAAhAAX7y9ThAAAADgEAAA8AAAAAAAAAAAAAAAAA4QQAAGRycy9kb3ducmV2LnhtbFBLBQYA&#10;AAAABAAEAPMAAADvBQAAAAA=&#10;" stroked="f">
            <v:textbox>
              <w:txbxContent>
                <w:p w:rsidR="00AD53FD" w:rsidRDefault="00AD53FD"/>
              </w:txbxContent>
            </v:textbox>
          </v:shape>
        </w:pict>
      </w:r>
      <w:r w:rsidRPr="00A05E42">
        <w:rPr>
          <w:rFonts w:eastAsia="Arial Unicode MS"/>
          <w:noProof/>
        </w:rPr>
        <w:pict>
          <v:shape id="_x0000_s1133" type="#_x0000_t75" style="position:absolute;margin-left:386.8pt;margin-top:-49.9pt;width:118pt;height:59.3pt;z-index:251652096" wrapcoords="-106 0 -106 21308 21600 21308 21600 0 -106 0">
            <v:imagedata r:id="rId8" o:title=""/>
            <w10:wrap type="tight"/>
          </v:shape>
          <o:OLEObject Type="Embed" ProgID="PBrush" ShapeID="_x0000_s1133" DrawAspect="Content" ObjectID="_1513329219" r:id="rId9"/>
        </w:pict>
      </w:r>
      <w:r>
        <w:rPr>
          <w:noProof/>
        </w:rPr>
        <w:pict>
          <v:group id="Group 5" o:spid="_x0000_s1138" style="position:absolute;margin-left:-146.55pt;margin-top:-51.45pt;width:910.15pt;height:205.35pt;z-index:251650048" coordorigin="1056261,1046887" coordsize="83359,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YYhQgAAHlbAAAOAAAAZHJzL2Uyb0RvYy54bWzsnOtv2zYQwL8P2P8g6OMA16Kop1GnSB2n&#10;GNBtBZphnxVJtoTJkicpcdph//vujqRM27HTV/pkPiRSdD4dj6+fj0c+fXa3qqzbvO3Kpp7a7Ilj&#10;W3mdNllZL6f2n1eXo8i2uj6ps6Rq6nxqv8k7+9nZzz893awnudsUTZXlrQVK6m6yWU/tou/Xk/G4&#10;S4t8lXRPmnVew8NF066SHm7b5Thrkw1oX1Vj13GC8aZps3XbpHnXwX8vxEP7jPQvFnna/7FYdHlv&#10;VVMbbOvpd0u/r/H3+OxpMlm2ybooU2lG8gFWrJKyhpcOqi6SPrFu2vJA1apM26ZrFv2TtFmNm8Wi&#10;THMqA5SGOXuledE2N2sqy3KyWa4HN4Fr9/z0wWrT329ftVaZTe3QtupkBVVEb7V8dM1mvZyAxIt2&#10;/Xr9qhXlg8uXTfp3B4/H+8/xfimErevNb00G6pKbviHX3C3aFaqAQlt3VANvhhrI73orhX8y5vtR&#10;7Pi2lcJDN3DC2CNLkklaQE3iB5njB27AYs+2QIY5XhBFoctFVabFXKqKOPdjH5ofauK+GzkOVfc4&#10;mQhLyHppLRYVGmC39XH3cT5+XSTrnKquQw9KH4M1wseXbZ5jo7YC4WYSUj7udAdrT9DEDurhQdei&#10;hyKX+e59HlKujsgj0CfQPywKWcgiNGbwD7j8putf5A3VWnL7sutFb8ngitpCJktzBVoWqwo6zi9j&#10;y3M9dLW1UVeiYpaDMNOEXRaArGMVlrzaF4YiDJrdCBWf0Mw1YUayJzRD8xk0M5/BYHJCMzTIQZg/&#10;YHKgyZ5QCf1tULlnJlTBUjk5KZTf07taOh6urAQHWIc61rrpsF9gLUBVXjFZiyCFtXREWLSNK+o2&#10;8L7TwqKrXVFPfFAYyo9mhLoZ4kPS/BZG5f3xuLUtGI+vRfWvkx5LjdbjpbWZ2rJV2VYBw4JoNFT2&#10;VXObXzUk2aMTBjkwQcmJRr2VTG+uy/R5/lb/HA9jbAFkuss4tjNpC6nlnGpdPsanO49ly6THsuGp&#10;0u+86743u2AyqqPBzD9QzeKtYQG1PN0u2XDpw6JdvvN7mcOHEh/odf3jz4SpaizViwS1jPVFY8hQ&#10;h1j12jhSN5dlVdFAUtVYs65Pxccq7JqqzPAx3bTL61nVWrcJTN1zHsycc1m2HTGYIuuM1BV5ks3l&#10;dZ+UlbiG11fUD3KiAdWZYBSULQzHQ5qp/42deB7NI2/kucF85DkXF6Pzy5k3Ci5Z6F/wi9nsgv2H&#10;rY55k6LMsrxGWxU1MO/dZgzJL2K+H7hhp0ydXvRL+jks+njXDHI6lAVdty3S+aXvhB6PRmHo85HH&#10;587oeXQ5G53PWBCE8+ez5/O9Is3JTTCgEJLBOz6mVIPP0armps/b10W2sbKyAxCD6dmFuSArAcfc&#10;UDR8K6mWwJFpD+NB2/R/lX1BM6ka6nY8M6Mf6ZlBu3CEqmy8G6pLlm3rKmgcqiEADYjZVaDAdZO9&#10;gZkWbCBSAcKFi6Jp39rWBmhxanf/3CRtblvVrzWgQsw8D/pFTzeeH7pw0+pPrvUnSZ2Cqqnd2zCM&#10;4+Wshzv4yM26LZcFvInR4FY35wBPixLnXbJPWCVvgFY+E7bEB9hCgzt6DNjmE2JL6PjOA9gSxDRV&#10;f3JsYY4jscXnAyviPKwYR8cWrG2iFqBQGr1oANrK6tTCWXBa8Q61SBAprCOadWrxgH3RjI11xGSd&#10;WoDwCHGOataxReo7rlmHF2kpMNwRm4F6B9J5UDO0tUEYseiITga9RZM76gKmV9spfXqVPdwWdurs&#10;nsYAA8t3RnBHQRJqF3EvVuBxkjqx2ohR3w1SGdQKie9gKhLFwMIfApOquyBMqvaFM9QWEddEfbId&#10;kA2iy8tCbgWreociRV8XHxBdWX5Cyam/4gWyBwt50UFPyg+Gg1OU4Tg3IOMIO9RfoV+XV8CmJNRf&#10;ISnq5bTMUXcoVWnVdLmw5/05MPZdn2a94yj0I1OgG124M9k4NA9pdCPAWSCNoUDsFBp+an4yFPhQ&#10;3PH+4BWO3XvRKwoYfXoM3IvvRW4cRDS/iK82GCjcie7Bd+SIAX+LoUfFGfVvnSZ6pcJzJnp1OtRl&#10;olf4TVx2JT24g2Gcw7jZjx69Yhi5MNhyLG5nglewDGSCV18yeIURgD1sIZZ4BGwJnQi+0Ylvc44X&#10;BYzzfWxhcRhGEMSh5U0IdTGu1kkMtuCko0fc9PCVwRaDLZJLYJGJojNm0Y1WMOF77vsHWwy2wEij&#10;hVHgxqy5mTU3aBRfy5obhr73sAXQAmbIx+AWN/AwUwqjysAtsRsfhFtYwAPMuCJuwcwq1zXhFpVs&#10;YrgFwU2lIUErwTUbkyyEbnBh0cRwy33xJMMtO5nO92bwmlwhkyv0jeUKMUiN2OcWWux/DG7xPN8R&#10;AXvgltj1goN4ixPywAMR4hZAm5ipRAUTbzHxFgrcG26RARWT5EwYS8Gl3XwYfeXLcIvhFtipNWRu&#10;a0kmJscZUqFl9vO3luPM4GvrPrdQiOMxuCVwfV98TUZugXSXg3iLw2PfV9wS+FEEy1gmvUVsLTPc&#10;YrhFtAGxEGS4xXCL2ZtF++XfI4pkuEXt2vqm92YxyJLY5xbaLfEI3BJEHveH/JY45LD3XgzEuOOQ&#10;0nIZkE0MS1cUb4k8F7bgG24x60T3bVc360RmUzkuG5p4C+L8sEnZ7ClX21PuX/0y3PJ9cAsEN/a5&#10;xUNUeBRuCTgGUyi/BY7Y8IL4gFt4DFEYwS3cYQyydw23GG4x3GIOw4ETaj7bYTgmL9fk5ZqzcL7m&#10;s3DYcE7icIYfhGAeh1vgxBYPk1ckt/CAH8RbnABWj2S8hbPI4aHZT3Ts4EGzn8jk5WIursnLpQEW&#10;GoPJyzVn+G2PITbxli9zhh8dRAznO9NBTvIsajxAWr+nM/+2J2af/Q8AAP//AwBQSwMEFAAGAAgA&#10;AAAhALFjIDrkAAAADgEAAA8AAABkcnMvZG93bnJldi54bWxMj01rwkAQhu+F/odlhN50P4JVYzYi&#10;0vYkhWqh9LZmxySY3Q3ZNYn/vuup3maYh3eeN9uMpiE9dr52VgKfMSBoC6drW0r4Pr5Pl0B8UFar&#10;xlmUcEMPm/z5KVOpdoP9wv4QShJDrE+VhCqENqXUFxUa5WeuRRtvZ9cZFeLalVR3aojhpqGCsVdq&#10;VG3jh0q1uKuwuByuRsLHoIZtwt/6/eW8u/0e558/e45SvkzG7RpIwDH8w3DXj+qQR6eTu1rtSSNh&#10;KlYJj2ycOBMrIHdmLhYCyElCwhZLoHlGH2vkfwAAAP//AwBQSwECLQAUAAYACAAAACEAtoM4kv4A&#10;AADhAQAAEwAAAAAAAAAAAAAAAAAAAAAAW0NvbnRlbnRfVHlwZXNdLnhtbFBLAQItABQABgAIAAAA&#10;IQA4/SH/1gAAAJQBAAALAAAAAAAAAAAAAAAAAC8BAABfcmVscy8ucmVsc1BLAQItABQABgAIAAAA&#10;IQAlVqYYhQgAAHlbAAAOAAAAAAAAAAAAAAAAAC4CAABkcnMvZTJvRG9jLnhtbFBLAQItABQABgAI&#10;AAAAIQCxYyA65AAAAA4BAAAPAAAAAAAAAAAAAAAAAN8KAABkcnMvZG93bnJldi54bWxQSwUGAAAA&#10;AAQABADzAAAA8AsAAAAA&#10;">
            <v:shape id="Freeform 6" o:spid="_x0000_s1139" style="position:absolute;left:1056821;top:1046887;width:82800;height:18717;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45b4A&#10;AADaAAAADwAAAGRycy9kb3ducmV2LnhtbERPz2uDMBS+D/Y/hFfYrSYOKsUZSynI2qNu7Pwwb+o0&#10;L2Ky1u6vXw6DHT++38VhtZO40uIHxxrSRIEgbp0ZuNPw/lZt9yB8QDY4OSYNd/JwKB8fCsyNu3FN&#10;1yZ0Ioawz1FDH8KcS+nbniz6xM3Ekft0i8UQ4dJJs+AthttJPiuVSYsDx4YeZzr11I7Nt9Wgsi9z&#10;qepq97FrLq/IR5X+pKPWT5v1+AIi0Br+xX/us9EQt8Yr8QbI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KOOW+AAAA2gAAAA8AAAAAAAAAAAAAAAAAmAIAAGRycy9kb3ducmV2&#10;LnhtbFBLBQYAAAAABAAEAPUAAACDAwAAAAA=&#10;" path="m4248000,2160000v-456000,-30000,-912000,-60000,-1368000,-360000c2424000,1500000,1992000,660000,1512000,360000,1032000,60000,252000,60000,,e" filled="f" strokecolor="#e36c0a" strokeweight="20pt">
              <v:shadow color="#ccc"/>
              <v:path arrowok="t" o:connecttype="custom" o:connectlocs="8280000,1871718;5613559,1559765;2947119,311953;0,0" o:connectangles="0,0,0,0"/>
            </v:shape>
            <v:shape id="Freeform 7" o:spid="_x0000_s1028" style="position:absolute;left:1070501;top:1046887;width:69120;height:18717;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lisQA&#10;AADaAAAADwAAAGRycy9kb3ducmV2LnhtbESPQUsDMRSE74L/ITyhtzbbFq2uTYuIxdaTXcXzY/N2&#10;s3TzsibpduuvN0LB4zAz3zDL9WBb0ZMPjWMF00kGgrh0uuFawefHZnwPIkRkja1jUnCmAOvV9dUS&#10;c+1OvKe+iLVIEA45KjAxdrmUoTRkMUxcR5y8ynmLMUlfS+3xlOC2lbMsu5MWG04LBjt6NlQeiqNV&#10;8LKbv+uf27fFa19138bil9/hTKnRzfD0CCLSEP/Dl/ZWK3iAvyvp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ZYrEAAAA2gAAAA8AAAAAAAAAAAAAAAAAmAIAAGRycy9k&#10;b3ducmV2LnhtbFBLBQYAAAAABAAEAPUAAACJAwAAAAA=&#10;" path="m1008000,144000l3168000,1512000r936000,360000l5328000,1944000,5328000,,,,1008000,144000xe" filled="f" fillcolor="#f28d2c" strokecolor="#e36c0a">
              <v:shadow color="#ccc"/>
              <v:path arrowok="t" o:connecttype="custom" o:connectlocs="1307676,138646;4109838,1455781;5324108,1802395;6912000,1871718;6912000,0;0,0;1307676,138646" o:connectangles="0,0,0,0,0,0,0"/>
            </v:shape>
            <v:shape id="Freeform 8" o:spid="_x0000_s1029" style="position:absolute;left:1056261;top:1048296;width:83360;height:1998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bcsMA&#10;AADbAAAADwAAAGRycy9kb3ducmV2LnhtbESPQW/CMAyF70j8h8hIu0E6Dgx1pBWaNm3XlQHazWrc&#10;tKJxqiZA9+/nw6TdbL3n9z7vysn36kZj7AIbeFxloIjrYDt2Br4Ob8stqJiQLfaBycAPRSiL+WyH&#10;uQ13/qRblZySEI45GmhTGnKtY92Sx7gKA7FoTRg9JllHp+2Idwn3vV5n2UZ77FgaWhzopaX6Ul29&#10;AX1ums37KbjKbV9dd3ga+Nh8G/OwmPbPoBJN6d/8d/1hBV/o5RcZQ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1bcs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335958,1998140;5651497,1665117;2967036,333023;0,0" o:connectangles="0,0,0,0"/>
            </v:shape>
            <v:shape id="Freeform 9" o:spid="_x0000_s1030" style="position:absolute;left:1057084;top:1048613;width:81977;height:2152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6cAA&#10;AADbAAAADwAAAGRycy9kb3ducmV2LnhtbERPTWvCQBC9C/6HZQq96cYeoqTZSCkWezWpSm9DdrIJ&#10;zc6G7Krx37uFQm/zeJ+TbyfbiyuNvnOsYLVMQBDXTndsFHxVH4sNCB+QNfaOScGdPGyL+SzHTLsb&#10;H+haBiNiCPsMFbQhDJmUvm7Jol+6gThyjRsthghHI/WItxhue/mSJKm02HFsaHGg95bqn/JiFchz&#10;06T7kzOl2exMV60HPjbfSj0/TW+vIAJN4V/85/7Ucf4Kfn+JB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H+6cAAAADbAAAADwAAAAAAAAAAAAAAAACYAgAAZHJzL2Rvd25y&#10;ZXYueG1sUEsFBgAAAAAEAAQA9QAAAIUDAAAAAA==&#10;" path="m4248000,2160000v-456000,-30000,-912000,-60000,-1368000,-360000c2424000,1500000,1992000,660000,1512000,360000,1032000,60000,252000,60000,,e" filled="f" strokecolor="#e36c0a" strokeweight="1pt">
              <v:shadow color="#ccc"/>
              <v:path arrowok="t" o:connecttype="custom" o:connectlocs="8197784,2152137;5557820,1793448;2917855,358690;0,0" o:connectangles="0,0,0,0"/>
            </v:shape>
            <v:shape id="Freeform 10" o:spid="_x0000_s1031" style="position:absolute;left:1057264;top:1048929;width:81637;height:2336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gnr4A&#10;AADbAAAADwAAAGRycy9kb3ducmV2LnhtbERPS4vCMBC+L/gfwgje1lQPKtUoIopet77wNjTTtNhM&#10;ShO1++/NwoK3+fies1h1thZPan3lWMFomIAgzp2u2Cg4HXffMxA+IGusHZOCX/KwWva+Fphq9+If&#10;embBiBjCPkUFZQhNKqXPS7Loh64hjlzhWoshwtZI3eIrhttajpNkIi1WHBtKbGhTUn7PHlaBvBbF&#10;ZH9xJjOzramO04bPxU2pQb9bz0EE6sJH/O8+6Dh/DH+/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TYJ6+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163694,2335922;5534708,1946602;2905722,389320;0,0" o:connectangles="0,0,0,0"/>
            </v:shape>
            <v:shape id="Freeform 11" o:spid="_x0000_s1032" style="position:absolute;left:1057445;top:1049246;width:80736;height:2489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BcEA&#10;AADbAAAADwAAAGRycy9kb3ducmV2LnhtbERPTWvCQBC9F/wPywjemk0V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fxQX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73646,2489919;5473658,2074933;2873671,414987;0,0" o:connectangles="0,0,0,0"/>
            </v:shape>
            <v:shape id="Freeform 12" o:spid="_x0000_s1033" style="position:absolute;left:1057625;top:1049562;width:80396;height:2658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dccEA&#10;AADbAAAADwAAAGRycy9kb3ducmV2LnhtbERPTWvCQBC9F/wPywjemk1F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2XXH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39556,2658811;5450546,2215676;2861537,443135;0,0" o:connectangles="0,0,0,0"/>
            </v:shape>
            <v:shape id="Freeform 13" o:spid="_x0000_s1034" style="position:absolute;left:1056843;top:1049730;width:81256;height:2842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46sEA&#10;AADbAAAADwAAAGRycy9kb3ducmV2LnhtbERPTWvCQBC9F/wPywjemk0FY0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6+Or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125592,2842595;5508876,2368829;2892160,473766;0,0" o:connectangles="0,0,0,0"/>
            </v:shape>
            <v:shape id="Freeform 14" o:spid="_x0000_s1035" style="position:absolute;left:1056863;top:1050046;width:81396;height:301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mnb8A&#10;AADbAAAADwAAAGRycy9kb3ducmV2LnhtbERPS4vCMBC+L/gfwgje1lQPXalGEVHW69YX3oZmmhab&#10;SWmy2v33G0HwNh/fcxar3jbiTp2vHSuYjBMQxIXTNRsFx8PucwbCB2SNjWNS8EceVsvBxwIz7R78&#10;Q/c8GBFD2GeooAqhzaT0RUUW/di1xJErXWcxRNgZqTt8xHDbyGmSpNJizbGhwpY2FRW3/NcqkJey&#10;TL/PzuRmtjX14avlU3lVajTs13MQgfrwFr/cex3np/D8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qGadvwAAANsAAAAPAAAAAAAAAAAAAAAAAJgCAABkcnMvZG93bnJl&#10;di54bWxQSwUGAAAAAAQABAD1AAAAhAMAAAAA&#10;" path="m4248000,2160000v-456000,-30000,-912000,-60000,-1368000,-360000c2424000,1500000,1992000,660000,1512000,360000,1032000,60000,252000,60000,,e" filled="f" strokecolor="#e36c0a" strokeweight="1pt">
              <v:shadow color="#ccc"/>
              <v:path arrowok="t" o:connecttype="custom" o:connectlocs="8139628,3011486;5518392,2509572;2897156,501914;0,0" o:connectangles="0,0,0,0"/>
            </v:shape>
            <v:shape id="Freeform 15" o:spid="_x0000_s1036" style="position:absolute;left:1057204;top:1050363;width:80656;height:3180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Br4A&#10;AADbAAAADwAAAGRycy9kb3ducmV2LnhtbERPS4vCMBC+C/6HMMLeNNWDStcoiyh6tb7Y29BM07LN&#10;pDRRu//eCIK3+fies1h1thZ3an3lWMF4lIAgzp2u2Cg4HbfDOQgfkDXWjknBP3lYLfu9BabaPfhA&#10;9ywYEUPYp6igDKFJpfR5SRb9yDXEkStcazFE2BqpW3zEcFvLSZJMpcWKY0OJDa1Lyv+ym1Ugr0Ux&#10;3V2cycx8Y6rjrOFz8avU16D7+QYRqAsf8du913H+DF6/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kwwa+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065622,3180377;5468218,2650314;2870815,530063;0,0" o:connectangles="0,0,0,0"/>
            </v:shape>
          </v:group>
        </w:pict>
      </w:r>
      <w:r w:rsidRPr="00A05E42">
        <w:rPr>
          <w:rFonts w:eastAsia="Arial Unicode MS"/>
          <w:noProof/>
        </w:rPr>
        <w:pict>
          <v:shape id="Text Box 111" o:spid="_x0000_s1137" type="#_x0000_t202" style="position:absolute;margin-left:-197.2pt;margin-top:-63.05pt;width:59.8pt;height:4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d8hwIAABc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L&#10;jBTpgaJ7Pnp0pUeUZVmoz2BcDW53Bhz9CAbgOWJ15lbTzw4pfd0RteWX1uqh44RBfvFkcnJ0iuNC&#10;kM3wTjO4iOy8joHG1vaheFAOBNGBp4cjNyEZCpuLsirmYKFgKvN0kUbuElIfDhvr/BuuexQmDbZA&#10;fQxO9rfOAwxwPbiEu5yWgq2FlHFht5tradGegEzW8QvI4cgzN6mCs9Lh2GSediBHuCPYQraR9scq&#10;y4v0Kq9m6/lyMSvWRTmrFulylmbVVTVPi6q4WX8LCWZF3QnGuLoVih8kmBV/R/FTM0ziiSJEQ4Or&#10;Mi8nhv4IMo3f70D2wkNHStE3eHl0InXg9bViAJvUngg5zZPn6ceSQQ0O/1iVqIJA/CQBP27GKLhX&#10;B3FtNHsAWVgNtAHD8JrApNP2K0YDdGaD3ZcdsRwj+VaBtKqsKEIrx0VRLnJY2FPL5tRCFIVQDfYY&#10;TdNrP7X/zlix7eCmScxKX4IcWxGlEnQ7ZQVIwgK6L2J6eilCe5+uo9eP92z1H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HdtN3yHAgAAFwUAAA4AAAAAAAAAAAAAAAAALgIAAGRycy9lMm9Eb2MueG1sUEsBAi0AFAAG&#10;AAgAAAAhALo/+AThAAAADgEAAA8AAAAAAAAAAAAAAAAA4QQAAGRycy9kb3ducmV2LnhtbFBLBQYA&#10;AAAABAAEAPMAAADvBQAAAAA=&#10;" stroked="f">
            <v:textbox>
              <w:txbxContent>
                <w:p w:rsidR="00AD53FD" w:rsidRDefault="00AD53FD"/>
              </w:txbxContent>
            </v:textbox>
          </v:shape>
        </w:pict>
      </w:r>
      <w:r w:rsidR="003E7BF7">
        <w:t xml:space="preserve">              </w:t>
      </w:r>
    </w:p>
    <w:p w:rsidR="008B7C79" w:rsidRPr="003A2CE4" w:rsidRDefault="008B7C79" w:rsidP="003A2CE4">
      <w:pPr>
        <w:jc w:val="both"/>
      </w:pPr>
    </w:p>
    <w:p w:rsidR="008B7C79" w:rsidRPr="003A2CE4" w:rsidRDefault="008B7C79" w:rsidP="003A2CE4">
      <w:pPr>
        <w:jc w:val="both"/>
      </w:pPr>
    </w:p>
    <w:p w:rsidR="008B7C79" w:rsidRPr="003A2CE4" w:rsidRDefault="00A05E42" w:rsidP="003A2CE4">
      <w:pPr>
        <w:jc w:val="both"/>
      </w:pPr>
      <w:r>
        <w:rPr>
          <w:noProof/>
        </w:rPr>
        <w:pict>
          <v:shape id="_x0000_s1142" type="#_x0000_t202" style="position:absolute;left:0;text-align:left;margin-left:-28.95pt;margin-top:10.1pt;width:331.65pt;height:79.05pt;z-index:251691008;mso-width-relative:margin;mso-height-relative:margin" stroked="f" strokecolor="#e36c0a [2409]" strokeweight="1.5pt">
            <v:shadow type="perspective" opacity=".5" origin="-.5,-.5" offset="-6pt,-6pt" matrix=".75,,,.75"/>
            <o:extrusion v:ext="view" color="#fabf8f [1945]" on="t"/>
            <v:textbox style="mso-next-textbox:#_x0000_s1142">
              <w:txbxContent>
                <w:p w:rsidR="008D3F41" w:rsidRPr="00C97EE5" w:rsidRDefault="008D3F41" w:rsidP="008D3F41">
                  <w:pPr>
                    <w:rPr>
                      <w:rFonts w:ascii="Bookman Old Style" w:hAnsi="Bookman Old Style"/>
                      <w:sz w:val="32"/>
                      <w:szCs w:val="32"/>
                    </w:rPr>
                  </w:pPr>
                  <w:r w:rsidRPr="00C97EE5">
                    <w:rPr>
                      <w:rFonts w:ascii="Bookman Old Style" w:hAnsi="Bookman Old Style"/>
                      <w:b/>
                      <w:bCs/>
                      <w:color w:val="943634" w:themeColor="accent2" w:themeShade="BF"/>
                      <w:sz w:val="32"/>
                      <w:szCs w:val="32"/>
                    </w:rPr>
                    <w:t>Enquête trimestrielle</w:t>
                  </w:r>
                  <w:r w:rsidRPr="00C97EE5">
                    <w:rPr>
                      <w:rFonts w:ascii="Bookman Old Style" w:hAnsi="Bookman Old Style"/>
                      <w:sz w:val="32"/>
                      <w:szCs w:val="32"/>
                    </w:rPr>
                    <w:t xml:space="preserve"> </w:t>
                  </w:r>
                  <w:r w:rsidRPr="00C97EE5">
                    <w:rPr>
                      <w:rFonts w:ascii="Bookman Old Style" w:hAnsi="Bookman Old Style"/>
                      <w:b/>
                      <w:bCs/>
                      <w:color w:val="943634" w:themeColor="accent2" w:themeShade="BF"/>
                      <w:sz w:val="32"/>
                      <w:szCs w:val="32"/>
                    </w:rPr>
                    <w:t>de</w:t>
                  </w:r>
                  <w:r w:rsidRPr="00C97EE5">
                    <w:rPr>
                      <w:rFonts w:ascii="Bookman Old Style" w:hAnsi="Bookman Old Style"/>
                      <w:sz w:val="32"/>
                      <w:szCs w:val="32"/>
                    </w:rPr>
                    <w:t xml:space="preserve"> </w:t>
                  </w:r>
                  <w:r w:rsidRPr="00C97EE5">
                    <w:rPr>
                      <w:rFonts w:ascii="Bookman Old Style" w:hAnsi="Bookman Old Style"/>
                      <w:b/>
                      <w:bCs/>
                      <w:color w:val="E36C0A" w:themeColor="accent6" w:themeShade="BF"/>
                      <w:sz w:val="32"/>
                      <w:szCs w:val="32"/>
                    </w:rPr>
                    <w:t>Conjoncture</w:t>
                  </w:r>
                  <w:r w:rsidR="00A50EDA">
                    <w:rPr>
                      <w:rFonts w:ascii="Bookman Old Style" w:hAnsi="Bookman Old Style"/>
                      <w:b/>
                      <w:bCs/>
                      <w:color w:val="E36C0A" w:themeColor="accent6" w:themeShade="BF"/>
                      <w:sz w:val="32"/>
                      <w:szCs w:val="32"/>
                    </w:rPr>
                    <w:t xml:space="preserve"> </w:t>
                  </w:r>
                </w:p>
                <w:p w:rsidR="008D3F41" w:rsidRPr="00C97EE5" w:rsidRDefault="00901A7C" w:rsidP="00901A7C">
                  <w:pPr>
                    <w:rPr>
                      <w:rFonts w:ascii="Bookman Old Style" w:hAnsi="Bookman Old Style"/>
                      <w:sz w:val="32"/>
                      <w:szCs w:val="32"/>
                    </w:rPr>
                  </w:pPr>
                  <w:r>
                    <w:rPr>
                      <w:rFonts w:ascii="Bookman Old Style" w:hAnsi="Bookman Old Style"/>
                      <w:b/>
                      <w:bCs/>
                      <w:color w:val="E36C0A" w:themeColor="accent6" w:themeShade="BF"/>
                      <w:sz w:val="32"/>
                      <w:szCs w:val="32"/>
                    </w:rPr>
                    <w:t xml:space="preserve">Secteurs des </w:t>
                  </w:r>
                  <w:r w:rsidR="008D3F41" w:rsidRPr="00C97EE5">
                    <w:rPr>
                      <w:rFonts w:ascii="Bookman Old Style" w:hAnsi="Bookman Old Style"/>
                      <w:b/>
                      <w:bCs/>
                      <w:color w:val="E36C0A" w:themeColor="accent6" w:themeShade="BF"/>
                      <w:sz w:val="32"/>
                      <w:szCs w:val="32"/>
                    </w:rPr>
                    <w:t xml:space="preserve">Services </w:t>
                  </w:r>
                  <w:r>
                    <w:rPr>
                      <w:rFonts w:ascii="Bookman Old Style" w:hAnsi="Bookman Old Style"/>
                      <w:b/>
                      <w:bCs/>
                      <w:color w:val="E36C0A" w:themeColor="accent6" w:themeShade="BF"/>
                      <w:sz w:val="32"/>
                      <w:szCs w:val="32"/>
                    </w:rPr>
                    <w:t xml:space="preserve">marchands non financiers </w:t>
                  </w:r>
                  <w:r w:rsidR="008D3F41" w:rsidRPr="00C97EE5">
                    <w:rPr>
                      <w:rFonts w:ascii="Bookman Old Style" w:hAnsi="Bookman Old Style"/>
                      <w:b/>
                      <w:bCs/>
                      <w:color w:val="943634" w:themeColor="accent2" w:themeShade="BF"/>
                      <w:sz w:val="32"/>
                      <w:szCs w:val="32"/>
                    </w:rPr>
                    <w:t xml:space="preserve">et </w:t>
                  </w:r>
                  <w:r>
                    <w:rPr>
                      <w:rFonts w:ascii="Bookman Old Style" w:hAnsi="Bookman Old Style"/>
                      <w:b/>
                      <w:bCs/>
                      <w:color w:val="943634" w:themeColor="accent2" w:themeShade="BF"/>
                      <w:sz w:val="32"/>
                      <w:szCs w:val="32"/>
                    </w:rPr>
                    <w:t xml:space="preserve">du </w:t>
                  </w:r>
                  <w:r w:rsidR="008D3F41" w:rsidRPr="00C97EE5">
                    <w:rPr>
                      <w:rFonts w:ascii="Bookman Old Style" w:hAnsi="Bookman Old Style"/>
                      <w:b/>
                      <w:bCs/>
                      <w:color w:val="E36C0A" w:themeColor="accent6" w:themeShade="BF"/>
                      <w:sz w:val="32"/>
                      <w:szCs w:val="32"/>
                    </w:rPr>
                    <w:t>Commerce de gros</w:t>
                  </w:r>
                </w:p>
              </w:txbxContent>
            </v:textbox>
          </v:shape>
        </w:pict>
      </w:r>
    </w:p>
    <w:p w:rsidR="008B7C79" w:rsidRPr="003A2CE4" w:rsidRDefault="008B7C79" w:rsidP="003A2CE4">
      <w:pPr>
        <w:jc w:val="both"/>
      </w:pPr>
    </w:p>
    <w:p w:rsidR="008B7C79" w:rsidRPr="003A2CE4" w:rsidRDefault="008B7C79" w:rsidP="003A2CE4">
      <w:pPr>
        <w:jc w:val="both"/>
      </w:pPr>
    </w:p>
    <w:p w:rsidR="003A2CE4" w:rsidRDefault="003A2CE4" w:rsidP="003A2CE4">
      <w:pPr>
        <w:spacing w:after="240" w:line="276" w:lineRule="auto"/>
        <w:ind w:right="-168"/>
        <w:jc w:val="both"/>
        <w:rPr>
          <w:rFonts w:eastAsia="Arial Unicode MS"/>
          <w:b/>
          <w:bCs/>
          <w:iCs/>
          <w:color w:val="1F497D"/>
        </w:rPr>
      </w:pPr>
      <w:bookmarkStart w:id="0" w:name="_Ref424139032"/>
    </w:p>
    <w:bookmarkEnd w:id="0"/>
    <w:p w:rsidR="00302E80" w:rsidRDefault="00A05E42" w:rsidP="00006861">
      <w:pPr>
        <w:spacing w:after="240" w:line="276" w:lineRule="auto"/>
        <w:ind w:right="-168"/>
        <w:jc w:val="both"/>
        <w:rPr>
          <w:rFonts w:ascii="Trebuchet MS" w:eastAsia="Arial Unicode MS" w:hAnsi="Trebuchet MS"/>
          <w:b/>
          <w:bCs/>
          <w:color w:val="660033"/>
          <w:sz w:val="32"/>
          <w:szCs w:val="32"/>
        </w:rPr>
      </w:pPr>
      <w:r w:rsidRPr="00A05E42">
        <w:rPr>
          <w:noProof/>
        </w:rPr>
        <w:pict>
          <v:shape id="Text Box 108" o:spid="_x0000_s1136" type="#_x0000_t202" style="position:absolute;left:0;text-align:left;margin-left:302.7pt;margin-top:8.25pt;width:168.6pt;height: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e4hQIAABg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rMEF&#10;Ror0QNEDHz261iPK0jL0ZzCuBrd7A45+BAPwHGt15k7Tzw4pfdMRteFX1uqh44RBflk4mZwcnXBc&#10;AFkP7zSDQGTrdQQaW9uH5kE7EKADT49HbkIyNIQss8WrBZgo2PJyvphH8hJSH04b6/wbrnsUFg22&#10;wH1EJ7s750M2pD64hGBOS8FWQsq4sZv1jbRoR0Anq/jEAp65SRWclQ7HJsTpDyQJMYItpBt5/1Zl&#10;eZFe59VsdV4uZsWqmM+qRVrO0qy6rs7ToipuV99DgllRd4Ixru6E4gcNZsXfcbyfhkk9UYVoaHA1&#10;z+cTRX8sMo3P74rshYeRlKJvcHl0InUg9rViUDapPRFyWic/px+7DD04fGNXogwC85MG/Lge94oD&#10;sCCRtWaPoAurgTZgGK4TWHTafsVogNFssPuyJZZjJN8q0FaVFUWY5bgp5oscNvbUsj61EEUBqsEe&#10;o2l546f53xorNh1EmtSs9BXosRVRKk9Z7VUM4xdr2l8VYb5P99Hr6UJb/gAAAP//AwBQSwMEFAAG&#10;AAgAAAAhALhSnHzdAAAACgEAAA8AAABkcnMvZG93bnJldi54bWxMj8FOwzAMhu9IvENkJC5oSwdk&#10;ZV3dCZBAXDf2AG6TtdUap2qytXt7Mi5ws+VPv78/30y2E2cz+NYxwmKegDBcOd1yjbD//pi9gPCB&#10;WFPn2CBcjIdNcXuTU6bdyFtz3oVaxBD2GSE0IfSZlL5qjCU/d73heDu4wVKI61BLPdAYw20nH5Nk&#10;KS21HD801Jv3xlTH3ckiHL7GB7Uay8+wT7fPyzdq09JdEO/vptc1iGCm8AfDVT+qQxGdSndi7UWH&#10;MFs8qTSyCCpRIK7E71AirJQCWeTyf4XiBwAA//8DAFBLAQItABQABgAIAAAAIQC2gziS/gAAAOEB&#10;AAATAAAAAAAAAAAAAAAAAAAAAABbQ29udGVudF9UeXBlc10ueG1sUEsBAi0AFAAGAAgAAAAhADj9&#10;If/WAAAAlAEAAAsAAAAAAAAAAAAAAAAALwEAAF9yZWxzLy5yZWxzUEsBAi0AFAAGAAgAAAAhAET1&#10;h7iFAgAAGAUAAA4AAAAAAAAAAAAAAAAALgIAAGRycy9lMm9Eb2MueG1sUEsBAi0AFAAGAAgAAAAh&#10;ALhSnHzdAAAACgEAAA8AAAAAAAAAAAAAAAAA3wQAAGRycy9kb3ducmV2LnhtbFBLBQYAAAAABAAE&#10;APMAAADpBQAAAAA=&#10;" stroked="f">
            <v:textbox>
              <w:txbxContent>
                <w:p w:rsidR="00AD53FD" w:rsidRPr="009A3111" w:rsidRDefault="006B36B6" w:rsidP="006B36B6">
                  <w:pPr>
                    <w:jc w:val="center"/>
                    <w:rPr>
                      <w:rFonts w:ascii="Bookman Old Style" w:hAnsi="Bookman Old Style"/>
                      <w:b/>
                      <w:bCs/>
                      <w:color w:val="943634" w:themeColor="accent2" w:themeShade="BF"/>
                      <w:sz w:val="32"/>
                      <w:szCs w:val="32"/>
                    </w:rPr>
                  </w:pPr>
                  <w:r w:rsidRPr="009A3111">
                    <w:rPr>
                      <w:rFonts w:ascii="Bookman Old Style" w:hAnsi="Bookman Old Style"/>
                      <w:b/>
                      <w:bCs/>
                      <w:color w:val="943634" w:themeColor="accent2" w:themeShade="BF"/>
                      <w:sz w:val="32"/>
                      <w:szCs w:val="32"/>
                    </w:rPr>
                    <w:t>Décembre</w:t>
                  </w:r>
                  <w:r w:rsidR="00C97EE5" w:rsidRPr="009A3111">
                    <w:rPr>
                      <w:rFonts w:ascii="Bookman Old Style" w:hAnsi="Bookman Old Style"/>
                      <w:b/>
                      <w:bCs/>
                      <w:color w:val="943634" w:themeColor="accent2" w:themeShade="BF"/>
                      <w:sz w:val="32"/>
                      <w:szCs w:val="32"/>
                    </w:rPr>
                    <w:t xml:space="preserve"> </w:t>
                  </w:r>
                  <w:r w:rsidR="00AD53FD" w:rsidRPr="009A3111">
                    <w:rPr>
                      <w:rFonts w:ascii="Bookman Old Style" w:hAnsi="Bookman Old Style"/>
                      <w:b/>
                      <w:bCs/>
                      <w:color w:val="943634" w:themeColor="accent2" w:themeShade="BF"/>
                      <w:sz w:val="32"/>
                      <w:szCs w:val="32"/>
                    </w:rPr>
                    <w:t>2015</w:t>
                  </w:r>
                </w:p>
              </w:txbxContent>
            </v:textbox>
          </v:shape>
        </w:pict>
      </w:r>
    </w:p>
    <w:p w:rsidR="00302E80" w:rsidRDefault="00302E80" w:rsidP="00006861">
      <w:pPr>
        <w:spacing w:after="240" w:line="276" w:lineRule="auto"/>
        <w:ind w:right="-168"/>
        <w:jc w:val="both"/>
        <w:rPr>
          <w:rFonts w:ascii="Trebuchet MS" w:eastAsia="Arial Unicode MS" w:hAnsi="Trebuchet MS"/>
          <w:b/>
          <w:bCs/>
          <w:color w:val="660033"/>
          <w:sz w:val="32"/>
          <w:szCs w:val="32"/>
        </w:rPr>
      </w:pPr>
    </w:p>
    <w:p w:rsidR="00370FB9" w:rsidRDefault="00370FB9" w:rsidP="00BE457A">
      <w:pPr>
        <w:pStyle w:val="Paragraphedeliste"/>
        <w:numPr>
          <w:ilvl w:val="0"/>
          <w:numId w:val="16"/>
        </w:numPr>
        <w:spacing w:after="240"/>
        <w:ind w:right="-1"/>
        <w:jc w:val="both"/>
        <w:rPr>
          <w:rFonts w:ascii="Bookman Old Style" w:eastAsia="Times New Roman" w:hAnsi="Bookman Old Style" w:cs="Times New Roman"/>
          <w:b/>
          <w:bCs/>
          <w:color w:val="E36C0A" w:themeColor="accent6" w:themeShade="BF"/>
          <w:sz w:val="32"/>
          <w:szCs w:val="32"/>
          <w:lang w:eastAsia="fr-FR"/>
        </w:rPr>
      </w:pPr>
      <w:r w:rsidRPr="009A3111">
        <w:rPr>
          <w:rFonts w:ascii="Bookman Old Style" w:eastAsia="Times New Roman" w:hAnsi="Bookman Old Style" w:cs="Times New Roman"/>
          <w:b/>
          <w:bCs/>
          <w:color w:val="E36C0A" w:themeColor="accent6" w:themeShade="BF"/>
          <w:sz w:val="32"/>
          <w:szCs w:val="32"/>
          <w:lang w:eastAsia="fr-FR"/>
        </w:rPr>
        <w:t>Secteur des Services marchands non financiers</w:t>
      </w:r>
    </w:p>
    <w:p w:rsidR="009A3111" w:rsidRPr="009A3111" w:rsidRDefault="009A3111" w:rsidP="009A3111">
      <w:pPr>
        <w:pStyle w:val="Paragraphedeliste"/>
        <w:spacing w:after="240"/>
        <w:ind w:right="-1"/>
        <w:jc w:val="both"/>
        <w:rPr>
          <w:rFonts w:ascii="Bookman Old Style" w:eastAsia="Times New Roman" w:hAnsi="Bookman Old Style" w:cs="Times New Roman"/>
          <w:b/>
          <w:bCs/>
          <w:color w:val="E36C0A" w:themeColor="accent6" w:themeShade="BF"/>
          <w:sz w:val="32"/>
          <w:szCs w:val="32"/>
          <w:lang w:eastAsia="fr-FR"/>
        </w:rPr>
      </w:pPr>
    </w:p>
    <w:p w:rsidR="00370FB9" w:rsidRPr="00370FB9" w:rsidRDefault="00370FB9" w:rsidP="00370FB9">
      <w:pPr>
        <w:pStyle w:val="Paragraphedeliste"/>
        <w:spacing w:after="240"/>
        <w:ind w:right="-1"/>
        <w:jc w:val="both"/>
        <w:rPr>
          <w:rFonts w:ascii="Trebuchet MS" w:eastAsia="Arial Unicode MS" w:hAnsi="Trebuchet MS"/>
          <w:b/>
          <w:bCs/>
          <w:color w:val="660033"/>
          <w:sz w:val="10"/>
          <w:szCs w:val="10"/>
        </w:rPr>
      </w:pPr>
    </w:p>
    <w:p w:rsidR="003A2CE4" w:rsidRPr="00370FB9" w:rsidRDefault="00006861" w:rsidP="009A3111">
      <w:pPr>
        <w:pStyle w:val="Paragraphedeliste"/>
        <w:numPr>
          <w:ilvl w:val="1"/>
          <w:numId w:val="16"/>
        </w:numPr>
        <w:spacing w:after="240"/>
        <w:ind w:left="709" w:right="-1" w:hanging="709"/>
        <w:jc w:val="both"/>
        <w:rPr>
          <w:rFonts w:ascii="Trebuchet MS" w:eastAsia="Arial Unicode MS" w:hAnsi="Trebuchet MS"/>
          <w:b/>
          <w:bCs/>
          <w:color w:val="660033"/>
          <w:sz w:val="32"/>
          <w:szCs w:val="32"/>
        </w:rPr>
      </w:pPr>
      <w:r w:rsidRPr="00370FB9">
        <w:rPr>
          <w:rFonts w:ascii="Trebuchet MS" w:eastAsia="Arial Unicode MS" w:hAnsi="Trebuchet MS"/>
          <w:b/>
          <w:bCs/>
          <w:color w:val="660033"/>
          <w:sz w:val="28"/>
          <w:szCs w:val="28"/>
        </w:rPr>
        <w:t>Appréciation</w:t>
      </w:r>
      <w:r w:rsidR="00FC6CB3" w:rsidRPr="00370FB9">
        <w:rPr>
          <w:rFonts w:ascii="Trebuchet MS" w:eastAsia="Arial Unicode MS" w:hAnsi="Trebuchet MS"/>
          <w:b/>
          <w:bCs/>
          <w:color w:val="660033"/>
          <w:sz w:val="28"/>
          <w:szCs w:val="28"/>
        </w:rPr>
        <w:t>s</w:t>
      </w:r>
      <w:r w:rsidR="00744367" w:rsidRPr="00370FB9">
        <w:rPr>
          <w:rFonts w:ascii="Trebuchet MS" w:eastAsia="Arial Unicode MS" w:hAnsi="Trebuchet MS"/>
          <w:b/>
          <w:bCs/>
          <w:color w:val="660033"/>
          <w:sz w:val="28"/>
          <w:szCs w:val="28"/>
        </w:rPr>
        <w:t xml:space="preserve"> </w:t>
      </w:r>
      <w:r w:rsidR="008F3532" w:rsidRPr="00370FB9">
        <w:rPr>
          <w:rFonts w:ascii="Trebuchet MS" w:eastAsia="Arial Unicode MS" w:hAnsi="Trebuchet MS"/>
          <w:b/>
          <w:bCs/>
          <w:color w:val="660033"/>
          <w:sz w:val="28"/>
          <w:szCs w:val="28"/>
        </w:rPr>
        <w:t xml:space="preserve">des chefs d’entreprises </w:t>
      </w:r>
      <w:r w:rsidR="00600F6D" w:rsidRPr="00370FB9">
        <w:rPr>
          <w:rFonts w:ascii="Trebuchet MS" w:eastAsia="Arial Unicode MS" w:hAnsi="Trebuchet MS"/>
          <w:b/>
          <w:bCs/>
          <w:color w:val="660033"/>
          <w:sz w:val="28"/>
          <w:szCs w:val="28"/>
        </w:rPr>
        <w:t xml:space="preserve">pour le </w:t>
      </w:r>
      <w:r w:rsidR="001B0372" w:rsidRPr="00370FB9">
        <w:rPr>
          <w:rFonts w:ascii="Trebuchet MS" w:eastAsia="Arial Unicode MS" w:hAnsi="Trebuchet MS"/>
          <w:b/>
          <w:bCs/>
          <w:color w:val="660033"/>
          <w:sz w:val="28"/>
          <w:szCs w:val="28"/>
        </w:rPr>
        <w:t>3</w:t>
      </w:r>
      <w:r w:rsidR="001B0372" w:rsidRPr="00370FB9">
        <w:rPr>
          <w:rFonts w:ascii="Trebuchet MS" w:eastAsia="Arial Unicode MS" w:hAnsi="Trebuchet MS"/>
          <w:b/>
          <w:bCs/>
          <w:color w:val="660033"/>
          <w:sz w:val="28"/>
          <w:szCs w:val="28"/>
          <w:vertAlign w:val="superscript"/>
        </w:rPr>
        <w:t>ème</w:t>
      </w:r>
      <w:r w:rsidR="001B0372" w:rsidRPr="00370FB9">
        <w:rPr>
          <w:rFonts w:ascii="Trebuchet MS" w:eastAsia="Arial Unicode MS" w:hAnsi="Trebuchet MS"/>
          <w:b/>
          <w:bCs/>
          <w:color w:val="660033"/>
          <w:sz w:val="28"/>
          <w:szCs w:val="28"/>
        </w:rPr>
        <w:t xml:space="preserve"> </w:t>
      </w:r>
      <w:r w:rsidR="00600F6D" w:rsidRPr="00370FB9">
        <w:rPr>
          <w:rFonts w:ascii="Trebuchet MS" w:eastAsia="Arial Unicode MS" w:hAnsi="Trebuchet MS"/>
          <w:b/>
          <w:bCs/>
          <w:color w:val="660033"/>
          <w:sz w:val="28"/>
          <w:szCs w:val="28"/>
        </w:rPr>
        <w:t>trimestre 2015</w:t>
      </w:r>
    </w:p>
    <w:p w:rsidR="003A2CE4" w:rsidRDefault="00F5767E" w:rsidP="00901A7C">
      <w:pPr>
        <w:spacing w:before="120" w:after="120" w:line="276" w:lineRule="auto"/>
        <w:ind w:firstLine="346"/>
        <w:jc w:val="both"/>
        <w:rPr>
          <w:rFonts w:eastAsia="Arial Unicode MS"/>
        </w:rPr>
      </w:pPr>
      <w:r>
        <w:rPr>
          <w:rFonts w:eastAsia="Arial Unicode MS"/>
          <w:noProof/>
        </w:rPr>
        <w:drawing>
          <wp:anchor distT="0" distB="0" distL="114300" distR="114300" simplePos="0" relativeHeight="251693056" behindDoc="0" locked="0" layoutInCell="1" allowOverlap="1">
            <wp:simplePos x="0" y="0"/>
            <wp:positionH relativeFrom="margin">
              <wp:posOffset>3194685</wp:posOffset>
            </wp:positionH>
            <wp:positionV relativeFrom="margin">
              <wp:posOffset>3518535</wp:posOffset>
            </wp:positionV>
            <wp:extent cx="3086100" cy="3314700"/>
            <wp:effectExtent l="0" t="0" r="0" b="0"/>
            <wp:wrapSquare wrapText="bothSides"/>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01A7C" w:rsidRPr="003A2CE4" w:rsidRDefault="00901A7C" w:rsidP="00901A7C">
      <w:pPr>
        <w:spacing w:before="120" w:after="120" w:line="276" w:lineRule="auto"/>
        <w:ind w:firstLine="346"/>
        <w:jc w:val="both"/>
        <w:rPr>
          <w:rFonts w:eastAsia="Arial Unicode MS"/>
        </w:rPr>
        <w:sectPr w:rsidR="00901A7C" w:rsidRPr="003A2CE4" w:rsidSect="00C67995">
          <w:footerReference w:type="default" r:id="rId11"/>
          <w:footerReference w:type="first" r:id="rId12"/>
          <w:type w:val="oddPage"/>
          <w:pgSz w:w="11906" w:h="16838"/>
          <w:pgMar w:top="1134" w:right="1134" w:bottom="1134" w:left="1134" w:header="709" w:footer="272" w:gutter="0"/>
          <w:pgNumType w:start="1"/>
          <w:cols w:space="708"/>
          <w:docGrid w:linePitch="360"/>
        </w:sectPr>
      </w:pPr>
    </w:p>
    <w:p w:rsidR="005E2D5D" w:rsidRDefault="003A2CE4" w:rsidP="005E2460">
      <w:pPr>
        <w:spacing w:after="120" w:line="276" w:lineRule="auto"/>
        <w:jc w:val="both"/>
        <w:rPr>
          <w:rFonts w:asciiTheme="majorBidi" w:hAnsiTheme="majorBidi" w:cstheme="majorBidi"/>
        </w:rPr>
      </w:pPr>
      <w:r w:rsidRPr="00FF24EF">
        <w:rPr>
          <w:rFonts w:eastAsia="Arial Unicode MS"/>
          <w:sz w:val="22"/>
          <w:szCs w:val="22"/>
        </w:rPr>
        <w:lastRenderedPageBreak/>
        <w:t xml:space="preserve">Au </w:t>
      </w:r>
      <w:r w:rsidR="006B36B6">
        <w:rPr>
          <w:rFonts w:eastAsia="Arial Unicode MS"/>
          <w:sz w:val="22"/>
          <w:szCs w:val="22"/>
        </w:rPr>
        <w:t>troisième</w:t>
      </w:r>
      <w:r w:rsidR="00744367">
        <w:rPr>
          <w:rFonts w:eastAsia="Arial Unicode MS"/>
          <w:sz w:val="22"/>
          <w:szCs w:val="22"/>
        </w:rPr>
        <w:t xml:space="preserve"> </w:t>
      </w:r>
      <w:r w:rsidRPr="00FF24EF">
        <w:rPr>
          <w:rFonts w:eastAsia="Arial Unicode MS"/>
          <w:sz w:val="22"/>
          <w:szCs w:val="22"/>
        </w:rPr>
        <w:t xml:space="preserve">trimestre 2015, </w:t>
      </w:r>
      <w:r w:rsidR="00555968" w:rsidRPr="006111BC">
        <w:rPr>
          <w:rFonts w:asciiTheme="majorBidi" w:hAnsiTheme="majorBidi" w:cstheme="majorBidi"/>
        </w:rPr>
        <w:t xml:space="preserve">l’activité globale du secteur des </w:t>
      </w:r>
      <w:r w:rsidR="00555968" w:rsidRPr="005E2D5D">
        <w:rPr>
          <w:rFonts w:eastAsia="Arial Unicode MS"/>
          <w:b/>
          <w:bCs/>
          <w:color w:val="660033"/>
          <w:sz w:val="22"/>
          <w:szCs w:val="22"/>
        </w:rPr>
        <w:t>services marchands non financiers</w:t>
      </w:r>
      <w:r w:rsidR="00555968" w:rsidRPr="006111BC">
        <w:rPr>
          <w:rFonts w:asciiTheme="majorBidi" w:hAnsiTheme="majorBidi" w:cstheme="majorBidi"/>
        </w:rPr>
        <w:t>, aurait marqué</w:t>
      </w:r>
      <w:r w:rsidR="00BE457A">
        <w:rPr>
          <w:rFonts w:asciiTheme="majorBidi" w:hAnsiTheme="majorBidi" w:cstheme="majorBidi"/>
        </w:rPr>
        <w:t xml:space="preserve"> </w:t>
      </w:r>
      <w:r w:rsidR="005E2460">
        <w:rPr>
          <w:rFonts w:asciiTheme="majorBidi" w:hAnsiTheme="majorBidi" w:cstheme="majorBidi"/>
        </w:rPr>
        <w:t xml:space="preserve">selon 35% des patrons, </w:t>
      </w:r>
      <w:r w:rsidR="00555968" w:rsidRPr="006111BC">
        <w:rPr>
          <w:rFonts w:asciiTheme="majorBidi" w:hAnsiTheme="majorBidi" w:cstheme="majorBidi"/>
        </w:rPr>
        <w:t xml:space="preserve">une </w:t>
      </w:r>
      <w:r w:rsidR="009A3111">
        <w:rPr>
          <w:rFonts w:asciiTheme="majorBidi" w:hAnsiTheme="majorBidi" w:cstheme="majorBidi"/>
        </w:rPr>
        <w:t>progression</w:t>
      </w:r>
      <w:r w:rsidR="005E2460">
        <w:rPr>
          <w:rFonts w:asciiTheme="majorBidi" w:hAnsiTheme="majorBidi" w:cstheme="majorBidi"/>
        </w:rPr>
        <w:t xml:space="preserve"> et, selon, 18%, </w:t>
      </w:r>
      <w:r w:rsidR="009A3111">
        <w:rPr>
          <w:rFonts w:asciiTheme="majorBidi" w:hAnsiTheme="majorBidi" w:cstheme="majorBidi"/>
        </w:rPr>
        <w:t>plutôt</w:t>
      </w:r>
      <w:r w:rsidR="005E2460">
        <w:rPr>
          <w:rFonts w:asciiTheme="majorBidi" w:hAnsiTheme="majorBidi" w:cstheme="majorBidi"/>
        </w:rPr>
        <w:t>, une baisse.</w:t>
      </w:r>
      <w:r w:rsidR="00555968">
        <w:rPr>
          <w:rFonts w:asciiTheme="majorBidi" w:hAnsiTheme="majorBidi" w:cstheme="majorBidi"/>
        </w:rPr>
        <w:t xml:space="preserve"> </w:t>
      </w:r>
    </w:p>
    <w:p w:rsidR="00F5767E" w:rsidRDefault="00555968" w:rsidP="005E2D5D">
      <w:pPr>
        <w:spacing w:after="120" w:line="276" w:lineRule="auto"/>
        <w:jc w:val="both"/>
        <w:rPr>
          <w:rFonts w:asciiTheme="majorBidi" w:hAnsiTheme="majorBidi" w:cstheme="majorBidi"/>
        </w:rPr>
      </w:pPr>
      <w:r>
        <w:rPr>
          <w:rFonts w:asciiTheme="majorBidi" w:hAnsiTheme="majorBidi" w:cstheme="majorBidi"/>
        </w:rPr>
        <w:t xml:space="preserve">Cette </w:t>
      </w:r>
      <w:r w:rsidR="009A3111">
        <w:rPr>
          <w:rFonts w:asciiTheme="majorBidi" w:hAnsiTheme="majorBidi" w:cstheme="majorBidi"/>
        </w:rPr>
        <w:t>hausse</w:t>
      </w:r>
      <w:r>
        <w:rPr>
          <w:rFonts w:asciiTheme="majorBidi" w:hAnsiTheme="majorBidi" w:cstheme="majorBidi"/>
        </w:rPr>
        <w:t xml:space="preserve"> aurait </w:t>
      </w:r>
      <w:r w:rsidR="009A3111">
        <w:rPr>
          <w:rFonts w:asciiTheme="majorBidi" w:hAnsiTheme="majorBidi" w:cstheme="majorBidi"/>
        </w:rPr>
        <w:t xml:space="preserve">été principalement le fait de l’amélioration de l’activité au niveau </w:t>
      </w:r>
      <w:r w:rsidRPr="006111BC">
        <w:rPr>
          <w:rFonts w:asciiTheme="majorBidi" w:hAnsiTheme="majorBidi" w:cstheme="majorBidi"/>
        </w:rPr>
        <w:t xml:space="preserve"> </w:t>
      </w:r>
      <w:r w:rsidR="009A3111">
        <w:rPr>
          <w:rFonts w:asciiTheme="majorBidi" w:hAnsiTheme="majorBidi" w:cstheme="majorBidi"/>
        </w:rPr>
        <w:t>des</w:t>
      </w:r>
      <w:r w:rsidR="00F5767E">
        <w:rPr>
          <w:rFonts w:asciiTheme="majorBidi" w:hAnsiTheme="majorBidi" w:cstheme="majorBidi"/>
        </w:rPr>
        <w:t xml:space="preserve"> </w:t>
      </w:r>
      <w:r w:rsidRPr="006111BC">
        <w:rPr>
          <w:rFonts w:asciiTheme="majorBidi" w:hAnsiTheme="majorBidi" w:cstheme="majorBidi"/>
        </w:rPr>
        <w:t xml:space="preserve"> branches de « </w:t>
      </w:r>
      <w:r>
        <w:rPr>
          <w:rFonts w:asciiTheme="majorBidi" w:hAnsiTheme="majorBidi" w:cstheme="majorBidi"/>
        </w:rPr>
        <w:t>T</w:t>
      </w:r>
      <w:r w:rsidRPr="006111BC">
        <w:rPr>
          <w:rFonts w:asciiTheme="majorBidi" w:hAnsiTheme="majorBidi" w:cstheme="majorBidi"/>
        </w:rPr>
        <w:t>ransport terrestre et transport par conduite » et des « </w:t>
      </w:r>
      <w:r>
        <w:rPr>
          <w:rFonts w:asciiTheme="majorBidi" w:hAnsiTheme="majorBidi" w:cstheme="majorBidi"/>
        </w:rPr>
        <w:t>T</w:t>
      </w:r>
      <w:r w:rsidRPr="006111BC">
        <w:rPr>
          <w:rFonts w:asciiTheme="majorBidi" w:hAnsiTheme="majorBidi" w:cstheme="majorBidi"/>
        </w:rPr>
        <w:t>élécommunications ».</w:t>
      </w:r>
      <w:r w:rsidRPr="00555968">
        <w:rPr>
          <w:rFonts w:asciiTheme="majorBidi" w:hAnsiTheme="majorBidi" w:cstheme="majorBidi"/>
          <w:noProof/>
        </w:rPr>
        <w:t xml:space="preserve"> </w:t>
      </w:r>
      <w:r>
        <w:rPr>
          <w:rFonts w:asciiTheme="majorBidi" w:hAnsiTheme="majorBidi" w:cstheme="majorBidi"/>
        </w:rPr>
        <w:t xml:space="preserve"> </w:t>
      </w:r>
    </w:p>
    <w:p w:rsidR="007E0F34" w:rsidRDefault="00BE457A" w:rsidP="005E2D5D">
      <w:pPr>
        <w:spacing w:after="120" w:line="276" w:lineRule="auto"/>
        <w:jc w:val="both"/>
        <w:rPr>
          <w:rFonts w:asciiTheme="majorBidi" w:hAnsiTheme="majorBidi" w:cstheme="majorBidi"/>
        </w:rPr>
      </w:pPr>
      <w:r>
        <w:rPr>
          <w:rFonts w:asciiTheme="majorBidi" w:hAnsiTheme="majorBidi" w:cstheme="majorBidi"/>
        </w:rPr>
        <w:t>La hausse</w:t>
      </w:r>
      <w:r w:rsidR="00555968" w:rsidRPr="006111BC">
        <w:rPr>
          <w:rFonts w:asciiTheme="majorBidi" w:hAnsiTheme="majorBidi" w:cstheme="majorBidi"/>
        </w:rPr>
        <w:t xml:space="preserve"> de l’activité globale </w:t>
      </w:r>
      <w:r w:rsidR="009A3111">
        <w:rPr>
          <w:rFonts w:asciiTheme="majorBidi" w:hAnsiTheme="majorBidi" w:cstheme="majorBidi"/>
        </w:rPr>
        <w:t xml:space="preserve">des </w:t>
      </w:r>
      <w:r w:rsidR="009A3111" w:rsidRPr="005E2D5D">
        <w:rPr>
          <w:rFonts w:eastAsia="Arial Unicode MS"/>
          <w:b/>
          <w:bCs/>
          <w:color w:val="660033"/>
          <w:sz w:val="22"/>
          <w:szCs w:val="22"/>
        </w:rPr>
        <w:t xml:space="preserve">services marchands </w:t>
      </w:r>
      <w:r w:rsidR="005E2D5D" w:rsidRPr="005E2D5D">
        <w:rPr>
          <w:rFonts w:eastAsia="Arial Unicode MS"/>
          <w:b/>
          <w:bCs/>
          <w:color w:val="660033"/>
          <w:sz w:val="22"/>
          <w:szCs w:val="22"/>
        </w:rPr>
        <w:t>non financiers</w:t>
      </w:r>
      <w:r w:rsidR="005E2D5D">
        <w:rPr>
          <w:rFonts w:asciiTheme="majorBidi" w:hAnsiTheme="majorBidi" w:cstheme="majorBidi"/>
        </w:rPr>
        <w:t xml:space="preserve"> </w:t>
      </w:r>
      <w:r w:rsidR="009A3111">
        <w:rPr>
          <w:rFonts w:asciiTheme="majorBidi" w:hAnsiTheme="majorBidi" w:cstheme="majorBidi"/>
        </w:rPr>
        <w:t xml:space="preserve">aurait </w:t>
      </w:r>
      <w:r w:rsidR="00FE4383">
        <w:rPr>
          <w:rFonts w:asciiTheme="majorBidi" w:hAnsiTheme="majorBidi" w:cstheme="majorBidi"/>
        </w:rPr>
        <w:t xml:space="preserve">été en ligne avec </w:t>
      </w:r>
      <w:r>
        <w:rPr>
          <w:rFonts w:asciiTheme="majorBidi" w:hAnsiTheme="majorBidi" w:cstheme="majorBidi"/>
        </w:rPr>
        <w:t>son évolution</w:t>
      </w:r>
      <w:r w:rsidR="00555968" w:rsidRPr="006111BC">
        <w:rPr>
          <w:rFonts w:asciiTheme="majorBidi" w:hAnsiTheme="majorBidi" w:cstheme="majorBidi"/>
        </w:rPr>
        <w:t xml:space="preserve"> </w:t>
      </w:r>
      <w:r>
        <w:rPr>
          <w:rFonts w:asciiTheme="majorBidi" w:hAnsiTheme="majorBidi" w:cstheme="majorBidi"/>
        </w:rPr>
        <w:t>au niveau</w:t>
      </w:r>
      <w:r w:rsidR="00555968" w:rsidRPr="006111BC">
        <w:rPr>
          <w:rFonts w:asciiTheme="majorBidi" w:hAnsiTheme="majorBidi" w:cstheme="majorBidi"/>
        </w:rPr>
        <w:t xml:space="preserve"> </w:t>
      </w:r>
      <w:r w:rsidR="00C86380">
        <w:rPr>
          <w:rFonts w:asciiTheme="majorBidi" w:hAnsiTheme="majorBidi" w:cstheme="majorBidi"/>
        </w:rPr>
        <w:t xml:space="preserve">de </w:t>
      </w:r>
      <w:r w:rsidR="00555968" w:rsidRPr="006111BC">
        <w:rPr>
          <w:rFonts w:asciiTheme="majorBidi" w:hAnsiTheme="majorBidi" w:cstheme="majorBidi"/>
        </w:rPr>
        <w:t>l’extérieur</w:t>
      </w:r>
      <w:r w:rsidR="00FE4383">
        <w:rPr>
          <w:rFonts w:asciiTheme="majorBidi" w:hAnsiTheme="majorBidi" w:cstheme="majorBidi"/>
        </w:rPr>
        <w:t xml:space="preserve"> et à celle de la demande</w:t>
      </w:r>
      <w:r w:rsidR="00555968" w:rsidRPr="006111BC">
        <w:rPr>
          <w:rFonts w:asciiTheme="majorBidi" w:hAnsiTheme="majorBidi" w:cstheme="majorBidi"/>
        </w:rPr>
        <w:t>.</w:t>
      </w:r>
      <w:r w:rsidR="00FE4383">
        <w:rPr>
          <w:rFonts w:asciiTheme="majorBidi" w:hAnsiTheme="majorBidi" w:cstheme="majorBidi"/>
        </w:rPr>
        <w:t xml:space="preserve"> </w:t>
      </w:r>
    </w:p>
    <w:p w:rsidR="00F5767E" w:rsidRDefault="00FE4383" w:rsidP="005E2D5D">
      <w:pPr>
        <w:spacing w:after="120" w:line="276" w:lineRule="auto"/>
        <w:jc w:val="both"/>
        <w:rPr>
          <w:rFonts w:asciiTheme="majorBidi" w:hAnsiTheme="majorBidi" w:cstheme="majorBidi"/>
        </w:rPr>
      </w:pPr>
      <w:r>
        <w:rPr>
          <w:rFonts w:eastAsia="Arial Unicode MS"/>
          <w:sz w:val="22"/>
          <w:szCs w:val="22"/>
        </w:rPr>
        <w:t>L</w:t>
      </w:r>
      <w:r w:rsidR="00555968">
        <w:rPr>
          <w:rFonts w:asciiTheme="majorBidi" w:hAnsiTheme="majorBidi" w:cstheme="majorBidi"/>
        </w:rPr>
        <w:t>es</w:t>
      </w:r>
      <w:r w:rsidR="00555968" w:rsidRPr="006111BC">
        <w:rPr>
          <w:rFonts w:asciiTheme="majorBidi" w:hAnsiTheme="majorBidi" w:cstheme="majorBidi"/>
        </w:rPr>
        <w:t xml:space="preserve"> carnet</w:t>
      </w:r>
      <w:r w:rsidR="00555968">
        <w:rPr>
          <w:rFonts w:asciiTheme="majorBidi" w:hAnsiTheme="majorBidi" w:cstheme="majorBidi"/>
        </w:rPr>
        <w:t>s</w:t>
      </w:r>
      <w:r w:rsidR="00555968" w:rsidRPr="006111BC">
        <w:rPr>
          <w:rFonts w:asciiTheme="majorBidi" w:hAnsiTheme="majorBidi" w:cstheme="majorBidi"/>
        </w:rPr>
        <w:t xml:space="preserve"> de commande</w:t>
      </w:r>
      <w:r w:rsidR="00555968">
        <w:rPr>
          <w:rFonts w:asciiTheme="majorBidi" w:hAnsiTheme="majorBidi" w:cstheme="majorBidi"/>
        </w:rPr>
        <w:t xml:space="preserve"> du secteur ont été</w:t>
      </w:r>
      <w:r>
        <w:rPr>
          <w:rFonts w:asciiTheme="majorBidi" w:hAnsiTheme="majorBidi" w:cstheme="majorBidi"/>
        </w:rPr>
        <w:t xml:space="preserve">, </w:t>
      </w:r>
      <w:r w:rsidR="00BE457A">
        <w:rPr>
          <w:rFonts w:asciiTheme="majorBidi" w:hAnsiTheme="majorBidi" w:cstheme="majorBidi"/>
        </w:rPr>
        <w:t>en effet</w:t>
      </w:r>
      <w:r>
        <w:rPr>
          <w:rFonts w:asciiTheme="majorBidi" w:hAnsiTheme="majorBidi" w:cstheme="majorBidi"/>
        </w:rPr>
        <w:t>,</w:t>
      </w:r>
      <w:r w:rsidR="00555968">
        <w:rPr>
          <w:rFonts w:asciiTheme="majorBidi" w:hAnsiTheme="majorBidi" w:cstheme="majorBidi"/>
        </w:rPr>
        <w:t xml:space="preserve"> jugés d’un niveau normal par 82% des patrons et peu garni par 16%. </w:t>
      </w:r>
    </w:p>
    <w:p w:rsidR="00F5767E" w:rsidRPr="005E2D5D" w:rsidRDefault="00F5767E" w:rsidP="00F5767E">
      <w:pPr>
        <w:spacing w:line="276" w:lineRule="auto"/>
        <w:jc w:val="both"/>
        <w:rPr>
          <w:rFonts w:asciiTheme="majorBidi" w:hAnsiTheme="majorBidi" w:cstheme="majorBidi"/>
          <w:sz w:val="12"/>
          <w:szCs w:val="12"/>
        </w:rPr>
      </w:pPr>
    </w:p>
    <w:p w:rsidR="00555968" w:rsidRPr="006111BC" w:rsidRDefault="00555968" w:rsidP="00F5767E">
      <w:pPr>
        <w:spacing w:line="276" w:lineRule="auto"/>
        <w:jc w:val="both"/>
        <w:rPr>
          <w:rFonts w:asciiTheme="majorBidi" w:hAnsiTheme="majorBidi" w:cstheme="majorBidi"/>
        </w:rPr>
      </w:pPr>
      <w:r>
        <w:rPr>
          <w:rFonts w:asciiTheme="majorBidi" w:hAnsiTheme="majorBidi" w:cstheme="majorBidi"/>
        </w:rPr>
        <w:t>Quand à l’emploi</w:t>
      </w:r>
      <w:r w:rsidRPr="006111BC">
        <w:rPr>
          <w:rFonts w:asciiTheme="majorBidi" w:hAnsiTheme="majorBidi" w:cstheme="majorBidi"/>
        </w:rPr>
        <w:t xml:space="preserve">, </w:t>
      </w:r>
      <w:r>
        <w:rPr>
          <w:rFonts w:asciiTheme="majorBidi" w:hAnsiTheme="majorBidi" w:cstheme="majorBidi"/>
        </w:rPr>
        <w:t>il aurait connu une stabilité, selon les trois quart</w:t>
      </w:r>
      <w:r w:rsidR="006B7FC0">
        <w:rPr>
          <w:rFonts w:asciiTheme="majorBidi" w:hAnsiTheme="majorBidi" w:cstheme="majorBidi"/>
        </w:rPr>
        <w:t>s</w:t>
      </w:r>
      <w:r>
        <w:rPr>
          <w:rFonts w:asciiTheme="majorBidi" w:hAnsiTheme="majorBidi" w:cstheme="majorBidi"/>
        </w:rPr>
        <w:t xml:space="preserve"> des chefs d’entreprises.  Dans ce contexte, l</w:t>
      </w:r>
      <w:r w:rsidRPr="006111BC">
        <w:rPr>
          <w:rFonts w:asciiTheme="majorBidi" w:hAnsiTheme="majorBidi" w:cstheme="majorBidi"/>
        </w:rPr>
        <w:t xml:space="preserve">e taux d’utilisation de la capacité des prestations (TUC) </w:t>
      </w:r>
      <w:r>
        <w:rPr>
          <w:rFonts w:asciiTheme="majorBidi" w:hAnsiTheme="majorBidi" w:cstheme="majorBidi"/>
        </w:rPr>
        <w:t>se serait établi à 81% au 3</w:t>
      </w:r>
      <w:r w:rsidRPr="00792859">
        <w:rPr>
          <w:rFonts w:asciiTheme="majorBidi" w:hAnsiTheme="majorBidi" w:cstheme="majorBidi"/>
          <w:vertAlign w:val="superscript"/>
        </w:rPr>
        <w:t>ème</w:t>
      </w:r>
      <w:r>
        <w:rPr>
          <w:rFonts w:asciiTheme="majorBidi" w:hAnsiTheme="majorBidi" w:cstheme="majorBidi"/>
        </w:rPr>
        <w:t xml:space="preserve"> trimestre 2015. </w:t>
      </w:r>
    </w:p>
    <w:p w:rsidR="003A2CE4" w:rsidRPr="00CE3972" w:rsidRDefault="00FF24EF" w:rsidP="005A3690">
      <w:pPr>
        <w:spacing w:after="120" w:line="276" w:lineRule="auto"/>
        <w:jc w:val="both"/>
        <w:rPr>
          <w:rFonts w:eastAsia="Arial Unicode MS"/>
          <w:sz w:val="22"/>
          <w:szCs w:val="22"/>
        </w:rPr>
      </w:pPr>
      <w:r w:rsidRPr="00CE3972">
        <w:rPr>
          <w:rFonts w:eastAsia="Arial Unicode MS"/>
          <w:sz w:val="22"/>
          <w:szCs w:val="22"/>
        </w:rPr>
        <w:t xml:space="preserve"> </w:t>
      </w:r>
    </w:p>
    <w:p w:rsidR="00FF24EF" w:rsidRPr="00881864" w:rsidRDefault="00FF24EF" w:rsidP="00302E80">
      <w:pPr>
        <w:jc w:val="both"/>
        <w:rPr>
          <w:rFonts w:eastAsia="Arial Unicode MS"/>
          <w:sz w:val="14"/>
          <w:szCs w:val="14"/>
        </w:rPr>
      </w:pPr>
    </w:p>
    <w:p w:rsidR="003F7BFE" w:rsidRDefault="003F7BFE" w:rsidP="00514D14">
      <w:pPr>
        <w:spacing w:line="280" w:lineRule="exact"/>
        <w:ind w:right="170"/>
        <w:jc w:val="both"/>
        <w:rPr>
          <w:rFonts w:eastAsia="Arial Unicode MS"/>
          <w:sz w:val="22"/>
          <w:szCs w:val="22"/>
        </w:rPr>
      </w:pPr>
    </w:p>
    <w:p w:rsidR="00555968" w:rsidRDefault="00555968" w:rsidP="00514D14">
      <w:pPr>
        <w:spacing w:line="280" w:lineRule="exact"/>
        <w:ind w:right="170"/>
        <w:jc w:val="both"/>
        <w:rPr>
          <w:rFonts w:eastAsia="Arial Unicode MS"/>
          <w:sz w:val="22"/>
          <w:szCs w:val="22"/>
        </w:rPr>
      </w:pPr>
    </w:p>
    <w:p w:rsidR="00555968" w:rsidRDefault="00555968" w:rsidP="00514D14">
      <w:pPr>
        <w:spacing w:line="280" w:lineRule="exact"/>
        <w:ind w:right="170"/>
        <w:jc w:val="both"/>
        <w:rPr>
          <w:rFonts w:eastAsia="Arial Unicode MS"/>
          <w:sz w:val="22"/>
          <w:szCs w:val="22"/>
        </w:rPr>
      </w:pPr>
    </w:p>
    <w:p w:rsidR="00A766CE" w:rsidRDefault="00A766CE" w:rsidP="00514D14">
      <w:pPr>
        <w:spacing w:line="280" w:lineRule="exact"/>
        <w:ind w:right="170"/>
        <w:jc w:val="both"/>
        <w:rPr>
          <w:rFonts w:eastAsia="Arial Unicode MS"/>
          <w:sz w:val="22"/>
          <w:szCs w:val="22"/>
        </w:rPr>
      </w:pPr>
    </w:p>
    <w:p w:rsidR="00A766CE" w:rsidRDefault="00A766CE" w:rsidP="00514D14">
      <w:pPr>
        <w:spacing w:line="280" w:lineRule="exact"/>
        <w:ind w:right="170"/>
        <w:jc w:val="both"/>
        <w:rPr>
          <w:rFonts w:eastAsia="Arial Unicode MS"/>
          <w:sz w:val="22"/>
          <w:szCs w:val="22"/>
        </w:rPr>
      </w:pPr>
    </w:p>
    <w:p w:rsidR="00555968" w:rsidRDefault="00555968" w:rsidP="00514D14">
      <w:pPr>
        <w:spacing w:line="280" w:lineRule="exact"/>
        <w:ind w:right="170"/>
        <w:jc w:val="both"/>
        <w:rPr>
          <w:rFonts w:eastAsia="Arial Unicode MS"/>
          <w:sz w:val="22"/>
          <w:szCs w:val="22"/>
        </w:rPr>
      </w:pPr>
    </w:p>
    <w:p w:rsidR="00555968" w:rsidRDefault="00555968" w:rsidP="00514D14">
      <w:pPr>
        <w:spacing w:line="280" w:lineRule="exact"/>
        <w:ind w:right="170"/>
        <w:jc w:val="both"/>
        <w:rPr>
          <w:rFonts w:eastAsia="Arial Unicode MS"/>
          <w:sz w:val="22"/>
          <w:szCs w:val="22"/>
        </w:rPr>
      </w:pPr>
    </w:p>
    <w:p w:rsidR="002E1737" w:rsidRPr="00BE457A" w:rsidRDefault="002E1737" w:rsidP="00FE4383">
      <w:pPr>
        <w:pStyle w:val="Paragraphedeliste"/>
        <w:numPr>
          <w:ilvl w:val="1"/>
          <w:numId w:val="16"/>
        </w:numPr>
        <w:spacing w:after="240"/>
        <w:ind w:left="567" w:right="-1" w:hanging="709"/>
        <w:jc w:val="both"/>
        <w:rPr>
          <w:rFonts w:ascii="Trebuchet MS" w:eastAsia="Arial Unicode MS" w:hAnsi="Trebuchet MS"/>
          <w:b/>
          <w:bCs/>
          <w:noProof/>
          <w:color w:val="660033"/>
          <w:sz w:val="26"/>
          <w:szCs w:val="26"/>
          <w:lang w:eastAsia="fr-FR"/>
        </w:rPr>
      </w:pPr>
      <w:r w:rsidRPr="00BE457A">
        <w:rPr>
          <w:rFonts w:ascii="Trebuchet MS" w:eastAsia="Arial Unicode MS" w:hAnsi="Trebuchet MS"/>
          <w:b/>
          <w:bCs/>
          <w:noProof/>
          <w:color w:val="660033"/>
          <w:sz w:val="26"/>
          <w:szCs w:val="26"/>
          <w:lang w:eastAsia="fr-FR"/>
        </w:rPr>
        <w:lastRenderedPageBreak/>
        <w:t xml:space="preserve">Anticipations </w:t>
      </w:r>
      <w:r w:rsidR="008F3532" w:rsidRPr="00BE457A">
        <w:rPr>
          <w:rFonts w:ascii="Trebuchet MS" w:eastAsia="Arial Unicode MS" w:hAnsi="Trebuchet MS"/>
          <w:b/>
          <w:bCs/>
          <w:noProof/>
          <w:color w:val="660033"/>
          <w:sz w:val="26"/>
          <w:szCs w:val="26"/>
          <w:lang w:eastAsia="fr-FR"/>
        </w:rPr>
        <w:t xml:space="preserve">des chefs d’entreprises </w:t>
      </w:r>
      <w:r w:rsidRPr="00BE457A">
        <w:rPr>
          <w:rFonts w:ascii="Trebuchet MS" w:eastAsia="Arial Unicode MS" w:hAnsi="Trebuchet MS"/>
          <w:b/>
          <w:bCs/>
          <w:noProof/>
          <w:color w:val="660033"/>
          <w:sz w:val="26"/>
          <w:szCs w:val="26"/>
          <w:lang w:eastAsia="fr-FR"/>
        </w:rPr>
        <w:t xml:space="preserve">pour le </w:t>
      </w:r>
      <w:r w:rsidR="00744367" w:rsidRPr="00BE457A">
        <w:rPr>
          <w:rFonts w:ascii="Trebuchet MS" w:eastAsia="Arial Unicode MS" w:hAnsi="Trebuchet MS"/>
          <w:b/>
          <w:bCs/>
          <w:noProof/>
          <w:color w:val="660033"/>
          <w:sz w:val="26"/>
          <w:szCs w:val="26"/>
          <w:lang w:eastAsia="fr-FR"/>
        </w:rPr>
        <w:t xml:space="preserve">4ème </w:t>
      </w:r>
      <w:r w:rsidRPr="00BE457A">
        <w:rPr>
          <w:rFonts w:ascii="Trebuchet MS" w:eastAsia="Arial Unicode MS" w:hAnsi="Trebuchet MS"/>
          <w:b/>
          <w:bCs/>
          <w:noProof/>
          <w:color w:val="660033"/>
          <w:sz w:val="26"/>
          <w:szCs w:val="26"/>
          <w:lang w:eastAsia="fr-FR"/>
        </w:rPr>
        <w:t>trimestre 2015</w:t>
      </w:r>
    </w:p>
    <w:p w:rsidR="00F5767E" w:rsidRDefault="005E2D5D" w:rsidP="005E2D5D">
      <w:pPr>
        <w:spacing w:after="200" w:line="276" w:lineRule="auto"/>
        <w:jc w:val="both"/>
        <w:rPr>
          <w:rFonts w:asciiTheme="majorBidi" w:hAnsiTheme="majorBidi" w:cstheme="majorBidi"/>
        </w:rPr>
      </w:pPr>
      <w:r>
        <w:rPr>
          <w:rFonts w:asciiTheme="majorBidi" w:hAnsiTheme="majorBidi" w:cstheme="majorBidi"/>
          <w:noProof/>
        </w:rPr>
        <w:drawing>
          <wp:anchor distT="0" distB="0" distL="114300" distR="114300" simplePos="0" relativeHeight="251695104" behindDoc="0" locked="0" layoutInCell="1" allowOverlap="1">
            <wp:simplePos x="0" y="0"/>
            <wp:positionH relativeFrom="margin">
              <wp:posOffset>3053080</wp:posOffset>
            </wp:positionH>
            <wp:positionV relativeFrom="margin">
              <wp:posOffset>487045</wp:posOffset>
            </wp:positionV>
            <wp:extent cx="2743200" cy="3048000"/>
            <wp:effectExtent l="0" t="0" r="0" b="0"/>
            <wp:wrapSquare wrapText="bothSides"/>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555968" w:rsidRPr="006111BC">
        <w:rPr>
          <w:rFonts w:asciiTheme="majorBidi" w:hAnsiTheme="majorBidi" w:cstheme="majorBidi"/>
        </w:rPr>
        <w:t>Pour les anticipations du 4</w:t>
      </w:r>
      <w:r w:rsidR="00555968" w:rsidRPr="006111BC">
        <w:rPr>
          <w:rFonts w:asciiTheme="majorBidi" w:hAnsiTheme="majorBidi" w:cstheme="majorBidi"/>
          <w:vertAlign w:val="superscript"/>
        </w:rPr>
        <w:t>ème</w:t>
      </w:r>
      <w:r w:rsidR="00555968" w:rsidRPr="006111BC">
        <w:rPr>
          <w:rFonts w:asciiTheme="majorBidi" w:hAnsiTheme="majorBidi" w:cstheme="majorBidi"/>
        </w:rPr>
        <w:t xml:space="preserve"> trimestre 2015, les entreprises </w:t>
      </w:r>
      <w:r>
        <w:rPr>
          <w:rFonts w:asciiTheme="majorBidi" w:hAnsiTheme="majorBidi" w:cstheme="majorBidi"/>
        </w:rPr>
        <w:t xml:space="preserve">opérant dans le secteur des </w:t>
      </w:r>
      <w:r w:rsidRPr="005E2D5D">
        <w:rPr>
          <w:rFonts w:eastAsia="Arial Unicode MS"/>
          <w:b/>
          <w:bCs/>
          <w:color w:val="660033"/>
          <w:sz w:val="22"/>
          <w:szCs w:val="22"/>
        </w:rPr>
        <w:t>services</w:t>
      </w:r>
      <w:r>
        <w:rPr>
          <w:rFonts w:eastAsia="Arial Unicode MS"/>
          <w:b/>
          <w:bCs/>
          <w:color w:val="660033"/>
          <w:sz w:val="22"/>
          <w:szCs w:val="22"/>
        </w:rPr>
        <w:t xml:space="preserve"> marchands non financiers</w:t>
      </w:r>
      <w:r w:rsidRPr="006111BC">
        <w:rPr>
          <w:rFonts w:asciiTheme="majorBidi" w:hAnsiTheme="majorBidi" w:cstheme="majorBidi"/>
        </w:rPr>
        <w:t xml:space="preserve"> </w:t>
      </w:r>
      <w:r w:rsidR="00555968" w:rsidRPr="006111BC">
        <w:rPr>
          <w:rFonts w:asciiTheme="majorBidi" w:hAnsiTheme="majorBidi" w:cstheme="majorBidi"/>
        </w:rPr>
        <w:t>s’attendent à une amélioration  de l’activité globale</w:t>
      </w:r>
      <w:r>
        <w:rPr>
          <w:rFonts w:asciiTheme="majorBidi" w:hAnsiTheme="majorBidi" w:cstheme="majorBidi"/>
        </w:rPr>
        <w:t xml:space="preserve"> </w:t>
      </w:r>
      <w:r w:rsidR="00555968">
        <w:rPr>
          <w:rFonts w:asciiTheme="majorBidi" w:hAnsiTheme="majorBidi" w:cstheme="majorBidi"/>
        </w:rPr>
        <w:t>selon 41% des patrons, alors que 11% anticipent</w:t>
      </w:r>
      <w:r w:rsidR="00F5767E">
        <w:rPr>
          <w:rFonts w:asciiTheme="majorBidi" w:hAnsiTheme="majorBidi" w:cstheme="majorBidi"/>
        </w:rPr>
        <w:t xml:space="preserve">, plutôt, </w:t>
      </w:r>
      <w:r w:rsidR="00555968">
        <w:rPr>
          <w:rFonts w:asciiTheme="majorBidi" w:hAnsiTheme="majorBidi" w:cstheme="majorBidi"/>
        </w:rPr>
        <w:t>une baisse</w:t>
      </w:r>
      <w:r w:rsidR="00555968" w:rsidRPr="006111BC">
        <w:rPr>
          <w:rFonts w:asciiTheme="majorBidi" w:hAnsiTheme="majorBidi" w:cstheme="majorBidi"/>
        </w:rPr>
        <w:t xml:space="preserve">. </w:t>
      </w:r>
    </w:p>
    <w:p w:rsidR="00F5767E" w:rsidRDefault="00555968" w:rsidP="005E2D5D">
      <w:pPr>
        <w:spacing w:after="200" w:line="276" w:lineRule="auto"/>
        <w:jc w:val="both"/>
        <w:rPr>
          <w:rFonts w:asciiTheme="majorBidi" w:hAnsiTheme="majorBidi" w:cstheme="majorBidi"/>
        </w:rPr>
      </w:pPr>
      <w:r w:rsidRPr="006111BC">
        <w:rPr>
          <w:rFonts w:asciiTheme="majorBidi" w:hAnsiTheme="majorBidi" w:cstheme="majorBidi"/>
        </w:rPr>
        <w:t xml:space="preserve">Cette augmentation concernerait </w:t>
      </w:r>
      <w:r w:rsidR="005E2D5D">
        <w:rPr>
          <w:rFonts w:asciiTheme="majorBidi" w:hAnsiTheme="majorBidi" w:cstheme="majorBidi"/>
        </w:rPr>
        <w:t xml:space="preserve">principalement </w:t>
      </w:r>
      <w:r w:rsidRPr="006111BC">
        <w:rPr>
          <w:rFonts w:asciiTheme="majorBidi" w:hAnsiTheme="majorBidi" w:cstheme="majorBidi"/>
        </w:rPr>
        <w:t>les branches du « </w:t>
      </w:r>
      <w:r>
        <w:rPr>
          <w:rFonts w:asciiTheme="majorBidi" w:hAnsiTheme="majorBidi" w:cstheme="majorBidi"/>
        </w:rPr>
        <w:t>T</w:t>
      </w:r>
      <w:r w:rsidRPr="006111BC">
        <w:rPr>
          <w:rFonts w:asciiTheme="majorBidi" w:hAnsiTheme="majorBidi" w:cstheme="majorBidi"/>
        </w:rPr>
        <w:t>ransport aérien »,  des « </w:t>
      </w:r>
      <w:r>
        <w:rPr>
          <w:rFonts w:asciiTheme="majorBidi" w:hAnsiTheme="majorBidi" w:cstheme="majorBidi"/>
        </w:rPr>
        <w:t>A</w:t>
      </w:r>
      <w:r w:rsidRPr="006111BC">
        <w:rPr>
          <w:rFonts w:asciiTheme="majorBidi" w:hAnsiTheme="majorBidi" w:cstheme="majorBidi"/>
        </w:rPr>
        <w:t xml:space="preserve">ctivités d’architecture et d’ingénierie » et de </w:t>
      </w:r>
      <w:r w:rsidR="00901A7C">
        <w:rPr>
          <w:rFonts w:asciiTheme="majorBidi" w:hAnsiTheme="majorBidi" w:cstheme="majorBidi"/>
        </w:rPr>
        <w:t xml:space="preserve">la </w:t>
      </w:r>
      <w:r w:rsidRPr="006111BC">
        <w:rPr>
          <w:rFonts w:asciiTheme="majorBidi" w:hAnsiTheme="majorBidi" w:cstheme="majorBidi"/>
        </w:rPr>
        <w:t>« </w:t>
      </w:r>
      <w:r>
        <w:rPr>
          <w:rFonts w:asciiTheme="majorBidi" w:hAnsiTheme="majorBidi" w:cstheme="majorBidi"/>
        </w:rPr>
        <w:t>R</w:t>
      </w:r>
      <w:r w:rsidRPr="006111BC">
        <w:rPr>
          <w:rFonts w:asciiTheme="majorBidi" w:hAnsiTheme="majorBidi" w:cstheme="majorBidi"/>
        </w:rPr>
        <w:t xml:space="preserve">estauration ». </w:t>
      </w:r>
    </w:p>
    <w:p w:rsidR="00555968" w:rsidRDefault="00555968" w:rsidP="00901A7C">
      <w:pPr>
        <w:spacing w:after="200" w:line="276" w:lineRule="auto"/>
        <w:jc w:val="both"/>
        <w:rPr>
          <w:rFonts w:asciiTheme="majorBidi" w:eastAsia="Arial Unicode MS" w:hAnsiTheme="majorBidi" w:cstheme="majorBidi"/>
        </w:rPr>
      </w:pPr>
      <w:r w:rsidRPr="00792859">
        <w:rPr>
          <w:rFonts w:asciiTheme="majorBidi" w:eastAsia="Arial Unicode MS" w:hAnsiTheme="majorBidi" w:cstheme="majorBidi"/>
        </w:rPr>
        <w:t xml:space="preserve">Quant à l’emploi, </w:t>
      </w:r>
      <w:r w:rsidR="00901A7C">
        <w:rPr>
          <w:rFonts w:asciiTheme="majorBidi" w:eastAsia="Arial Unicode MS" w:hAnsiTheme="majorBidi" w:cstheme="majorBidi"/>
        </w:rPr>
        <w:t>51</w:t>
      </w:r>
      <w:r w:rsidR="00901A7C" w:rsidRPr="00792859">
        <w:rPr>
          <w:rFonts w:asciiTheme="majorBidi" w:eastAsia="Arial Unicode MS" w:hAnsiTheme="majorBidi" w:cstheme="majorBidi"/>
        </w:rPr>
        <w:t xml:space="preserve">% des chefs d’entreprises prévoient une </w:t>
      </w:r>
      <w:r w:rsidR="00901A7C">
        <w:rPr>
          <w:rFonts w:asciiTheme="majorBidi" w:eastAsia="Arial Unicode MS" w:hAnsiTheme="majorBidi" w:cstheme="majorBidi"/>
        </w:rPr>
        <w:t xml:space="preserve">hausse de leurs </w:t>
      </w:r>
      <w:r w:rsidR="00901A7C" w:rsidRPr="00792859">
        <w:rPr>
          <w:rFonts w:asciiTheme="majorBidi" w:eastAsia="Arial Unicode MS" w:hAnsiTheme="majorBidi" w:cstheme="majorBidi"/>
        </w:rPr>
        <w:t>effectifs</w:t>
      </w:r>
      <w:r w:rsidR="00901A7C">
        <w:rPr>
          <w:rFonts w:asciiTheme="majorBidi" w:eastAsia="Arial Unicode MS" w:hAnsiTheme="majorBidi" w:cstheme="majorBidi"/>
        </w:rPr>
        <w:t xml:space="preserve"> </w:t>
      </w:r>
      <w:r w:rsidR="00901A7C" w:rsidRPr="00792859">
        <w:rPr>
          <w:rFonts w:asciiTheme="majorBidi" w:eastAsia="Arial Unicode MS" w:hAnsiTheme="majorBidi" w:cstheme="majorBidi"/>
        </w:rPr>
        <w:t>pour le 4</w:t>
      </w:r>
      <w:r w:rsidR="00901A7C" w:rsidRPr="00792859">
        <w:rPr>
          <w:rFonts w:asciiTheme="majorBidi" w:eastAsia="Arial Unicode MS" w:hAnsiTheme="majorBidi" w:cstheme="majorBidi"/>
          <w:vertAlign w:val="superscript"/>
        </w:rPr>
        <w:t>ème</w:t>
      </w:r>
      <w:r w:rsidR="00901A7C" w:rsidRPr="00792859">
        <w:rPr>
          <w:rFonts w:asciiTheme="majorBidi" w:eastAsia="Arial Unicode MS" w:hAnsiTheme="majorBidi" w:cstheme="majorBidi"/>
        </w:rPr>
        <w:t xml:space="preserve"> trimestre 2015</w:t>
      </w:r>
      <w:r w:rsidR="00901A7C">
        <w:rPr>
          <w:rFonts w:asciiTheme="majorBidi" w:eastAsia="Arial Unicode MS" w:hAnsiTheme="majorBidi" w:cstheme="majorBidi"/>
        </w:rPr>
        <w:t xml:space="preserve"> et </w:t>
      </w:r>
      <w:r w:rsidR="005E2D5D">
        <w:rPr>
          <w:rFonts w:asciiTheme="majorBidi" w:eastAsia="Arial Unicode MS" w:hAnsiTheme="majorBidi" w:cstheme="majorBidi"/>
        </w:rPr>
        <w:t>4</w:t>
      </w:r>
      <w:r>
        <w:rPr>
          <w:rFonts w:asciiTheme="majorBidi" w:eastAsia="Arial Unicode MS" w:hAnsiTheme="majorBidi" w:cstheme="majorBidi"/>
        </w:rPr>
        <w:t>5</w:t>
      </w:r>
      <w:r w:rsidRPr="00792859">
        <w:rPr>
          <w:rFonts w:asciiTheme="majorBidi" w:eastAsia="Arial Unicode MS" w:hAnsiTheme="majorBidi" w:cstheme="majorBidi"/>
        </w:rPr>
        <w:t xml:space="preserve">% une </w:t>
      </w:r>
      <w:r>
        <w:rPr>
          <w:rFonts w:asciiTheme="majorBidi" w:eastAsia="Arial Unicode MS" w:hAnsiTheme="majorBidi" w:cstheme="majorBidi"/>
        </w:rPr>
        <w:t>stabilité</w:t>
      </w:r>
      <w:r w:rsidRPr="00792859">
        <w:rPr>
          <w:rFonts w:asciiTheme="majorBidi" w:eastAsia="Arial Unicode MS" w:hAnsiTheme="majorBidi" w:cstheme="majorBidi"/>
        </w:rPr>
        <w:t>.</w:t>
      </w:r>
    </w:p>
    <w:p w:rsidR="00BE457A" w:rsidRDefault="00BE457A" w:rsidP="00555968">
      <w:pPr>
        <w:spacing w:after="200" w:line="276" w:lineRule="auto"/>
        <w:jc w:val="both"/>
        <w:rPr>
          <w:rFonts w:asciiTheme="majorBidi" w:eastAsia="Arial Unicode MS" w:hAnsiTheme="majorBidi" w:cstheme="majorBidi"/>
          <w:rtl/>
        </w:rPr>
      </w:pPr>
    </w:p>
    <w:p w:rsidR="006A5545" w:rsidRDefault="006A5545" w:rsidP="00555968">
      <w:pPr>
        <w:spacing w:after="200" w:line="276" w:lineRule="auto"/>
        <w:jc w:val="both"/>
        <w:rPr>
          <w:rFonts w:asciiTheme="majorBidi" w:eastAsia="Arial Unicode MS" w:hAnsiTheme="majorBidi" w:cstheme="majorBidi"/>
        </w:rPr>
      </w:pPr>
    </w:p>
    <w:p w:rsidR="00370FB9" w:rsidRPr="00FE4383" w:rsidRDefault="00370FB9" w:rsidP="00FE4383">
      <w:pPr>
        <w:pStyle w:val="Paragraphedeliste"/>
        <w:numPr>
          <w:ilvl w:val="0"/>
          <w:numId w:val="16"/>
        </w:numPr>
        <w:spacing w:after="240"/>
        <w:ind w:left="284" w:right="-1" w:hanging="426"/>
        <w:jc w:val="both"/>
        <w:rPr>
          <w:rFonts w:ascii="Trebuchet MS" w:eastAsia="Arial Unicode MS" w:hAnsi="Trebuchet MS"/>
          <w:b/>
          <w:bCs/>
          <w:color w:val="E36C0A" w:themeColor="accent6" w:themeShade="BF"/>
          <w:sz w:val="32"/>
          <w:szCs w:val="32"/>
        </w:rPr>
      </w:pPr>
      <w:r w:rsidRPr="00FE4383">
        <w:rPr>
          <w:rFonts w:ascii="Trebuchet MS" w:eastAsia="Arial Unicode MS" w:hAnsi="Trebuchet MS"/>
          <w:b/>
          <w:bCs/>
          <w:color w:val="E36C0A" w:themeColor="accent6" w:themeShade="BF"/>
          <w:sz w:val="32"/>
          <w:szCs w:val="32"/>
        </w:rPr>
        <w:t>Secteur du Commerce de gros</w:t>
      </w:r>
    </w:p>
    <w:p w:rsidR="00370FB9" w:rsidRPr="00370FB9" w:rsidRDefault="00370FB9" w:rsidP="00370FB9">
      <w:pPr>
        <w:pStyle w:val="Paragraphedeliste"/>
        <w:spacing w:after="240"/>
        <w:ind w:right="-1"/>
        <w:jc w:val="both"/>
        <w:rPr>
          <w:rFonts w:ascii="Trebuchet MS" w:eastAsia="Arial Unicode MS" w:hAnsi="Trebuchet MS"/>
          <w:b/>
          <w:bCs/>
          <w:color w:val="660033"/>
          <w:sz w:val="10"/>
          <w:szCs w:val="10"/>
        </w:rPr>
      </w:pPr>
    </w:p>
    <w:p w:rsidR="00370FB9" w:rsidRDefault="00370FB9" w:rsidP="00FE4383">
      <w:pPr>
        <w:pStyle w:val="Paragraphedeliste"/>
        <w:numPr>
          <w:ilvl w:val="1"/>
          <w:numId w:val="16"/>
        </w:numPr>
        <w:spacing w:after="240"/>
        <w:ind w:left="426" w:hanging="426"/>
        <w:jc w:val="both"/>
        <w:rPr>
          <w:rFonts w:ascii="Trebuchet MS" w:eastAsia="Arial Unicode MS" w:hAnsi="Trebuchet MS"/>
          <w:b/>
          <w:bCs/>
          <w:color w:val="660033"/>
          <w:sz w:val="26"/>
          <w:szCs w:val="26"/>
        </w:rPr>
      </w:pPr>
      <w:r w:rsidRPr="00370FB9">
        <w:rPr>
          <w:rFonts w:ascii="Trebuchet MS" w:eastAsia="Arial Unicode MS" w:hAnsi="Trebuchet MS"/>
          <w:b/>
          <w:bCs/>
          <w:color w:val="660033"/>
          <w:sz w:val="26"/>
          <w:szCs w:val="26"/>
        </w:rPr>
        <w:t>Appréciations des chefs d’entreprises pour le 3</w:t>
      </w:r>
      <w:r w:rsidRPr="00370FB9">
        <w:rPr>
          <w:rFonts w:ascii="Trebuchet MS" w:eastAsia="Arial Unicode MS" w:hAnsi="Trebuchet MS"/>
          <w:b/>
          <w:bCs/>
          <w:color w:val="660033"/>
          <w:sz w:val="26"/>
          <w:szCs w:val="26"/>
          <w:vertAlign w:val="superscript"/>
        </w:rPr>
        <w:t>ème</w:t>
      </w:r>
      <w:r w:rsidRPr="00370FB9">
        <w:rPr>
          <w:rFonts w:ascii="Trebuchet MS" w:eastAsia="Arial Unicode MS" w:hAnsi="Trebuchet MS"/>
          <w:b/>
          <w:bCs/>
          <w:color w:val="660033"/>
          <w:sz w:val="26"/>
          <w:szCs w:val="26"/>
        </w:rPr>
        <w:t xml:space="preserve"> trimestre 2015</w:t>
      </w:r>
    </w:p>
    <w:p w:rsidR="005E2D5D" w:rsidRDefault="005E2D5D" w:rsidP="00901A7C">
      <w:pPr>
        <w:spacing w:after="120" w:line="320" w:lineRule="exact"/>
        <w:jc w:val="both"/>
        <w:rPr>
          <w:rFonts w:eastAsia="Arial Unicode MS"/>
          <w:sz w:val="22"/>
          <w:szCs w:val="22"/>
        </w:rPr>
      </w:pPr>
      <w:r>
        <w:rPr>
          <w:rFonts w:eastAsia="Arial Unicode MS"/>
          <w:noProof/>
          <w:sz w:val="22"/>
          <w:szCs w:val="22"/>
        </w:rPr>
        <w:drawing>
          <wp:anchor distT="0" distB="0" distL="114300" distR="114300" simplePos="0" relativeHeight="251697152" behindDoc="0" locked="0" layoutInCell="1" allowOverlap="1">
            <wp:simplePos x="0" y="0"/>
            <wp:positionH relativeFrom="margin">
              <wp:posOffset>2872105</wp:posOffset>
            </wp:positionH>
            <wp:positionV relativeFrom="margin">
              <wp:posOffset>4906645</wp:posOffset>
            </wp:positionV>
            <wp:extent cx="3276600" cy="2352675"/>
            <wp:effectExtent l="0" t="0" r="0" b="0"/>
            <wp:wrapSquare wrapText="bothSides"/>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70FB9" w:rsidRPr="00FF24EF">
        <w:rPr>
          <w:rFonts w:eastAsia="Arial Unicode MS"/>
          <w:sz w:val="22"/>
          <w:szCs w:val="22"/>
        </w:rPr>
        <w:t xml:space="preserve">Au </w:t>
      </w:r>
      <w:r w:rsidR="00370FB9">
        <w:rPr>
          <w:rFonts w:eastAsia="Arial Unicode MS"/>
          <w:sz w:val="22"/>
          <w:szCs w:val="22"/>
        </w:rPr>
        <w:t xml:space="preserve">troisième </w:t>
      </w:r>
      <w:r w:rsidR="00370FB9" w:rsidRPr="00FF24EF">
        <w:rPr>
          <w:rFonts w:eastAsia="Arial Unicode MS"/>
          <w:sz w:val="22"/>
          <w:szCs w:val="22"/>
        </w:rPr>
        <w:t xml:space="preserve">trimestre 2015, </w:t>
      </w:r>
      <w:r w:rsidR="00370FB9">
        <w:rPr>
          <w:rFonts w:eastAsia="Arial Unicode MS"/>
          <w:sz w:val="22"/>
          <w:szCs w:val="22"/>
        </w:rPr>
        <w:t>les ventes</w:t>
      </w:r>
      <w:r w:rsidR="00370FB9">
        <w:rPr>
          <w:rFonts w:eastAsia="Arial Unicode MS"/>
          <w:b/>
          <w:bCs/>
          <w:color w:val="660033"/>
          <w:sz w:val="22"/>
          <w:szCs w:val="22"/>
        </w:rPr>
        <w:t xml:space="preserve"> </w:t>
      </w:r>
      <w:r w:rsidR="00370FB9" w:rsidRPr="002378A7">
        <w:rPr>
          <w:rFonts w:eastAsia="Arial Unicode MS"/>
          <w:sz w:val="22"/>
          <w:szCs w:val="22"/>
        </w:rPr>
        <w:t>sur le marché local</w:t>
      </w:r>
      <w:r w:rsidR="00370FB9">
        <w:rPr>
          <w:rFonts w:eastAsia="Arial Unicode MS"/>
          <w:b/>
          <w:bCs/>
          <w:color w:val="660033"/>
          <w:sz w:val="22"/>
          <w:szCs w:val="22"/>
        </w:rPr>
        <w:t xml:space="preserve">, dans le secteur du </w:t>
      </w:r>
      <w:r w:rsidR="00901A7C">
        <w:rPr>
          <w:rFonts w:eastAsia="Arial Unicode MS"/>
          <w:b/>
          <w:bCs/>
          <w:color w:val="660033"/>
          <w:sz w:val="22"/>
          <w:szCs w:val="22"/>
        </w:rPr>
        <w:t>C</w:t>
      </w:r>
      <w:r w:rsidR="00370FB9">
        <w:rPr>
          <w:rFonts w:eastAsia="Arial Unicode MS"/>
          <w:b/>
          <w:bCs/>
          <w:color w:val="660033"/>
          <w:sz w:val="22"/>
          <w:szCs w:val="22"/>
        </w:rPr>
        <w:t xml:space="preserve">ommerce de gros, </w:t>
      </w:r>
      <w:r w:rsidR="00370FB9" w:rsidRPr="00FF24EF">
        <w:rPr>
          <w:rFonts w:eastAsia="Arial Unicode MS"/>
          <w:sz w:val="22"/>
          <w:szCs w:val="22"/>
        </w:rPr>
        <w:t>aurai</w:t>
      </w:r>
      <w:r w:rsidR="00FE4383">
        <w:rPr>
          <w:rFonts w:eastAsia="Arial Unicode MS"/>
          <w:sz w:val="22"/>
          <w:szCs w:val="22"/>
        </w:rPr>
        <w:t>en</w:t>
      </w:r>
      <w:r w:rsidR="00370FB9" w:rsidRPr="00FF24EF">
        <w:rPr>
          <w:rFonts w:eastAsia="Arial Unicode MS"/>
          <w:sz w:val="22"/>
          <w:szCs w:val="22"/>
        </w:rPr>
        <w:t xml:space="preserve">t </w:t>
      </w:r>
      <w:r w:rsidR="00370FB9" w:rsidRPr="00801153">
        <w:rPr>
          <w:rFonts w:eastAsia="Arial Unicode MS"/>
          <w:sz w:val="22"/>
          <w:szCs w:val="22"/>
        </w:rPr>
        <w:t>connu</w:t>
      </w:r>
      <w:r w:rsidR="00370FB9">
        <w:rPr>
          <w:rFonts w:eastAsia="Arial Unicode MS"/>
          <w:sz w:val="22"/>
          <w:szCs w:val="22"/>
        </w:rPr>
        <w:t xml:space="preserve">, </w:t>
      </w:r>
      <w:r w:rsidR="00370FB9" w:rsidRPr="00801153">
        <w:rPr>
          <w:rFonts w:eastAsia="Arial Unicode MS"/>
          <w:sz w:val="22"/>
          <w:szCs w:val="22"/>
        </w:rPr>
        <w:t xml:space="preserve">selon </w:t>
      </w:r>
      <w:r w:rsidR="00370FB9">
        <w:rPr>
          <w:rFonts w:eastAsia="Arial Unicode MS"/>
          <w:sz w:val="22"/>
          <w:szCs w:val="22"/>
        </w:rPr>
        <w:t>44</w:t>
      </w:r>
      <w:r w:rsidR="00370FB9" w:rsidRPr="00801153">
        <w:rPr>
          <w:rFonts w:eastAsia="Arial Unicode MS"/>
          <w:sz w:val="22"/>
          <w:szCs w:val="22"/>
        </w:rPr>
        <w:t>% des patrons</w:t>
      </w:r>
      <w:r w:rsidR="00370FB9">
        <w:rPr>
          <w:rFonts w:eastAsia="Arial Unicode MS"/>
          <w:sz w:val="22"/>
          <w:szCs w:val="22"/>
        </w:rPr>
        <w:t xml:space="preserve">, </w:t>
      </w:r>
      <w:r w:rsidR="00370FB9" w:rsidRPr="00801153">
        <w:rPr>
          <w:rFonts w:eastAsia="Arial Unicode MS"/>
          <w:sz w:val="22"/>
          <w:szCs w:val="22"/>
        </w:rPr>
        <w:t xml:space="preserve">une hausse </w:t>
      </w:r>
      <w:r w:rsidR="00370FB9">
        <w:rPr>
          <w:rFonts w:eastAsia="Arial Unicode MS"/>
          <w:sz w:val="22"/>
          <w:szCs w:val="22"/>
        </w:rPr>
        <w:t>et</w:t>
      </w:r>
      <w:r w:rsidR="00FE4383">
        <w:rPr>
          <w:rFonts w:eastAsia="Arial Unicode MS"/>
          <w:sz w:val="22"/>
          <w:szCs w:val="22"/>
        </w:rPr>
        <w:t>,</w:t>
      </w:r>
      <w:r w:rsidR="00FE4383" w:rsidRPr="00FE4383">
        <w:rPr>
          <w:rFonts w:eastAsia="Arial Unicode MS"/>
          <w:sz w:val="22"/>
          <w:szCs w:val="22"/>
        </w:rPr>
        <w:t xml:space="preserve"> </w:t>
      </w:r>
      <w:r w:rsidR="00901A7C" w:rsidRPr="00801153">
        <w:rPr>
          <w:rFonts w:eastAsia="Arial Unicode MS"/>
          <w:sz w:val="22"/>
          <w:szCs w:val="22"/>
        </w:rPr>
        <w:t xml:space="preserve">selon </w:t>
      </w:r>
      <w:r w:rsidR="00901A7C">
        <w:rPr>
          <w:rFonts w:eastAsia="Arial Unicode MS"/>
          <w:sz w:val="22"/>
          <w:szCs w:val="22"/>
        </w:rPr>
        <w:t>31</w:t>
      </w:r>
      <w:r w:rsidR="00901A7C" w:rsidRPr="00801153">
        <w:rPr>
          <w:rFonts w:eastAsia="Arial Unicode MS"/>
          <w:sz w:val="22"/>
          <w:szCs w:val="22"/>
        </w:rPr>
        <w:t>%</w:t>
      </w:r>
      <w:r w:rsidR="00901A7C">
        <w:rPr>
          <w:rFonts w:eastAsia="Arial Unicode MS"/>
          <w:sz w:val="22"/>
          <w:szCs w:val="22"/>
        </w:rPr>
        <w:t xml:space="preserve">, </w:t>
      </w:r>
      <w:r w:rsidR="00FE4383" w:rsidRPr="00801153">
        <w:rPr>
          <w:rFonts w:eastAsia="Arial Unicode MS"/>
          <w:sz w:val="22"/>
          <w:szCs w:val="22"/>
        </w:rPr>
        <w:t>plutôt</w:t>
      </w:r>
      <w:r w:rsidR="00901A7C">
        <w:rPr>
          <w:rFonts w:eastAsia="Arial Unicode MS"/>
          <w:sz w:val="22"/>
          <w:szCs w:val="22"/>
        </w:rPr>
        <w:t xml:space="preserve">, </w:t>
      </w:r>
      <w:r w:rsidR="00FE4383" w:rsidRPr="00801153">
        <w:rPr>
          <w:rFonts w:eastAsia="Arial Unicode MS"/>
          <w:sz w:val="22"/>
          <w:szCs w:val="22"/>
        </w:rPr>
        <w:t>une baisse</w:t>
      </w:r>
      <w:r w:rsidR="00370FB9" w:rsidRPr="00801153">
        <w:rPr>
          <w:rFonts w:eastAsia="Arial Unicode MS"/>
          <w:sz w:val="22"/>
          <w:szCs w:val="22"/>
        </w:rPr>
        <w:t>.</w:t>
      </w:r>
      <w:r w:rsidR="00370FB9" w:rsidRPr="00FF24EF">
        <w:rPr>
          <w:rFonts w:eastAsia="Arial Unicode MS"/>
          <w:sz w:val="22"/>
          <w:szCs w:val="22"/>
        </w:rPr>
        <w:t xml:space="preserve"> </w:t>
      </w:r>
    </w:p>
    <w:p w:rsidR="00370FB9" w:rsidRDefault="00BE457A" w:rsidP="00901A7C">
      <w:pPr>
        <w:spacing w:after="120" w:line="320" w:lineRule="exact"/>
        <w:jc w:val="both"/>
        <w:rPr>
          <w:rFonts w:eastAsia="Arial Unicode MS"/>
          <w:sz w:val="22"/>
          <w:szCs w:val="22"/>
        </w:rPr>
      </w:pPr>
      <w:r>
        <w:rPr>
          <w:rFonts w:eastAsia="Arial Unicode MS"/>
          <w:sz w:val="22"/>
          <w:szCs w:val="22"/>
        </w:rPr>
        <w:t>C</w:t>
      </w:r>
      <w:r w:rsidR="00370FB9">
        <w:rPr>
          <w:rFonts w:eastAsia="Arial Unicode MS"/>
          <w:sz w:val="22"/>
          <w:szCs w:val="22"/>
        </w:rPr>
        <w:t xml:space="preserve">e mouvement </w:t>
      </w:r>
      <w:r>
        <w:rPr>
          <w:rFonts w:eastAsia="Arial Unicode MS"/>
          <w:sz w:val="22"/>
          <w:szCs w:val="22"/>
        </w:rPr>
        <w:t>de</w:t>
      </w:r>
      <w:r w:rsidR="00370FB9">
        <w:rPr>
          <w:rFonts w:eastAsia="Arial Unicode MS"/>
          <w:sz w:val="22"/>
          <w:szCs w:val="22"/>
        </w:rPr>
        <w:t xml:space="preserve"> hausse</w:t>
      </w:r>
      <w:r w:rsidR="00370FB9" w:rsidRPr="00FF24EF">
        <w:rPr>
          <w:rFonts w:eastAsia="Arial Unicode MS"/>
          <w:sz w:val="22"/>
          <w:szCs w:val="22"/>
        </w:rPr>
        <w:t xml:space="preserve"> </w:t>
      </w:r>
      <w:r w:rsidR="00370FB9" w:rsidRPr="00801153">
        <w:rPr>
          <w:rFonts w:eastAsia="Arial Unicode MS"/>
          <w:sz w:val="22"/>
          <w:szCs w:val="22"/>
        </w:rPr>
        <w:t xml:space="preserve">aurait été attribuable principalement à </w:t>
      </w:r>
      <w:r w:rsidR="00F5767E">
        <w:rPr>
          <w:rFonts w:eastAsia="Arial Unicode MS"/>
          <w:sz w:val="22"/>
          <w:szCs w:val="22"/>
        </w:rPr>
        <w:t xml:space="preserve">une </w:t>
      </w:r>
      <w:r w:rsidR="00370FB9">
        <w:rPr>
          <w:rFonts w:eastAsia="Arial Unicode MS"/>
          <w:sz w:val="22"/>
          <w:szCs w:val="22"/>
        </w:rPr>
        <w:t xml:space="preserve">augmentation des ventes dans </w:t>
      </w:r>
      <w:r w:rsidR="00370FB9" w:rsidRPr="00FF24EF">
        <w:rPr>
          <w:rFonts w:eastAsia="Arial Unicode MS"/>
          <w:sz w:val="22"/>
          <w:szCs w:val="22"/>
        </w:rPr>
        <w:t xml:space="preserve">les </w:t>
      </w:r>
      <w:r w:rsidR="00370FB9">
        <w:rPr>
          <w:rFonts w:eastAsia="Arial Unicode MS"/>
          <w:sz w:val="22"/>
          <w:szCs w:val="22"/>
        </w:rPr>
        <w:t>sous</w:t>
      </w:r>
      <w:r w:rsidR="00FE4383">
        <w:rPr>
          <w:rFonts w:eastAsia="Arial Unicode MS"/>
          <w:sz w:val="22"/>
          <w:szCs w:val="22"/>
        </w:rPr>
        <w:t>-</w:t>
      </w:r>
      <w:r w:rsidR="00370FB9" w:rsidRPr="00FF24EF">
        <w:rPr>
          <w:rFonts w:eastAsia="Arial Unicode MS"/>
          <w:sz w:val="22"/>
          <w:szCs w:val="22"/>
        </w:rPr>
        <w:t>branches d’activités</w:t>
      </w:r>
      <w:r w:rsidR="00370FB9">
        <w:rPr>
          <w:rFonts w:eastAsia="Arial Unicode MS"/>
          <w:sz w:val="22"/>
          <w:szCs w:val="22"/>
        </w:rPr>
        <w:t xml:space="preserve"> d</w:t>
      </w:r>
      <w:r w:rsidR="00901A7C">
        <w:rPr>
          <w:rFonts w:eastAsia="Arial Unicode MS"/>
          <w:sz w:val="22"/>
          <w:szCs w:val="22"/>
        </w:rPr>
        <w:t>u</w:t>
      </w:r>
      <w:r w:rsidR="00370FB9">
        <w:rPr>
          <w:rFonts w:eastAsia="Arial Unicode MS"/>
          <w:sz w:val="22"/>
          <w:szCs w:val="22"/>
        </w:rPr>
        <w:t xml:space="preserve"> </w:t>
      </w:r>
      <w:r w:rsidR="005E2D5D">
        <w:rPr>
          <w:rFonts w:eastAsia="Arial Unicode MS"/>
          <w:sz w:val="22"/>
          <w:szCs w:val="22"/>
        </w:rPr>
        <w:t xml:space="preserve">                  </w:t>
      </w:r>
      <w:r w:rsidR="00370FB9" w:rsidRPr="00FF24EF">
        <w:rPr>
          <w:rFonts w:eastAsia="Arial Unicode MS"/>
          <w:sz w:val="22"/>
          <w:szCs w:val="22"/>
        </w:rPr>
        <w:t>«</w:t>
      </w:r>
      <w:r w:rsidR="00370FB9">
        <w:rPr>
          <w:rFonts w:eastAsia="Arial Unicode MS"/>
          <w:sz w:val="22"/>
          <w:szCs w:val="22"/>
        </w:rPr>
        <w:t>Commerce de gros d’au</w:t>
      </w:r>
      <w:r w:rsidR="00FE4383">
        <w:rPr>
          <w:rFonts w:eastAsia="Arial Unicode MS"/>
          <w:sz w:val="22"/>
          <w:szCs w:val="22"/>
        </w:rPr>
        <w:t xml:space="preserve">tres équipements industriels» </w:t>
      </w:r>
      <w:r w:rsidR="00370FB9">
        <w:rPr>
          <w:rFonts w:eastAsia="Arial Unicode MS"/>
          <w:sz w:val="22"/>
          <w:szCs w:val="22"/>
        </w:rPr>
        <w:t>et</w:t>
      </w:r>
      <w:r w:rsidR="00370FB9" w:rsidRPr="00FF24EF">
        <w:rPr>
          <w:rFonts w:eastAsia="Arial Unicode MS"/>
          <w:sz w:val="22"/>
          <w:szCs w:val="22"/>
        </w:rPr>
        <w:t xml:space="preserve"> de</w:t>
      </w:r>
      <w:r w:rsidR="00370FB9">
        <w:rPr>
          <w:rFonts w:eastAsia="Arial Unicode MS"/>
          <w:sz w:val="22"/>
          <w:szCs w:val="22"/>
        </w:rPr>
        <w:t xml:space="preserve">s </w:t>
      </w:r>
      <w:r w:rsidR="00FE4383">
        <w:rPr>
          <w:rFonts w:eastAsia="Arial Unicode MS"/>
          <w:sz w:val="22"/>
          <w:szCs w:val="22"/>
        </w:rPr>
        <w:t xml:space="preserve"> </w:t>
      </w:r>
      <w:r w:rsidR="00370FB9" w:rsidRPr="00FF24EF">
        <w:rPr>
          <w:rFonts w:eastAsia="Arial Unicode MS"/>
          <w:sz w:val="22"/>
          <w:szCs w:val="22"/>
        </w:rPr>
        <w:t>«</w:t>
      </w:r>
      <w:r w:rsidR="00370FB9">
        <w:rPr>
          <w:rFonts w:eastAsia="Arial Unicode MS"/>
          <w:sz w:val="22"/>
          <w:szCs w:val="22"/>
        </w:rPr>
        <w:t xml:space="preserve"> Autres commerce de gros spécialisés</w:t>
      </w:r>
      <w:r w:rsidR="00370FB9" w:rsidRPr="00FF24EF">
        <w:rPr>
          <w:rFonts w:eastAsia="Arial Unicode MS"/>
          <w:sz w:val="22"/>
          <w:szCs w:val="22"/>
        </w:rPr>
        <w:t>»</w:t>
      </w:r>
      <w:r w:rsidR="00370FB9">
        <w:rPr>
          <w:rFonts w:eastAsia="Arial Unicode MS"/>
          <w:sz w:val="22"/>
          <w:szCs w:val="22"/>
        </w:rPr>
        <w:t xml:space="preserve"> </w:t>
      </w:r>
    </w:p>
    <w:p w:rsidR="00F5767E" w:rsidRDefault="00370FB9" w:rsidP="00901A7C">
      <w:pPr>
        <w:spacing w:after="240" w:line="320" w:lineRule="exact"/>
        <w:jc w:val="both"/>
        <w:rPr>
          <w:rFonts w:eastAsia="Arial Unicode MS"/>
          <w:sz w:val="22"/>
          <w:szCs w:val="22"/>
        </w:rPr>
      </w:pPr>
      <w:r w:rsidRPr="00801153">
        <w:rPr>
          <w:rFonts w:eastAsia="Arial Unicode MS"/>
          <w:sz w:val="22"/>
          <w:szCs w:val="22"/>
        </w:rPr>
        <w:t>Quant à</w:t>
      </w:r>
      <w:r>
        <w:rPr>
          <w:rFonts w:eastAsia="Arial Unicode MS"/>
          <w:sz w:val="22"/>
          <w:szCs w:val="22"/>
        </w:rPr>
        <w:t xml:space="preserve"> </w:t>
      </w:r>
      <w:r w:rsidRPr="00FF24EF">
        <w:rPr>
          <w:rFonts w:eastAsia="Arial Unicode MS"/>
          <w:sz w:val="22"/>
          <w:szCs w:val="22"/>
        </w:rPr>
        <w:t>l’emp</w:t>
      </w:r>
      <w:r>
        <w:rPr>
          <w:rFonts w:eastAsia="Arial Unicode MS"/>
          <w:sz w:val="22"/>
          <w:szCs w:val="22"/>
        </w:rPr>
        <w:t>loi, il aurait connu, selon</w:t>
      </w:r>
      <w:r w:rsidR="00FE4383">
        <w:rPr>
          <w:rFonts w:eastAsia="Arial Unicode MS"/>
          <w:sz w:val="22"/>
          <w:szCs w:val="22"/>
        </w:rPr>
        <w:t xml:space="preserve"> </w:t>
      </w:r>
      <w:r>
        <w:rPr>
          <w:rFonts w:eastAsia="Arial Unicode MS"/>
          <w:sz w:val="22"/>
          <w:szCs w:val="22"/>
        </w:rPr>
        <w:t xml:space="preserve">52% des chefs d’entreprises, une stabilité, et </w:t>
      </w:r>
      <w:r w:rsidRPr="00801153">
        <w:rPr>
          <w:rFonts w:eastAsia="Arial Unicode MS"/>
          <w:sz w:val="22"/>
          <w:szCs w:val="22"/>
        </w:rPr>
        <w:t xml:space="preserve">selon </w:t>
      </w:r>
      <w:r>
        <w:rPr>
          <w:rFonts w:eastAsia="Arial Unicode MS"/>
          <w:sz w:val="22"/>
          <w:szCs w:val="22"/>
        </w:rPr>
        <w:t>40</w:t>
      </w:r>
      <w:r w:rsidRPr="00801153">
        <w:rPr>
          <w:rFonts w:eastAsia="Arial Unicode MS"/>
          <w:sz w:val="22"/>
          <w:szCs w:val="22"/>
        </w:rPr>
        <w:t>%</w:t>
      </w:r>
      <w:r w:rsidR="00901A7C">
        <w:rPr>
          <w:rFonts w:eastAsia="Arial Unicode MS"/>
          <w:sz w:val="22"/>
          <w:szCs w:val="22"/>
        </w:rPr>
        <w:t xml:space="preserve">, </w:t>
      </w:r>
      <w:r w:rsidRPr="00801153">
        <w:rPr>
          <w:rFonts w:eastAsia="Arial Unicode MS"/>
          <w:sz w:val="22"/>
          <w:szCs w:val="22"/>
        </w:rPr>
        <w:t xml:space="preserve">une </w:t>
      </w:r>
      <w:r>
        <w:rPr>
          <w:rFonts w:eastAsia="Arial Unicode MS"/>
          <w:sz w:val="22"/>
          <w:szCs w:val="22"/>
        </w:rPr>
        <w:t>hausse</w:t>
      </w:r>
      <w:r w:rsidRPr="00801153">
        <w:rPr>
          <w:rFonts w:eastAsia="Arial Unicode MS"/>
          <w:sz w:val="22"/>
          <w:szCs w:val="22"/>
        </w:rPr>
        <w:t xml:space="preserve">. </w:t>
      </w:r>
    </w:p>
    <w:p w:rsidR="00370FB9" w:rsidRDefault="00BE457A" w:rsidP="005E2D5D">
      <w:pPr>
        <w:spacing w:after="240" w:line="320" w:lineRule="exact"/>
        <w:jc w:val="both"/>
        <w:rPr>
          <w:rFonts w:eastAsia="Arial Unicode MS"/>
          <w:sz w:val="22"/>
          <w:szCs w:val="22"/>
        </w:rPr>
      </w:pPr>
      <w:r>
        <w:rPr>
          <w:rFonts w:eastAsia="Arial Unicode MS"/>
          <w:sz w:val="22"/>
          <w:szCs w:val="22"/>
        </w:rPr>
        <w:t>Par ailleurs, l</w:t>
      </w:r>
      <w:r w:rsidR="00370FB9">
        <w:rPr>
          <w:rFonts w:eastAsia="Arial Unicode MS"/>
          <w:sz w:val="22"/>
          <w:szCs w:val="22"/>
        </w:rPr>
        <w:t xml:space="preserve">es grossistes estiment que leurs stocks </w:t>
      </w:r>
      <w:r w:rsidR="00FE4383">
        <w:rPr>
          <w:rFonts w:eastAsia="Arial Unicode MS"/>
          <w:sz w:val="22"/>
          <w:szCs w:val="22"/>
        </w:rPr>
        <w:t xml:space="preserve">se </w:t>
      </w:r>
      <w:r w:rsidR="00370FB9">
        <w:rPr>
          <w:rFonts w:eastAsia="Arial Unicode MS"/>
          <w:sz w:val="22"/>
          <w:szCs w:val="22"/>
        </w:rPr>
        <w:t xml:space="preserve">seraient situés à un niveau normal selon 76% d’entre eux, </w:t>
      </w:r>
      <w:r>
        <w:rPr>
          <w:rFonts w:eastAsia="Arial Unicode MS"/>
          <w:sz w:val="22"/>
          <w:szCs w:val="22"/>
        </w:rPr>
        <w:t xml:space="preserve">alors que </w:t>
      </w:r>
      <w:r w:rsidR="00370FB9">
        <w:rPr>
          <w:rFonts w:eastAsia="Arial Unicode MS"/>
          <w:sz w:val="22"/>
          <w:szCs w:val="22"/>
        </w:rPr>
        <w:t>seuls 7% jugent leur niveau supérieur à la normale. La tendance observée des prix de ventes dans le secteur révèle, selon 80% des chefs d’entreprises, une stabilité notée principalement dans les sous</w:t>
      </w:r>
      <w:r w:rsidR="00FE4383">
        <w:rPr>
          <w:rFonts w:eastAsia="Arial Unicode MS"/>
          <w:sz w:val="22"/>
          <w:szCs w:val="22"/>
        </w:rPr>
        <w:t>-</w:t>
      </w:r>
      <w:r w:rsidR="00370FB9">
        <w:rPr>
          <w:rFonts w:eastAsia="Arial Unicode MS"/>
          <w:sz w:val="22"/>
          <w:szCs w:val="22"/>
        </w:rPr>
        <w:t xml:space="preserve"> branches </w:t>
      </w:r>
      <w:r w:rsidR="005E2D5D">
        <w:rPr>
          <w:rFonts w:eastAsia="Arial Unicode MS"/>
          <w:sz w:val="22"/>
          <w:szCs w:val="22"/>
        </w:rPr>
        <w:t xml:space="preserve">du </w:t>
      </w:r>
      <w:r w:rsidR="00370FB9">
        <w:rPr>
          <w:rFonts w:eastAsia="Arial Unicode MS"/>
          <w:sz w:val="22"/>
          <w:szCs w:val="22"/>
        </w:rPr>
        <w:t>« </w:t>
      </w:r>
      <w:r w:rsidR="00370FB9" w:rsidRPr="00B47A39">
        <w:rPr>
          <w:rFonts w:eastAsia="Arial Unicode MS"/>
          <w:sz w:val="22"/>
          <w:szCs w:val="22"/>
        </w:rPr>
        <w:t>Commerce de gros de produits alimentaires</w:t>
      </w:r>
      <w:r w:rsidR="005E2D5D">
        <w:rPr>
          <w:rFonts w:eastAsia="Arial Unicode MS"/>
          <w:sz w:val="22"/>
          <w:szCs w:val="22"/>
        </w:rPr>
        <w:t xml:space="preserve"> et </w:t>
      </w:r>
      <w:r w:rsidR="00370FB9" w:rsidRPr="00B47A39">
        <w:rPr>
          <w:rFonts w:eastAsia="Arial Unicode MS"/>
          <w:sz w:val="22"/>
          <w:szCs w:val="22"/>
        </w:rPr>
        <w:t>de boissons</w:t>
      </w:r>
      <w:r w:rsidR="005E2D5D">
        <w:rPr>
          <w:rFonts w:eastAsia="Arial Unicode MS"/>
          <w:sz w:val="22"/>
          <w:szCs w:val="22"/>
        </w:rPr>
        <w:t> »</w:t>
      </w:r>
      <w:r w:rsidR="00370FB9" w:rsidRPr="00B47A39">
        <w:rPr>
          <w:rFonts w:eastAsia="Arial Unicode MS"/>
          <w:sz w:val="22"/>
          <w:szCs w:val="22"/>
        </w:rPr>
        <w:t xml:space="preserve"> et</w:t>
      </w:r>
      <w:r w:rsidR="005E2D5D">
        <w:rPr>
          <w:rFonts w:eastAsia="Arial Unicode MS"/>
          <w:sz w:val="22"/>
          <w:szCs w:val="22"/>
        </w:rPr>
        <w:t xml:space="preserve"> des </w:t>
      </w:r>
      <w:r w:rsidR="00370FB9" w:rsidRPr="00B47A39">
        <w:rPr>
          <w:rFonts w:eastAsia="Arial Unicode MS"/>
          <w:sz w:val="22"/>
          <w:szCs w:val="22"/>
        </w:rPr>
        <w:t>« Autres commerces de gros spécialisés ».</w:t>
      </w:r>
    </w:p>
    <w:p w:rsidR="00370FB9" w:rsidRPr="00370FB9" w:rsidRDefault="00370FB9" w:rsidP="00B47A39">
      <w:pPr>
        <w:pStyle w:val="Paragraphedeliste"/>
        <w:numPr>
          <w:ilvl w:val="1"/>
          <w:numId w:val="16"/>
        </w:numPr>
        <w:spacing w:after="240"/>
        <w:ind w:left="142" w:hanging="142"/>
        <w:jc w:val="both"/>
        <w:rPr>
          <w:rFonts w:ascii="Trebuchet MS" w:eastAsia="Arial Unicode MS" w:hAnsi="Trebuchet MS"/>
          <w:b/>
          <w:bCs/>
          <w:color w:val="660033"/>
          <w:sz w:val="26"/>
          <w:szCs w:val="26"/>
        </w:rPr>
      </w:pPr>
      <w:r w:rsidRPr="00370FB9">
        <w:rPr>
          <w:rFonts w:ascii="Trebuchet MS" w:eastAsia="Arial Unicode MS" w:hAnsi="Trebuchet MS"/>
          <w:b/>
          <w:bCs/>
          <w:color w:val="660033"/>
          <w:sz w:val="26"/>
          <w:szCs w:val="26"/>
        </w:rPr>
        <w:t>Anticipations des chefs d’entreprises pour le 4</w:t>
      </w:r>
      <w:r w:rsidRPr="00370FB9">
        <w:rPr>
          <w:rFonts w:ascii="Trebuchet MS" w:eastAsia="Arial Unicode MS" w:hAnsi="Trebuchet MS"/>
          <w:b/>
          <w:bCs/>
          <w:color w:val="660033"/>
          <w:sz w:val="26"/>
          <w:szCs w:val="26"/>
          <w:vertAlign w:val="superscript"/>
        </w:rPr>
        <w:t>ème</w:t>
      </w:r>
      <w:r w:rsidRPr="00370FB9">
        <w:rPr>
          <w:rFonts w:ascii="Trebuchet MS" w:eastAsia="Arial Unicode MS" w:hAnsi="Trebuchet MS"/>
          <w:b/>
          <w:bCs/>
          <w:color w:val="660033"/>
          <w:sz w:val="26"/>
          <w:szCs w:val="26"/>
        </w:rPr>
        <w:t xml:space="preserve"> trimestre 2015</w:t>
      </w:r>
    </w:p>
    <w:p w:rsidR="005E2D5D" w:rsidRDefault="005E2D5D" w:rsidP="00BE457A">
      <w:pPr>
        <w:spacing w:after="120" w:line="300" w:lineRule="exact"/>
        <w:ind w:left="-284"/>
        <w:jc w:val="both"/>
        <w:rPr>
          <w:rFonts w:eastAsia="Arial Unicode MS"/>
          <w:sz w:val="22"/>
          <w:szCs w:val="22"/>
        </w:rPr>
      </w:pPr>
      <w:r>
        <w:rPr>
          <w:rFonts w:eastAsia="Arial Unicode MS"/>
          <w:noProof/>
          <w:sz w:val="22"/>
          <w:szCs w:val="22"/>
        </w:rPr>
        <w:drawing>
          <wp:anchor distT="0" distB="0" distL="114300" distR="114300" simplePos="0" relativeHeight="251699200" behindDoc="0" locked="0" layoutInCell="1" allowOverlap="1">
            <wp:simplePos x="0" y="0"/>
            <wp:positionH relativeFrom="margin">
              <wp:posOffset>2662555</wp:posOffset>
            </wp:positionH>
            <wp:positionV relativeFrom="margin">
              <wp:posOffset>839470</wp:posOffset>
            </wp:positionV>
            <wp:extent cx="3276600" cy="2495550"/>
            <wp:effectExtent l="0" t="0" r="0" b="0"/>
            <wp:wrapSquare wrapText="bothSides"/>
            <wp:docPr id="1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70FB9">
        <w:rPr>
          <w:rFonts w:eastAsia="Arial Unicode MS"/>
          <w:sz w:val="22"/>
          <w:szCs w:val="22"/>
        </w:rPr>
        <w:t xml:space="preserve">Les </w:t>
      </w:r>
      <w:r w:rsidR="00BE457A">
        <w:rPr>
          <w:rFonts w:eastAsia="Arial Unicode MS"/>
          <w:sz w:val="22"/>
          <w:szCs w:val="22"/>
        </w:rPr>
        <w:t xml:space="preserve">anticipations des grossistes </w:t>
      </w:r>
      <w:r w:rsidR="00BE457A" w:rsidRPr="00FF24EF">
        <w:rPr>
          <w:rFonts w:eastAsia="Arial Unicode MS"/>
          <w:sz w:val="22"/>
          <w:szCs w:val="22"/>
        </w:rPr>
        <w:t xml:space="preserve">pour le </w:t>
      </w:r>
      <w:r w:rsidR="00BE457A">
        <w:rPr>
          <w:rFonts w:eastAsia="Arial Unicode MS"/>
          <w:sz w:val="22"/>
          <w:szCs w:val="22"/>
        </w:rPr>
        <w:t>4</w:t>
      </w:r>
      <w:r w:rsidR="00BE457A" w:rsidRPr="00F5767E">
        <w:rPr>
          <w:rFonts w:eastAsia="Arial Unicode MS"/>
          <w:sz w:val="22"/>
          <w:szCs w:val="22"/>
          <w:vertAlign w:val="superscript"/>
        </w:rPr>
        <w:t>ème</w:t>
      </w:r>
      <w:r w:rsidR="00BE457A">
        <w:rPr>
          <w:rFonts w:eastAsia="Arial Unicode MS"/>
          <w:sz w:val="22"/>
          <w:szCs w:val="22"/>
        </w:rPr>
        <w:t xml:space="preserve"> </w:t>
      </w:r>
      <w:r w:rsidR="00BE457A" w:rsidRPr="00DC0356">
        <w:rPr>
          <w:rFonts w:eastAsia="Arial Unicode MS"/>
          <w:sz w:val="22"/>
          <w:szCs w:val="22"/>
        </w:rPr>
        <w:t xml:space="preserve"> </w:t>
      </w:r>
      <w:r w:rsidR="00BE457A" w:rsidRPr="00FF24EF">
        <w:rPr>
          <w:rFonts w:eastAsia="Arial Unicode MS"/>
          <w:sz w:val="22"/>
          <w:szCs w:val="22"/>
        </w:rPr>
        <w:t>t</w:t>
      </w:r>
      <w:r w:rsidR="00BE457A">
        <w:rPr>
          <w:rFonts w:eastAsia="Arial Unicode MS"/>
          <w:sz w:val="22"/>
          <w:szCs w:val="22"/>
        </w:rPr>
        <w:t>rimestre 2015 révèlent une hausse du volume global de leurs ventes</w:t>
      </w:r>
      <w:r w:rsidR="00370FB9">
        <w:rPr>
          <w:rFonts w:eastAsia="Arial Unicode MS"/>
          <w:sz w:val="22"/>
          <w:szCs w:val="22"/>
        </w:rPr>
        <w:t xml:space="preserve">, </w:t>
      </w:r>
      <w:r w:rsidR="00BE457A">
        <w:rPr>
          <w:rFonts w:eastAsia="Arial Unicode MS"/>
          <w:sz w:val="22"/>
          <w:szCs w:val="22"/>
        </w:rPr>
        <w:t xml:space="preserve">pour </w:t>
      </w:r>
      <w:r w:rsidR="00370FB9">
        <w:rPr>
          <w:rFonts w:eastAsia="Arial Unicode MS"/>
          <w:sz w:val="22"/>
          <w:szCs w:val="22"/>
        </w:rPr>
        <w:t>59</w:t>
      </w:r>
      <w:r w:rsidR="00370FB9" w:rsidRPr="00FF24EF">
        <w:rPr>
          <w:rFonts w:eastAsia="Arial Unicode MS"/>
          <w:sz w:val="22"/>
          <w:szCs w:val="22"/>
        </w:rPr>
        <w:t xml:space="preserve">% </w:t>
      </w:r>
      <w:r w:rsidR="00BE457A">
        <w:rPr>
          <w:rFonts w:eastAsia="Arial Unicode MS"/>
          <w:sz w:val="22"/>
          <w:szCs w:val="22"/>
        </w:rPr>
        <w:t>d’entre eux</w:t>
      </w:r>
      <w:r w:rsidR="00370FB9">
        <w:rPr>
          <w:rFonts w:eastAsia="Arial Unicode MS"/>
          <w:sz w:val="22"/>
          <w:szCs w:val="22"/>
        </w:rPr>
        <w:t xml:space="preserve">, </w:t>
      </w:r>
      <w:r w:rsidR="00370FB9" w:rsidRPr="00FF24EF">
        <w:rPr>
          <w:rFonts w:eastAsia="Arial Unicode MS"/>
          <w:sz w:val="22"/>
          <w:szCs w:val="22"/>
        </w:rPr>
        <w:t>et</w:t>
      </w:r>
      <w:r w:rsidR="00370FB9">
        <w:rPr>
          <w:rFonts w:eastAsia="Arial Unicode MS"/>
          <w:sz w:val="22"/>
          <w:szCs w:val="22"/>
        </w:rPr>
        <w:t>, s</w:t>
      </w:r>
      <w:r w:rsidR="00370FB9" w:rsidRPr="00FF24EF">
        <w:rPr>
          <w:rFonts w:eastAsia="Arial Unicode MS"/>
          <w:sz w:val="22"/>
          <w:szCs w:val="22"/>
        </w:rPr>
        <w:t xml:space="preserve">elon </w:t>
      </w:r>
      <w:r w:rsidR="00370FB9">
        <w:rPr>
          <w:rFonts w:eastAsia="Arial Unicode MS"/>
          <w:sz w:val="22"/>
          <w:szCs w:val="22"/>
        </w:rPr>
        <w:t>13</w:t>
      </w:r>
      <w:r w:rsidR="00370FB9" w:rsidRPr="00FF24EF">
        <w:rPr>
          <w:rFonts w:eastAsia="Arial Unicode MS"/>
          <w:sz w:val="22"/>
          <w:szCs w:val="22"/>
        </w:rPr>
        <w:t>%</w:t>
      </w:r>
      <w:r w:rsidR="00370FB9">
        <w:rPr>
          <w:rFonts w:eastAsia="Arial Unicode MS"/>
          <w:sz w:val="22"/>
          <w:szCs w:val="22"/>
        </w:rPr>
        <w:t xml:space="preserve">, </w:t>
      </w:r>
      <w:r w:rsidR="00370FB9" w:rsidRPr="00FF24EF">
        <w:rPr>
          <w:rFonts w:eastAsia="Arial Unicode MS"/>
          <w:sz w:val="22"/>
          <w:szCs w:val="22"/>
        </w:rPr>
        <w:t xml:space="preserve">une baisse. </w:t>
      </w:r>
    </w:p>
    <w:p w:rsidR="00F5767E" w:rsidRDefault="00370FB9" w:rsidP="00C603C0">
      <w:pPr>
        <w:spacing w:after="120" w:line="300" w:lineRule="exact"/>
        <w:ind w:left="-284"/>
        <w:jc w:val="both"/>
        <w:rPr>
          <w:rFonts w:eastAsia="Arial Unicode MS"/>
          <w:sz w:val="22"/>
          <w:szCs w:val="22"/>
        </w:rPr>
      </w:pPr>
      <w:r w:rsidRPr="00FF24EF">
        <w:rPr>
          <w:rFonts w:eastAsia="Arial Unicode MS"/>
          <w:sz w:val="22"/>
          <w:szCs w:val="22"/>
        </w:rPr>
        <w:t xml:space="preserve">Cette amélioration concernerait, principalement, les activités </w:t>
      </w:r>
      <w:r>
        <w:rPr>
          <w:rFonts w:eastAsia="Arial Unicode MS"/>
          <w:sz w:val="22"/>
          <w:szCs w:val="22"/>
        </w:rPr>
        <w:t>d</w:t>
      </w:r>
      <w:r w:rsidR="005E2460">
        <w:rPr>
          <w:rFonts w:eastAsia="Arial Unicode MS"/>
          <w:sz w:val="22"/>
          <w:szCs w:val="22"/>
        </w:rPr>
        <w:t xml:space="preserve">es </w:t>
      </w:r>
      <w:r w:rsidRPr="00FF24EF">
        <w:rPr>
          <w:rFonts w:eastAsia="Arial Unicode MS"/>
          <w:sz w:val="22"/>
          <w:szCs w:val="22"/>
        </w:rPr>
        <w:t>« </w:t>
      </w:r>
      <w:r w:rsidRPr="00346865">
        <w:rPr>
          <w:color w:val="000000"/>
        </w:rPr>
        <w:t>Autres commerces de gros spécialisés</w:t>
      </w:r>
      <w:r>
        <w:rPr>
          <w:rFonts w:eastAsia="Arial Unicode MS"/>
          <w:sz w:val="22"/>
          <w:szCs w:val="22"/>
        </w:rPr>
        <w:t xml:space="preserve">» et du </w:t>
      </w:r>
      <w:r w:rsidRPr="00FF24EF">
        <w:rPr>
          <w:rFonts w:eastAsia="Arial Unicode MS"/>
          <w:sz w:val="22"/>
          <w:szCs w:val="22"/>
        </w:rPr>
        <w:t>« </w:t>
      </w:r>
      <w:r w:rsidRPr="00346865">
        <w:rPr>
          <w:color w:val="000000"/>
        </w:rPr>
        <w:t>Commerce de gros d'autres équipements industriels</w:t>
      </w:r>
      <w:r>
        <w:rPr>
          <w:rFonts w:eastAsia="Arial Unicode MS"/>
          <w:sz w:val="22"/>
          <w:szCs w:val="22"/>
        </w:rPr>
        <w:t>»</w:t>
      </w:r>
      <w:r w:rsidRPr="00FF24EF">
        <w:rPr>
          <w:rFonts w:eastAsia="Arial Unicode MS"/>
          <w:sz w:val="22"/>
          <w:szCs w:val="22"/>
        </w:rPr>
        <w:t xml:space="preserve">. </w:t>
      </w:r>
    </w:p>
    <w:p w:rsidR="00370FB9" w:rsidRDefault="00370FB9" w:rsidP="00F5767E">
      <w:pPr>
        <w:spacing w:after="120" w:line="300" w:lineRule="exact"/>
        <w:ind w:left="-284"/>
        <w:jc w:val="both"/>
        <w:rPr>
          <w:rFonts w:eastAsia="Arial Unicode MS"/>
          <w:sz w:val="22"/>
          <w:szCs w:val="22"/>
        </w:rPr>
      </w:pPr>
      <w:r w:rsidRPr="00FF24EF">
        <w:rPr>
          <w:rFonts w:eastAsia="Arial Unicode MS"/>
          <w:sz w:val="22"/>
          <w:szCs w:val="22"/>
        </w:rPr>
        <w:t xml:space="preserve">Quant à l’emploi, </w:t>
      </w:r>
      <w:r>
        <w:rPr>
          <w:rFonts w:eastAsia="Arial Unicode MS"/>
          <w:sz w:val="22"/>
          <w:szCs w:val="22"/>
        </w:rPr>
        <w:t>51</w:t>
      </w:r>
      <w:r w:rsidRPr="00FF24EF">
        <w:rPr>
          <w:rFonts w:eastAsia="Arial Unicode MS"/>
          <w:sz w:val="22"/>
          <w:szCs w:val="22"/>
        </w:rPr>
        <w:t xml:space="preserve">% des chefs d’entreprises prévoient une </w:t>
      </w:r>
      <w:r>
        <w:rPr>
          <w:rFonts w:eastAsia="Arial Unicode MS"/>
          <w:sz w:val="22"/>
          <w:szCs w:val="22"/>
        </w:rPr>
        <w:t>stagnation</w:t>
      </w:r>
      <w:r w:rsidRPr="00FF24EF">
        <w:rPr>
          <w:rFonts w:eastAsia="Arial Unicode MS"/>
          <w:sz w:val="22"/>
          <w:szCs w:val="22"/>
        </w:rPr>
        <w:t xml:space="preserve"> des effectifs et </w:t>
      </w:r>
      <w:r>
        <w:rPr>
          <w:rFonts w:eastAsia="Arial Unicode MS"/>
          <w:sz w:val="22"/>
          <w:szCs w:val="22"/>
        </w:rPr>
        <w:t>seulement 4</w:t>
      </w:r>
      <w:r w:rsidRPr="00FF24EF">
        <w:rPr>
          <w:rFonts w:eastAsia="Arial Unicode MS"/>
          <w:sz w:val="22"/>
          <w:szCs w:val="22"/>
        </w:rPr>
        <w:t xml:space="preserve">% une </w:t>
      </w:r>
      <w:r>
        <w:rPr>
          <w:rFonts w:eastAsia="Arial Unicode MS"/>
          <w:sz w:val="22"/>
          <w:szCs w:val="22"/>
        </w:rPr>
        <w:t>baisse.</w:t>
      </w:r>
    </w:p>
    <w:p w:rsidR="00370FB9" w:rsidRDefault="00370FB9" w:rsidP="00370FB9">
      <w:pPr>
        <w:spacing w:after="120" w:line="300" w:lineRule="exact"/>
        <w:ind w:left="-284"/>
        <w:jc w:val="both"/>
        <w:rPr>
          <w:rFonts w:eastAsia="Arial Unicode MS"/>
          <w:sz w:val="22"/>
          <w:szCs w:val="22"/>
        </w:rPr>
      </w:pPr>
      <w:r>
        <w:rPr>
          <w:rFonts w:eastAsia="Arial Unicode MS"/>
          <w:sz w:val="22"/>
          <w:szCs w:val="22"/>
        </w:rPr>
        <w:t xml:space="preserve">Les commandes à passer </w:t>
      </w:r>
      <w:r w:rsidRPr="00FF24EF">
        <w:rPr>
          <w:rFonts w:eastAsia="Arial Unicode MS"/>
          <w:sz w:val="22"/>
          <w:szCs w:val="22"/>
        </w:rPr>
        <w:t xml:space="preserve">pour le </w:t>
      </w:r>
      <w:r>
        <w:rPr>
          <w:rFonts w:eastAsia="Arial Unicode MS"/>
          <w:sz w:val="22"/>
          <w:szCs w:val="22"/>
        </w:rPr>
        <w:t>4</w:t>
      </w:r>
      <w:r w:rsidRPr="00FF24EF">
        <w:rPr>
          <w:rFonts w:eastAsia="Arial Unicode MS"/>
          <w:sz w:val="22"/>
          <w:szCs w:val="22"/>
          <w:vertAlign w:val="superscript"/>
        </w:rPr>
        <w:t>ème</w:t>
      </w:r>
      <w:r>
        <w:rPr>
          <w:rFonts w:eastAsia="Arial Unicode MS"/>
          <w:sz w:val="22"/>
          <w:szCs w:val="22"/>
        </w:rPr>
        <w:t xml:space="preserve"> trimestre 2015 seraient d’un niveau normal selon 85% des chefs d’entrepr</w:t>
      </w:r>
      <w:r w:rsidR="005E2D5D">
        <w:rPr>
          <w:rFonts w:eastAsia="Arial Unicode MS"/>
          <w:sz w:val="22"/>
          <w:szCs w:val="22"/>
        </w:rPr>
        <w:t xml:space="preserve">ises et supérieur à la normale </w:t>
      </w:r>
      <w:r>
        <w:rPr>
          <w:rFonts w:eastAsia="Arial Unicode MS"/>
          <w:sz w:val="22"/>
          <w:szCs w:val="22"/>
        </w:rPr>
        <w:t xml:space="preserve">selon 4% d’entre eux. </w:t>
      </w:r>
    </w:p>
    <w:p w:rsidR="00370FB9" w:rsidRDefault="00BE457A" w:rsidP="00BE457A">
      <w:pPr>
        <w:spacing w:after="120" w:line="300" w:lineRule="exact"/>
        <w:ind w:left="-284"/>
        <w:jc w:val="both"/>
        <w:rPr>
          <w:rFonts w:eastAsia="Arial Unicode MS"/>
          <w:sz w:val="22"/>
          <w:szCs w:val="22"/>
        </w:rPr>
      </w:pPr>
      <w:r>
        <w:rPr>
          <w:rFonts w:eastAsia="Arial Unicode MS"/>
          <w:sz w:val="22"/>
          <w:szCs w:val="22"/>
        </w:rPr>
        <w:t>Pour sa part, l</w:t>
      </w:r>
      <w:r w:rsidR="00370FB9">
        <w:rPr>
          <w:rFonts w:eastAsia="Arial Unicode MS"/>
          <w:sz w:val="22"/>
          <w:szCs w:val="22"/>
        </w:rPr>
        <w:t>a tendance prévue des prix de ventes dans le secteur, s’orienterait vers la stabilité selon 79% des grossistes et une baisse d’après 15% d’entre eux.</w:t>
      </w:r>
    </w:p>
    <w:p w:rsidR="005E2D5D" w:rsidRDefault="00A05E42" w:rsidP="00BE457A">
      <w:pPr>
        <w:spacing w:after="120" w:line="300" w:lineRule="exact"/>
        <w:ind w:left="-284"/>
        <w:jc w:val="both"/>
        <w:rPr>
          <w:rFonts w:eastAsia="Arial Unicode MS"/>
          <w:sz w:val="22"/>
          <w:szCs w:val="22"/>
        </w:rPr>
      </w:pPr>
      <w:r>
        <w:rPr>
          <w:rFonts w:eastAsia="Arial Unicode MS"/>
          <w:noProof/>
          <w:sz w:val="22"/>
          <w:szCs w:val="22"/>
        </w:rPr>
        <w:pict>
          <v:shape id="_x0000_s1145" type="#_x0000_t202" style="position:absolute;left:0;text-align:left;margin-left:-3.35pt;margin-top:16.8pt;width:462.15pt;height:298pt;z-index:251700224" fillcolor="#fbd4b4">
            <v:textbox style="mso-next-textbox:#_x0000_s1145">
              <w:txbxContent>
                <w:p w:rsidR="005E2D5D" w:rsidRPr="00CF5EA6" w:rsidRDefault="005E2D5D" w:rsidP="005E2D5D">
                  <w:pPr>
                    <w:spacing w:after="120"/>
                    <w:jc w:val="both"/>
                    <w:rPr>
                      <w:b/>
                      <w:bCs/>
                      <w:color w:val="C00000"/>
                    </w:rPr>
                  </w:pPr>
                  <w:r w:rsidRPr="00CF5EA6">
                    <w:rPr>
                      <w:b/>
                      <w:bCs/>
                      <w:color w:val="C00000"/>
                    </w:rPr>
                    <w:t>Réforme du dispositif des enquêtes de conjoncture auprès des entreprises</w:t>
                  </w:r>
                </w:p>
                <w:p w:rsidR="00BD4E34" w:rsidRPr="00157A43" w:rsidRDefault="00BD4E34" w:rsidP="00BD4E34">
                  <w:pPr>
                    <w:spacing w:before="120" w:after="120"/>
                    <w:jc w:val="both"/>
                    <w:rPr>
                      <w:rFonts w:eastAsia="Arial Unicode MS"/>
                      <w:sz w:val="20"/>
                      <w:szCs w:val="20"/>
                    </w:rPr>
                  </w:pPr>
                  <w:r w:rsidRPr="007F4BA9">
                    <w:rPr>
                      <w:rFonts w:eastAsia="Arial Unicode MS"/>
                      <w:sz w:val="20"/>
                      <w:szCs w:val="20"/>
                    </w:rPr>
                    <w:t xml:space="preserve">Dans le cadre de </w:t>
                  </w:r>
                  <w:r w:rsidRPr="00FF415B">
                    <w:rPr>
                      <w:rFonts w:eastAsia="Arial Unicode MS"/>
                      <w:sz w:val="20"/>
                      <w:szCs w:val="20"/>
                    </w:rPr>
                    <w:t>sa</w:t>
                  </w:r>
                  <w:r w:rsidRPr="007F4BA9">
                    <w:rPr>
                      <w:rFonts w:eastAsia="Arial Unicode MS"/>
                      <w:sz w:val="20"/>
                      <w:szCs w:val="20"/>
                    </w:rPr>
                    <w:t xml:space="preserve"> politique de mise à niveau de son système d’information statistique, et pour mieux répondre aux besoins des entreprises et des utilisateurs de l’information socio-économique au sens le plus large, le HCP a entrepris, à partir du deuxième trimestre 2015, une rénovation majeure de son dispositif d’enquêtes de conjoncture auprès des entreprises</w:t>
                  </w:r>
                  <w:r>
                    <w:rPr>
                      <w:rFonts w:eastAsia="Arial Unicode MS"/>
                      <w:sz w:val="20"/>
                      <w:szCs w:val="20"/>
                    </w:rPr>
                    <w:t xml:space="preserve"> basée principalement sur </w:t>
                  </w:r>
                  <w:r w:rsidRPr="00FF415B">
                    <w:rPr>
                      <w:rFonts w:eastAsia="Arial Unicode MS"/>
                      <w:sz w:val="20"/>
                      <w:szCs w:val="20"/>
                    </w:rPr>
                    <w:t>l’élargissement du champ des enquêtes de conjoncture auprès des entreprises aux secteurs du Commerce de gros et des Services marchands non financiers où l’information conjoncturelle n’existait pas jusqu’à présent. Ainsi, les enquêtes de conjoncture réalisées trimestriellement par le HCP couvrent actuellement les secteurs de l’Industrie extractive, de l’industrie manufacturière, de l’énergie, de l’environnement, de la Construction, du Commerce de gros et des Services marchands non financiers.</w:t>
                  </w:r>
                </w:p>
                <w:p w:rsidR="005E2D5D" w:rsidRDefault="007E0F34" w:rsidP="007E0F34">
                  <w:pPr>
                    <w:tabs>
                      <w:tab w:val="left" w:pos="0"/>
                    </w:tabs>
                    <w:suppressAutoHyphens/>
                    <w:spacing w:before="120" w:after="120"/>
                    <w:jc w:val="both"/>
                    <w:rPr>
                      <w:rFonts w:eastAsia="Arial Unicode MS"/>
                      <w:sz w:val="20"/>
                      <w:szCs w:val="20"/>
                    </w:rPr>
                  </w:pPr>
                  <w:r>
                    <w:rPr>
                      <w:rFonts w:eastAsia="Arial Unicode MS"/>
                      <w:sz w:val="20"/>
                      <w:szCs w:val="20"/>
                    </w:rPr>
                    <w:t>Dans ce contexte, et a</w:t>
                  </w:r>
                  <w:r w:rsidR="005E2D5D">
                    <w:rPr>
                      <w:rFonts w:eastAsia="Arial Unicode MS"/>
                      <w:sz w:val="20"/>
                      <w:szCs w:val="20"/>
                    </w:rPr>
                    <w:t xml:space="preserve">près </w:t>
                  </w:r>
                  <w:r w:rsidR="00002D0B">
                    <w:rPr>
                      <w:rFonts w:eastAsia="Arial Unicode MS"/>
                      <w:sz w:val="20"/>
                      <w:szCs w:val="20"/>
                    </w:rPr>
                    <w:t>l’</w:t>
                  </w:r>
                  <w:r w:rsidR="005E2D5D">
                    <w:rPr>
                      <w:rFonts w:eastAsia="Arial Unicode MS"/>
                      <w:sz w:val="20"/>
                      <w:szCs w:val="20"/>
                    </w:rPr>
                    <w:t>analyse de la cohérence des résultats des enquêtes trimestrielles de conjoncture relatifs au</w:t>
                  </w:r>
                  <w:r w:rsidR="00FC3333">
                    <w:rPr>
                      <w:rFonts w:eastAsia="Arial Unicode MS"/>
                      <w:sz w:val="20"/>
                      <w:szCs w:val="20"/>
                    </w:rPr>
                    <w:t>x</w:t>
                  </w:r>
                  <w:r w:rsidR="005E2D5D">
                    <w:rPr>
                      <w:rFonts w:eastAsia="Arial Unicode MS"/>
                      <w:sz w:val="20"/>
                      <w:szCs w:val="20"/>
                    </w:rPr>
                    <w:t xml:space="preserve"> secteurs des services marchands non financiers et du commerce de gros au cours des trois derniers trimestres de 2015, </w:t>
                  </w:r>
                  <w:r w:rsidR="00002D0B">
                    <w:rPr>
                      <w:rFonts w:eastAsia="Arial Unicode MS"/>
                      <w:sz w:val="20"/>
                      <w:szCs w:val="20"/>
                    </w:rPr>
                    <w:t xml:space="preserve">et </w:t>
                  </w:r>
                  <w:r w:rsidR="005E2460">
                    <w:rPr>
                      <w:rFonts w:eastAsia="Arial Unicode MS"/>
                      <w:sz w:val="20"/>
                      <w:szCs w:val="20"/>
                    </w:rPr>
                    <w:t xml:space="preserve">l’examen </w:t>
                  </w:r>
                  <w:r w:rsidR="00002D0B">
                    <w:rPr>
                      <w:rFonts w:eastAsia="Arial Unicode MS"/>
                      <w:sz w:val="20"/>
                      <w:szCs w:val="20"/>
                    </w:rPr>
                    <w:t>de la qualité de ses principaux indicateurs, le HCP</w:t>
                  </w:r>
                  <w:r w:rsidR="00EA2E5B">
                    <w:rPr>
                      <w:rFonts w:eastAsia="Arial Unicode MS"/>
                      <w:sz w:val="20"/>
                      <w:szCs w:val="20"/>
                    </w:rPr>
                    <w:t xml:space="preserve">, présente, pour la première fois et </w:t>
                  </w:r>
                  <w:r w:rsidR="00002D0B">
                    <w:rPr>
                      <w:rFonts w:eastAsia="Arial Unicode MS"/>
                      <w:sz w:val="20"/>
                      <w:szCs w:val="20"/>
                    </w:rPr>
                    <w:t>en réponse aux besoins de plusieurs utilisateurs tant privés que publics</w:t>
                  </w:r>
                  <w:r w:rsidR="00EA2E5B">
                    <w:rPr>
                      <w:rFonts w:eastAsia="Arial Unicode MS"/>
                      <w:sz w:val="20"/>
                      <w:szCs w:val="20"/>
                    </w:rPr>
                    <w:t xml:space="preserve">, </w:t>
                  </w:r>
                  <w:r w:rsidR="00002D0B">
                    <w:rPr>
                      <w:rFonts w:eastAsia="Arial Unicode MS"/>
                      <w:sz w:val="20"/>
                      <w:szCs w:val="20"/>
                    </w:rPr>
                    <w:t>les résultats de ces enquêtes</w:t>
                  </w:r>
                  <w:r w:rsidR="00EA2E5B">
                    <w:rPr>
                      <w:rFonts w:eastAsia="Arial Unicode MS"/>
                      <w:sz w:val="20"/>
                      <w:szCs w:val="20"/>
                    </w:rPr>
                    <w:t xml:space="preserve"> dans le cadre de la présente note qui révèle </w:t>
                  </w:r>
                  <w:r w:rsidR="005E2D5D" w:rsidRPr="007F4BA9">
                    <w:rPr>
                      <w:rFonts w:eastAsia="Arial Unicode MS"/>
                      <w:sz w:val="20"/>
                      <w:szCs w:val="20"/>
                    </w:rPr>
                    <w:t>l’appréciation des chefs d’entreprises, telle qu’elle ressort des enquêtes de conjoncture auprès des entreprises opérant dans le</w:t>
                  </w:r>
                  <w:r w:rsidR="005E2D5D">
                    <w:rPr>
                      <w:rFonts w:eastAsia="Arial Unicode MS"/>
                      <w:sz w:val="20"/>
                      <w:szCs w:val="20"/>
                    </w:rPr>
                    <w:t>s</w:t>
                  </w:r>
                  <w:r w:rsidR="00EA2E5B">
                    <w:rPr>
                      <w:rFonts w:eastAsia="Arial Unicode MS"/>
                      <w:sz w:val="20"/>
                      <w:szCs w:val="20"/>
                    </w:rPr>
                    <w:t xml:space="preserve">dits secteurs </w:t>
                  </w:r>
                  <w:r w:rsidR="005E2D5D" w:rsidRPr="007F4BA9">
                    <w:rPr>
                      <w:rFonts w:eastAsia="Arial Unicode MS"/>
                      <w:sz w:val="20"/>
                      <w:szCs w:val="20"/>
                    </w:rPr>
                    <w:t xml:space="preserve">réalisées par le HCP au titre du </w:t>
                  </w:r>
                  <w:r w:rsidR="005E2D5D">
                    <w:rPr>
                      <w:rFonts w:eastAsia="Arial Unicode MS"/>
                      <w:sz w:val="20"/>
                      <w:szCs w:val="20"/>
                    </w:rPr>
                    <w:t>4</w:t>
                  </w:r>
                  <w:r w:rsidR="005E2D5D" w:rsidRPr="00C81D05">
                    <w:rPr>
                      <w:rFonts w:eastAsia="Arial Unicode MS"/>
                      <w:sz w:val="20"/>
                      <w:szCs w:val="20"/>
                      <w:vertAlign w:val="superscript"/>
                    </w:rPr>
                    <w:t>ème</w:t>
                  </w:r>
                  <w:r w:rsidR="005E2D5D">
                    <w:rPr>
                      <w:rFonts w:eastAsia="Arial Unicode MS"/>
                      <w:sz w:val="20"/>
                      <w:szCs w:val="20"/>
                    </w:rPr>
                    <w:t xml:space="preserve"> </w:t>
                  </w:r>
                  <w:r w:rsidR="005E2D5D" w:rsidRPr="007F4BA9">
                    <w:rPr>
                      <w:rFonts w:eastAsia="Arial Unicode MS"/>
                      <w:sz w:val="20"/>
                      <w:szCs w:val="20"/>
                    </w:rPr>
                    <w:t xml:space="preserve">trimestre 2015. Cette appréciation porte sur l’évolution de l’activité au cours du </w:t>
                  </w:r>
                  <w:r w:rsidR="005E2D5D">
                    <w:rPr>
                      <w:rFonts w:eastAsia="Arial Unicode MS"/>
                      <w:sz w:val="20"/>
                      <w:szCs w:val="20"/>
                    </w:rPr>
                    <w:t>3</w:t>
                  </w:r>
                  <w:r w:rsidR="005E2D5D" w:rsidRPr="00C81D05">
                    <w:rPr>
                      <w:rFonts w:eastAsia="Arial Unicode MS"/>
                      <w:sz w:val="20"/>
                      <w:szCs w:val="20"/>
                      <w:vertAlign w:val="superscript"/>
                    </w:rPr>
                    <w:t>ème</w:t>
                  </w:r>
                  <w:r w:rsidR="005E2D5D">
                    <w:rPr>
                      <w:rFonts w:eastAsia="Arial Unicode MS"/>
                      <w:sz w:val="20"/>
                      <w:szCs w:val="20"/>
                    </w:rPr>
                    <w:t xml:space="preserve"> </w:t>
                  </w:r>
                  <w:r w:rsidR="005E2D5D" w:rsidRPr="007F4BA9">
                    <w:rPr>
                      <w:rFonts w:eastAsia="Arial Unicode MS"/>
                      <w:sz w:val="20"/>
                      <w:szCs w:val="20"/>
                    </w:rPr>
                    <w:t xml:space="preserve">trimestre et les pronostics pour le </w:t>
                  </w:r>
                  <w:r w:rsidR="005E2D5D">
                    <w:rPr>
                      <w:rFonts w:eastAsia="Arial Unicode MS"/>
                      <w:sz w:val="20"/>
                      <w:szCs w:val="20"/>
                    </w:rPr>
                    <w:t>4</w:t>
                  </w:r>
                  <w:r w:rsidR="005E2D5D" w:rsidRPr="00C81D05">
                    <w:rPr>
                      <w:rFonts w:eastAsia="Arial Unicode MS"/>
                      <w:sz w:val="20"/>
                      <w:szCs w:val="20"/>
                      <w:vertAlign w:val="superscript"/>
                    </w:rPr>
                    <w:t>ème</w:t>
                  </w:r>
                  <w:r w:rsidR="005E2D5D">
                    <w:rPr>
                      <w:rFonts w:eastAsia="Arial Unicode MS"/>
                      <w:sz w:val="20"/>
                      <w:szCs w:val="20"/>
                    </w:rPr>
                    <w:t xml:space="preserve"> </w:t>
                  </w:r>
                  <w:r w:rsidR="005E2D5D" w:rsidRPr="007F4BA9">
                    <w:rPr>
                      <w:rFonts w:eastAsia="Arial Unicode MS"/>
                      <w:sz w:val="20"/>
                      <w:szCs w:val="20"/>
                    </w:rPr>
                    <w:t>trimestre 2015.</w:t>
                  </w:r>
                  <w:r w:rsidR="005E2D5D">
                    <w:rPr>
                      <w:rFonts w:eastAsia="Arial Unicode MS"/>
                      <w:sz w:val="20"/>
                      <w:szCs w:val="20"/>
                    </w:rPr>
                    <w:t xml:space="preserve"> </w:t>
                  </w:r>
                </w:p>
                <w:p w:rsidR="005E2D5D" w:rsidRPr="007F4BA9" w:rsidRDefault="00EA2E5B" w:rsidP="00E762E4">
                  <w:pPr>
                    <w:tabs>
                      <w:tab w:val="left" w:pos="0"/>
                    </w:tabs>
                    <w:suppressAutoHyphens/>
                    <w:spacing w:before="120" w:after="120"/>
                    <w:jc w:val="both"/>
                    <w:rPr>
                      <w:rFonts w:eastAsia="Arial Unicode MS"/>
                      <w:sz w:val="20"/>
                      <w:szCs w:val="20"/>
                    </w:rPr>
                  </w:pPr>
                  <w:r>
                    <w:rPr>
                      <w:rFonts w:eastAsia="Arial Unicode MS"/>
                      <w:sz w:val="20"/>
                      <w:szCs w:val="20"/>
                    </w:rPr>
                    <w:t>Il est à noter que l</w:t>
                  </w:r>
                  <w:r w:rsidR="00FC3333">
                    <w:rPr>
                      <w:rFonts w:eastAsia="Arial Unicode MS"/>
                      <w:sz w:val="20"/>
                      <w:szCs w:val="20"/>
                    </w:rPr>
                    <w:t>es e</w:t>
                  </w:r>
                  <w:r w:rsidR="005E2D5D" w:rsidRPr="0083789F">
                    <w:rPr>
                      <w:rFonts w:eastAsia="Arial Unicode MS"/>
                      <w:sz w:val="20"/>
                      <w:szCs w:val="20"/>
                    </w:rPr>
                    <w:t>nquête</w:t>
                  </w:r>
                  <w:r w:rsidR="00FC3333">
                    <w:rPr>
                      <w:rFonts w:eastAsia="Arial Unicode MS"/>
                      <w:sz w:val="20"/>
                      <w:szCs w:val="20"/>
                    </w:rPr>
                    <w:t>s</w:t>
                  </w:r>
                  <w:r w:rsidR="005E2D5D" w:rsidRPr="0083789F">
                    <w:rPr>
                      <w:rFonts w:eastAsia="Arial Unicode MS"/>
                      <w:sz w:val="20"/>
                      <w:szCs w:val="20"/>
                    </w:rPr>
                    <w:t xml:space="preserve"> de conjoncture </w:t>
                  </w:r>
                  <w:r w:rsidR="00FC3333">
                    <w:rPr>
                      <w:rFonts w:eastAsia="Arial Unicode MS"/>
                      <w:sz w:val="20"/>
                      <w:szCs w:val="20"/>
                    </w:rPr>
                    <w:t xml:space="preserve">trimestrielles </w:t>
                  </w:r>
                  <w:r w:rsidR="005E2D5D">
                    <w:rPr>
                      <w:rFonts w:eastAsia="Arial Unicode MS"/>
                      <w:sz w:val="20"/>
                      <w:szCs w:val="20"/>
                    </w:rPr>
                    <w:t>auprès d</w:t>
                  </w:r>
                  <w:r w:rsidR="00FC3333">
                    <w:rPr>
                      <w:rFonts w:eastAsia="Arial Unicode MS"/>
                      <w:sz w:val="20"/>
                      <w:szCs w:val="20"/>
                    </w:rPr>
                    <w:t xml:space="preserve">es </w:t>
                  </w:r>
                  <w:r w:rsidR="005E2D5D">
                    <w:rPr>
                      <w:rFonts w:eastAsia="Arial Unicode MS"/>
                      <w:sz w:val="20"/>
                      <w:szCs w:val="20"/>
                    </w:rPr>
                    <w:t>secteur</w:t>
                  </w:r>
                  <w:r w:rsidR="00FC3333">
                    <w:rPr>
                      <w:rFonts w:eastAsia="Arial Unicode MS"/>
                      <w:sz w:val="20"/>
                      <w:szCs w:val="20"/>
                    </w:rPr>
                    <w:t>s</w:t>
                  </w:r>
                  <w:r w:rsidR="005E2D5D">
                    <w:rPr>
                      <w:rFonts w:eastAsia="Arial Unicode MS"/>
                      <w:sz w:val="20"/>
                      <w:szCs w:val="20"/>
                    </w:rPr>
                    <w:t xml:space="preserve"> des </w:t>
                  </w:r>
                  <w:r w:rsidR="00E762E4">
                    <w:rPr>
                      <w:rFonts w:eastAsia="Arial Unicode MS"/>
                      <w:sz w:val="20"/>
                      <w:szCs w:val="20"/>
                    </w:rPr>
                    <w:t>S</w:t>
                  </w:r>
                  <w:r w:rsidR="005E2D5D">
                    <w:rPr>
                      <w:rFonts w:eastAsia="Arial Unicode MS"/>
                      <w:sz w:val="20"/>
                      <w:szCs w:val="20"/>
                    </w:rPr>
                    <w:t xml:space="preserve">ervices </w:t>
                  </w:r>
                  <w:r w:rsidR="00E762E4">
                    <w:rPr>
                      <w:rFonts w:eastAsia="Arial Unicode MS"/>
                      <w:sz w:val="20"/>
                      <w:szCs w:val="20"/>
                    </w:rPr>
                    <w:t xml:space="preserve">marchands non financiers </w:t>
                  </w:r>
                  <w:r w:rsidR="00FC3333">
                    <w:rPr>
                      <w:rFonts w:eastAsia="Arial Unicode MS"/>
                      <w:sz w:val="20"/>
                      <w:szCs w:val="20"/>
                    </w:rPr>
                    <w:t xml:space="preserve">et du </w:t>
                  </w:r>
                  <w:r w:rsidR="00E762E4">
                    <w:rPr>
                      <w:rFonts w:eastAsia="Arial Unicode MS"/>
                      <w:sz w:val="20"/>
                      <w:szCs w:val="20"/>
                    </w:rPr>
                    <w:t>C</w:t>
                  </w:r>
                  <w:r w:rsidR="00FC3333">
                    <w:rPr>
                      <w:rFonts w:eastAsia="Arial Unicode MS"/>
                      <w:sz w:val="20"/>
                      <w:szCs w:val="20"/>
                    </w:rPr>
                    <w:t xml:space="preserve">ommerce de gros </w:t>
                  </w:r>
                  <w:r w:rsidR="005E2D5D" w:rsidRPr="0083789F">
                    <w:rPr>
                      <w:rFonts w:eastAsia="Arial Unicode MS"/>
                      <w:sz w:val="20"/>
                      <w:szCs w:val="20"/>
                    </w:rPr>
                    <w:t>couvr</w:t>
                  </w:r>
                  <w:r w:rsidR="005E2D5D">
                    <w:rPr>
                      <w:rFonts w:eastAsia="Arial Unicode MS"/>
                      <w:sz w:val="20"/>
                      <w:szCs w:val="20"/>
                    </w:rPr>
                    <w:t>e</w:t>
                  </w:r>
                  <w:r w:rsidR="00FC3333">
                    <w:rPr>
                      <w:rFonts w:eastAsia="Arial Unicode MS"/>
                      <w:sz w:val="20"/>
                      <w:szCs w:val="20"/>
                    </w:rPr>
                    <w:t>nt</w:t>
                  </w:r>
                  <w:r w:rsidR="005E2D5D">
                    <w:rPr>
                      <w:rFonts w:eastAsia="Arial Unicode MS"/>
                      <w:sz w:val="20"/>
                      <w:szCs w:val="20"/>
                    </w:rPr>
                    <w:t xml:space="preserve"> </w:t>
                  </w:r>
                  <w:r w:rsidR="005E2D5D" w:rsidRPr="0083789F">
                    <w:rPr>
                      <w:rFonts w:eastAsia="Arial Unicode MS"/>
                      <w:sz w:val="20"/>
                      <w:szCs w:val="20"/>
                    </w:rPr>
                    <w:t xml:space="preserve">tout le territoire national et </w:t>
                  </w:r>
                  <w:r w:rsidR="005E2D5D">
                    <w:rPr>
                      <w:rFonts w:eastAsia="Arial Unicode MS"/>
                      <w:sz w:val="20"/>
                      <w:szCs w:val="20"/>
                    </w:rPr>
                    <w:t>cible</w:t>
                  </w:r>
                  <w:r w:rsidR="00FC3333">
                    <w:rPr>
                      <w:rFonts w:eastAsia="Arial Unicode MS"/>
                      <w:sz w:val="20"/>
                      <w:szCs w:val="20"/>
                    </w:rPr>
                    <w:t xml:space="preserve">nt respectivement </w:t>
                  </w:r>
                  <w:r w:rsidR="00901A7C">
                    <w:rPr>
                      <w:rFonts w:eastAsia="Arial Unicode MS"/>
                      <w:sz w:val="20"/>
                      <w:szCs w:val="20"/>
                    </w:rPr>
                    <w:t xml:space="preserve">un échantillon représentatif d’environ </w:t>
                  </w:r>
                  <w:r w:rsidR="005E2D5D">
                    <w:rPr>
                      <w:rFonts w:eastAsia="Arial Unicode MS"/>
                      <w:sz w:val="20"/>
                      <w:szCs w:val="20"/>
                    </w:rPr>
                    <w:t xml:space="preserve">600 </w:t>
                  </w:r>
                  <w:r w:rsidR="00FC3333">
                    <w:rPr>
                      <w:rFonts w:eastAsia="Arial Unicode MS"/>
                      <w:sz w:val="20"/>
                      <w:szCs w:val="20"/>
                    </w:rPr>
                    <w:t xml:space="preserve">et 450 </w:t>
                  </w:r>
                  <w:r w:rsidR="005E2D5D" w:rsidRPr="0083789F">
                    <w:rPr>
                      <w:rFonts w:eastAsia="Arial Unicode MS"/>
                      <w:sz w:val="20"/>
                      <w:szCs w:val="20"/>
                    </w:rPr>
                    <w:t>entreprises organisées</w:t>
                  </w:r>
                  <w:r w:rsidR="00901A7C">
                    <w:rPr>
                      <w:rFonts w:eastAsia="Arial Unicode MS"/>
                      <w:sz w:val="20"/>
                      <w:szCs w:val="20"/>
                    </w:rPr>
                    <w:t>.</w:t>
                  </w:r>
                  <w:r w:rsidR="005E2D5D">
                    <w:rPr>
                      <w:rFonts w:eastAsia="Arial Unicode MS"/>
                      <w:sz w:val="20"/>
                      <w:szCs w:val="20"/>
                    </w:rPr>
                    <w:t xml:space="preserve"> </w:t>
                  </w:r>
                  <w:r w:rsidR="005E2D5D" w:rsidRPr="0083789F">
                    <w:rPr>
                      <w:rFonts w:eastAsia="Arial Unicode MS"/>
                      <w:sz w:val="20"/>
                      <w:szCs w:val="20"/>
                    </w:rPr>
                    <w:t xml:space="preserve"> </w:t>
                  </w:r>
                </w:p>
              </w:txbxContent>
            </v:textbox>
          </v:shape>
        </w:pict>
      </w:r>
    </w:p>
    <w:p w:rsidR="00370FB9" w:rsidRDefault="00370FB9" w:rsidP="00370FB9">
      <w:pPr>
        <w:spacing w:after="240"/>
        <w:jc w:val="both"/>
        <w:rPr>
          <w:color w:val="000000"/>
        </w:rPr>
      </w:pPr>
    </w:p>
    <w:p w:rsidR="00370FB9" w:rsidRDefault="00370FB9" w:rsidP="00370FB9">
      <w:pPr>
        <w:spacing w:after="240"/>
        <w:jc w:val="both"/>
        <w:rPr>
          <w:color w:val="000000"/>
        </w:rPr>
      </w:pPr>
    </w:p>
    <w:p w:rsidR="00370FB9" w:rsidRDefault="00370FB9" w:rsidP="00370FB9">
      <w:pPr>
        <w:spacing w:after="240"/>
        <w:jc w:val="center"/>
        <w:rPr>
          <w:color w:val="000000"/>
        </w:rPr>
      </w:pPr>
    </w:p>
    <w:p w:rsidR="00370FB9" w:rsidRPr="00370FB9" w:rsidRDefault="00370FB9" w:rsidP="00370FB9">
      <w:pPr>
        <w:spacing w:after="240"/>
        <w:jc w:val="both"/>
        <w:rPr>
          <w:rFonts w:ascii="Trebuchet MS" w:eastAsia="Arial Unicode MS" w:hAnsi="Trebuchet MS"/>
          <w:b/>
          <w:bCs/>
          <w:color w:val="660033"/>
          <w:sz w:val="26"/>
          <w:szCs w:val="26"/>
        </w:rPr>
      </w:pPr>
    </w:p>
    <w:p w:rsidR="00370FB9" w:rsidRDefault="00370FB9" w:rsidP="00555968">
      <w:pPr>
        <w:spacing w:after="200" w:line="276" w:lineRule="auto"/>
        <w:jc w:val="both"/>
        <w:rPr>
          <w:rFonts w:eastAsia="Arial Unicode MS"/>
        </w:rPr>
      </w:pPr>
    </w:p>
    <w:p w:rsidR="00002D0B" w:rsidRDefault="00002D0B">
      <w:pPr>
        <w:spacing w:after="200" w:line="276" w:lineRule="auto"/>
        <w:jc w:val="both"/>
        <w:rPr>
          <w:rFonts w:eastAsia="Arial Unicode MS"/>
        </w:rPr>
      </w:pPr>
    </w:p>
    <w:sectPr w:rsidR="00002D0B" w:rsidSect="00D42230">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EA9" w:rsidRDefault="00954EA9">
      <w:r>
        <w:separator/>
      </w:r>
    </w:p>
  </w:endnote>
  <w:endnote w:type="continuationSeparator" w:id="0">
    <w:p w:rsidR="00954EA9" w:rsidRDefault="00954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FD" w:rsidRDefault="00A05E42">
    <w:pPr>
      <w:pStyle w:val="Pieddepage"/>
      <w:jc w:val="center"/>
    </w:pPr>
    <w:r>
      <w:fldChar w:fldCharType="begin"/>
    </w:r>
    <w:r w:rsidR="00C23B5E">
      <w:instrText xml:space="preserve"> PAGE   \* MERGEFORMAT </w:instrText>
    </w:r>
    <w:r>
      <w:fldChar w:fldCharType="separate"/>
    </w:r>
    <w:r w:rsidR="00954EA9">
      <w:rPr>
        <w:noProof/>
      </w:rPr>
      <w:t>1</w:t>
    </w:r>
    <w:r>
      <w:rPr>
        <w:noProof/>
      </w:rPr>
      <w:fldChar w:fldCharType="end"/>
    </w:r>
    <w:r w:rsidR="00AD53FD">
      <w:t>/3</w:t>
    </w:r>
  </w:p>
  <w:p w:rsidR="00AD53FD" w:rsidRDefault="00AD53F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FD" w:rsidRDefault="00A05E42">
    <w:pPr>
      <w:pStyle w:val="Pieddepage"/>
      <w:jc w:val="center"/>
    </w:pPr>
    <w:r>
      <w:fldChar w:fldCharType="begin"/>
    </w:r>
    <w:r w:rsidR="00C23B5E">
      <w:instrText xml:space="preserve"> PAGE   \* MERGEFORMAT </w:instrText>
    </w:r>
    <w:r>
      <w:fldChar w:fldCharType="separate"/>
    </w:r>
    <w:r w:rsidR="00ED1E7B">
      <w:rPr>
        <w:noProof/>
      </w:rPr>
      <w:t>1</w:t>
    </w:r>
    <w:r>
      <w:rPr>
        <w:noProof/>
      </w:rPr>
      <w:fldChar w:fldCharType="end"/>
    </w:r>
  </w:p>
  <w:p w:rsidR="00AD53FD" w:rsidRDefault="00AD53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EA9" w:rsidRDefault="00954EA9">
      <w:r>
        <w:separator/>
      </w:r>
    </w:p>
  </w:footnote>
  <w:footnote w:type="continuationSeparator" w:id="0">
    <w:p w:rsidR="00954EA9" w:rsidRDefault="00954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164"/>
      </v:shape>
    </w:pict>
  </w:numPicBullet>
  <w:abstractNum w:abstractNumId="0">
    <w:nsid w:val="0D826D30"/>
    <w:multiLevelType w:val="hybridMultilevel"/>
    <w:tmpl w:val="75D62D98"/>
    <w:lvl w:ilvl="0" w:tplc="64B289A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F6636"/>
    <w:multiLevelType w:val="hybridMultilevel"/>
    <w:tmpl w:val="2BACCC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5">
    <w:nsid w:val="36AB6D70"/>
    <w:multiLevelType w:val="hybridMultilevel"/>
    <w:tmpl w:val="680C23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9E7929"/>
    <w:multiLevelType w:val="hybridMultilevel"/>
    <w:tmpl w:val="F68AA54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EB060C"/>
    <w:multiLevelType w:val="hybridMultilevel"/>
    <w:tmpl w:val="4C1ADF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9">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B70CC0"/>
    <w:multiLevelType w:val="hybridMultilevel"/>
    <w:tmpl w:val="B980DA5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58BE3432"/>
    <w:multiLevelType w:val="multilevel"/>
    <w:tmpl w:val="D4D6B20A"/>
    <w:lvl w:ilvl="0">
      <w:start w:val="1"/>
      <w:numFmt w:val="decimal"/>
      <w:lvlText w:val="%1."/>
      <w:lvlJc w:val="left"/>
      <w:pPr>
        <w:ind w:left="360" w:hanging="360"/>
      </w:pPr>
    </w:lvl>
    <w:lvl w:ilvl="1">
      <w:start w:val="1"/>
      <w:numFmt w:val="decimal"/>
      <w:isLgl/>
      <w:lvlText w:val="%1.%2."/>
      <w:lvlJc w:val="left"/>
      <w:pPr>
        <w:ind w:left="720" w:hanging="720"/>
      </w:pPr>
      <w:rPr>
        <w:rFonts w:hint="default"/>
        <w:sz w:val="28"/>
      </w:rPr>
    </w:lvl>
    <w:lvl w:ilvl="2">
      <w:start w:val="1"/>
      <w:numFmt w:val="decimal"/>
      <w:isLgl/>
      <w:lvlText w:val="%1.%2.%3."/>
      <w:lvlJc w:val="left"/>
      <w:pPr>
        <w:ind w:left="1440" w:hanging="1080"/>
      </w:pPr>
      <w:rPr>
        <w:rFonts w:hint="default"/>
        <w:sz w:val="28"/>
      </w:rPr>
    </w:lvl>
    <w:lvl w:ilvl="3">
      <w:start w:val="1"/>
      <w:numFmt w:val="decimal"/>
      <w:isLgl/>
      <w:lvlText w:val="%1.%2.%3.%4."/>
      <w:lvlJc w:val="left"/>
      <w:pPr>
        <w:ind w:left="1800" w:hanging="1440"/>
      </w:pPr>
      <w:rPr>
        <w:rFonts w:hint="default"/>
        <w:sz w:val="28"/>
      </w:rPr>
    </w:lvl>
    <w:lvl w:ilvl="4">
      <w:start w:val="1"/>
      <w:numFmt w:val="decimal"/>
      <w:isLgl/>
      <w:lvlText w:val="%1.%2.%3.%4.%5."/>
      <w:lvlJc w:val="left"/>
      <w:pPr>
        <w:ind w:left="2160" w:hanging="1800"/>
      </w:pPr>
      <w:rPr>
        <w:rFonts w:hint="default"/>
        <w:sz w:val="28"/>
      </w:rPr>
    </w:lvl>
    <w:lvl w:ilvl="5">
      <w:start w:val="1"/>
      <w:numFmt w:val="decimal"/>
      <w:isLgl/>
      <w:lvlText w:val="%1.%2.%3.%4.%5.%6."/>
      <w:lvlJc w:val="left"/>
      <w:pPr>
        <w:ind w:left="2520" w:hanging="2160"/>
      </w:pPr>
      <w:rPr>
        <w:rFonts w:hint="default"/>
        <w:sz w:val="28"/>
      </w:rPr>
    </w:lvl>
    <w:lvl w:ilvl="6">
      <w:start w:val="1"/>
      <w:numFmt w:val="decimal"/>
      <w:isLgl/>
      <w:lvlText w:val="%1.%2.%3.%4.%5.%6.%7."/>
      <w:lvlJc w:val="left"/>
      <w:pPr>
        <w:ind w:left="2520" w:hanging="2160"/>
      </w:pPr>
      <w:rPr>
        <w:rFonts w:hint="default"/>
        <w:sz w:val="28"/>
      </w:rPr>
    </w:lvl>
    <w:lvl w:ilvl="7">
      <w:start w:val="1"/>
      <w:numFmt w:val="decimal"/>
      <w:isLgl/>
      <w:lvlText w:val="%1.%2.%3.%4.%5.%6.%7.%8."/>
      <w:lvlJc w:val="left"/>
      <w:pPr>
        <w:ind w:left="2880" w:hanging="2520"/>
      </w:pPr>
      <w:rPr>
        <w:rFonts w:hint="default"/>
        <w:sz w:val="28"/>
      </w:rPr>
    </w:lvl>
    <w:lvl w:ilvl="8">
      <w:start w:val="1"/>
      <w:numFmt w:val="decimal"/>
      <w:isLgl/>
      <w:lvlText w:val="%1.%2.%3.%4.%5.%6.%7.%8.%9."/>
      <w:lvlJc w:val="left"/>
      <w:pPr>
        <w:ind w:left="3240" w:hanging="2880"/>
      </w:pPr>
      <w:rPr>
        <w:rFonts w:hint="default"/>
        <w:sz w:val="28"/>
      </w:rPr>
    </w:lvl>
  </w:abstractNum>
  <w:abstractNum w:abstractNumId="12">
    <w:nsid w:val="6785373F"/>
    <w:multiLevelType w:val="hybridMultilevel"/>
    <w:tmpl w:val="7B68C818"/>
    <w:lvl w:ilvl="0" w:tplc="BF2696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2"/>
  </w:num>
  <w:num w:numId="5">
    <w:abstractNumId w:val="14"/>
  </w:num>
  <w:num w:numId="6">
    <w:abstractNumId w:val="8"/>
  </w:num>
  <w:num w:numId="7">
    <w:abstractNumId w:val="4"/>
  </w:num>
  <w:num w:numId="8">
    <w:abstractNumId w:val="7"/>
  </w:num>
  <w:num w:numId="9">
    <w:abstractNumId w:val="15"/>
  </w:num>
  <w:num w:numId="10">
    <w:abstractNumId w:val="9"/>
  </w:num>
  <w:num w:numId="11">
    <w:abstractNumId w:val="3"/>
  </w:num>
  <w:num w:numId="12">
    <w:abstractNumId w:val="6"/>
  </w:num>
  <w:num w:numId="13">
    <w:abstractNumId w:val="12"/>
  </w:num>
  <w:num w:numId="14">
    <w:abstractNumId w:val="10"/>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B7C79"/>
    <w:rsid w:val="00002D0B"/>
    <w:rsid w:val="00006861"/>
    <w:rsid w:val="00006DD3"/>
    <w:rsid w:val="00014315"/>
    <w:rsid w:val="00024052"/>
    <w:rsid w:val="00031605"/>
    <w:rsid w:val="0003329C"/>
    <w:rsid w:val="00040DDB"/>
    <w:rsid w:val="00053F91"/>
    <w:rsid w:val="000554EE"/>
    <w:rsid w:val="00074098"/>
    <w:rsid w:val="00075DD1"/>
    <w:rsid w:val="0007624B"/>
    <w:rsid w:val="00084B71"/>
    <w:rsid w:val="00086874"/>
    <w:rsid w:val="0008767C"/>
    <w:rsid w:val="000B2A3E"/>
    <w:rsid w:val="000B5B84"/>
    <w:rsid w:val="000B6C46"/>
    <w:rsid w:val="000D4A9A"/>
    <w:rsid w:val="000E1335"/>
    <w:rsid w:val="000E5893"/>
    <w:rsid w:val="000E76B0"/>
    <w:rsid w:val="000F6813"/>
    <w:rsid w:val="00100AF5"/>
    <w:rsid w:val="0010285F"/>
    <w:rsid w:val="00123B0E"/>
    <w:rsid w:val="001245E1"/>
    <w:rsid w:val="001308D6"/>
    <w:rsid w:val="00131EDC"/>
    <w:rsid w:val="00135176"/>
    <w:rsid w:val="00137652"/>
    <w:rsid w:val="0014114C"/>
    <w:rsid w:val="00144168"/>
    <w:rsid w:val="00157A43"/>
    <w:rsid w:val="00164075"/>
    <w:rsid w:val="001724B1"/>
    <w:rsid w:val="00186F4B"/>
    <w:rsid w:val="00191857"/>
    <w:rsid w:val="00193033"/>
    <w:rsid w:val="001A1553"/>
    <w:rsid w:val="001A2AA6"/>
    <w:rsid w:val="001B0372"/>
    <w:rsid w:val="001B3EBA"/>
    <w:rsid w:val="001B5764"/>
    <w:rsid w:val="001C3920"/>
    <w:rsid w:val="001D6519"/>
    <w:rsid w:val="001D69A9"/>
    <w:rsid w:val="001F2033"/>
    <w:rsid w:val="001F6BEB"/>
    <w:rsid w:val="00203FD6"/>
    <w:rsid w:val="00206659"/>
    <w:rsid w:val="00215236"/>
    <w:rsid w:val="002164FB"/>
    <w:rsid w:val="0022299E"/>
    <w:rsid w:val="00233459"/>
    <w:rsid w:val="00236B5B"/>
    <w:rsid w:val="00256291"/>
    <w:rsid w:val="00257C74"/>
    <w:rsid w:val="00265A87"/>
    <w:rsid w:val="002668FE"/>
    <w:rsid w:val="002669D5"/>
    <w:rsid w:val="00286F23"/>
    <w:rsid w:val="002A4E2F"/>
    <w:rsid w:val="002A7221"/>
    <w:rsid w:val="002D38C3"/>
    <w:rsid w:val="002D3BD2"/>
    <w:rsid w:val="002D51E1"/>
    <w:rsid w:val="002E1737"/>
    <w:rsid w:val="002E750F"/>
    <w:rsid w:val="002F5C54"/>
    <w:rsid w:val="003027A9"/>
    <w:rsid w:val="00302E80"/>
    <w:rsid w:val="00305B12"/>
    <w:rsid w:val="0030605C"/>
    <w:rsid w:val="00307146"/>
    <w:rsid w:val="003121A0"/>
    <w:rsid w:val="00313123"/>
    <w:rsid w:val="00314191"/>
    <w:rsid w:val="003378C6"/>
    <w:rsid w:val="00351D4C"/>
    <w:rsid w:val="00365978"/>
    <w:rsid w:val="00370FB9"/>
    <w:rsid w:val="0039671A"/>
    <w:rsid w:val="003A2CE4"/>
    <w:rsid w:val="003B5F82"/>
    <w:rsid w:val="003B7C9A"/>
    <w:rsid w:val="003C1B70"/>
    <w:rsid w:val="003D0B92"/>
    <w:rsid w:val="003D68CD"/>
    <w:rsid w:val="003E208A"/>
    <w:rsid w:val="003E4FE1"/>
    <w:rsid w:val="003E7BF7"/>
    <w:rsid w:val="003F28EA"/>
    <w:rsid w:val="003F7BFE"/>
    <w:rsid w:val="004249F6"/>
    <w:rsid w:val="00431972"/>
    <w:rsid w:val="00434088"/>
    <w:rsid w:val="00435B96"/>
    <w:rsid w:val="00436AE5"/>
    <w:rsid w:val="0044331A"/>
    <w:rsid w:val="00446DB7"/>
    <w:rsid w:val="00456E49"/>
    <w:rsid w:val="00470F06"/>
    <w:rsid w:val="00480B1C"/>
    <w:rsid w:val="0048212D"/>
    <w:rsid w:val="00484898"/>
    <w:rsid w:val="00484E8D"/>
    <w:rsid w:val="004915DF"/>
    <w:rsid w:val="00491F4E"/>
    <w:rsid w:val="004A2AD5"/>
    <w:rsid w:val="004A35B2"/>
    <w:rsid w:val="004A7EF1"/>
    <w:rsid w:val="004B411A"/>
    <w:rsid w:val="004C7838"/>
    <w:rsid w:val="004D4CBB"/>
    <w:rsid w:val="004E20CC"/>
    <w:rsid w:val="004F3556"/>
    <w:rsid w:val="00502528"/>
    <w:rsid w:val="00513024"/>
    <w:rsid w:val="00514D14"/>
    <w:rsid w:val="00530796"/>
    <w:rsid w:val="005337B6"/>
    <w:rsid w:val="00537897"/>
    <w:rsid w:val="00541C46"/>
    <w:rsid w:val="00544B7F"/>
    <w:rsid w:val="00555968"/>
    <w:rsid w:val="00557213"/>
    <w:rsid w:val="00577644"/>
    <w:rsid w:val="00581492"/>
    <w:rsid w:val="00583A84"/>
    <w:rsid w:val="005850FD"/>
    <w:rsid w:val="0059090F"/>
    <w:rsid w:val="00592F7D"/>
    <w:rsid w:val="00594250"/>
    <w:rsid w:val="00594D60"/>
    <w:rsid w:val="00596EA4"/>
    <w:rsid w:val="005A0189"/>
    <w:rsid w:val="005A3690"/>
    <w:rsid w:val="005B48EA"/>
    <w:rsid w:val="005B5B99"/>
    <w:rsid w:val="005C1C71"/>
    <w:rsid w:val="005C3B99"/>
    <w:rsid w:val="005D0DC1"/>
    <w:rsid w:val="005E2460"/>
    <w:rsid w:val="005E2D5D"/>
    <w:rsid w:val="00600F6D"/>
    <w:rsid w:val="00602C7C"/>
    <w:rsid w:val="006056E5"/>
    <w:rsid w:val="00612B0E"/>
    <w:rsid w:val="00630E13"/>
    <w:rsid w:val="006420C4"/>
    <w:rsid w:val="006451A0"/>
    <w:rsid w:val="00652D75"/>
    <w:rsid w:val="00653F59"/>
    <w:rsid w:val="00667ECC"/>
    <w:rsid w:val="006707C0"/>
    <w:rsid w:val="00676B69"/>
    <w:rsid w:val="00684DA3"/>
    <w:rsid w:val="00690102"/>
    <w:rsid w:val="00695538"/>
    <w:rsid w:val="00695704"/>
    <w:rsid w:val="006A5545"/>
    <w:rsid w:val="006B36B6"/>
    <w:rsid w:val="006B7FC0"/>
    <w:rsid w:val="006D08D3"/>
    <w:rsid w:val="006E5679"/>
    <w:rsid w:val="006F499A"/>
    <w:rsid w:val="00703A7A"/>
    <w:rsid w:val="00704699"/>
    <w:rsid w:val="00716000"/>
    <w:rsid w:val="00720AA5"/>
    <w:rsid w:val="00722358"/>
    <w:rsid w:val="007320F2"/>
    <w:rsid w:val="00733C13"/>
    <w:rsid w:val="00737135"/>
    <w:rsid w:val="007372B1"/>
    <w:rsid w:val="00744367"/>
    <w:rsid w:val="0075402B"/>
    <w:rsid w:val="0076370A"/>
    <w:rsid w:val="00777927"/>
    <w:rsid w:val="0078046F"/>
    <w:rsid w:val="00790B01"/>
    <w:rsid w:val="007B3FA3"/>
    <w:rsid w:val="007C305A"/>
    <w:rsid w:val="007D09FF"/>
    <w:rsid w:val="007D2263"/>
    <w:rsid w:val="007D442B"/>
    <w:rsid w:val="007E0F34"/>
    <w:rsid w:val="007E1420"/>
    <w:rsid w:val="007E71EE"/>
    <w:rsid w:val="007F0825"/>
    <w:rsid w:val="007F4784"/>
    <w:rsid w:val="007F4BA9"/>
    <w:rsid w:val="00801153"/>
    <w:rsid w:val="00804FEE"/>
    <w:rsid w:val="00845DD1"/>
    <w:rsid w:val="008516D2"/>
    <w:rsid w:val="00851A2C"/>
    <w:rsid w:val="0086177A"/>
    <w:rsid w:val="00866410"/>
    <w:rsid w:val="00871F9A"/>
    <w:rsid w:val="008758DE"/>
    <w:rsid w:val="00881864"/>
    <w:rsid w:val="00893F31"/>
    <w:rsid w:val="00894A15"/>
    <w:rsid w:val="008B0453"/>
    <w:rsid w:val="008B39B4"/>
    <w:rsid w:val="008B7C79"/>
    <w:rsid w:val="008C6873"/>
    <w:rsid w:val="008D3F41"/>
    <w:rsid w:val="008D767F"/>
    <w:rsid w:val="008F3532"/>
    <w:rsid w:val="00901A7C"/>
    <w:rsid w:val="009031FE"/>
    <w:rsid w:val="00906EB8"/>
    <w:rsid w:val="009102EE"/>
    <w:rsid w:val="0092724E"/>
    <w:rsid w:val="00931126"/>
    <w:rsid w:val="00946792"/>
    <w:rsid w:val="0095483F"/>
    <w:rsid w:val="00954EA9"/>
    <w:rsid w:val="00962877"/>
    <w:rsid w:val="009801E4"/>
    <w:rsid w:val="00982ADB"/>
    <w:rsid w:val="00983318"/>
    <w:rsid w:val="00986F74"/>
    <w:rsid w:val="009929AA"/>
    <w:rsid w:val="009975E3"/>
    <w:rsid w:val="009A3111"/>
    <w:rsid w:val="009A3DCF"/>
    <w:rsid w:val="009A3EBE"/>
    <w:rsid w:val="009A431C"/>
    <w:rsid w:val="009B2B2B"/>
    <w:rsid w:val="009C4073"/>
    <w:rsid w:val="009C52D4"/>
    <w:rsid w:val="009D02F2"/>
    <w:rsid w:val="009D5321"/>
    <w:rsid w:val="009D7D48"/>
    <w:rsid w:val="009E4E74"/>
    <w:rsid w:val="009F4C75"/>
    <w:rsid w:val="00A01DE9"/>
    <w:rsid w:val="00A03537"/>
    <w:rsid w:val="00A05E42"/>
    <w:rsid w:val="00A12866"/>
    <w:rsid w:val="00A13AFA"/>
    <w:rsid w:val="00A1430C"/>
    <w:rsid w:val="00A1572C"/>
    <w:rsid w:val="00A159B8"/>
    <w:rsid w:val="00A16299"/>
    <w:rsid w:val="00A354B7"/>
    <w:rsid w:val="00A36B5E"/>
    <w:rsid w:val="00A50EDA"/>
    <w:rsid w:val="00A529E0"/>
    <w:rsid w:val="00A614FE"/>
    <w:rsid w:val="00A66323"/>
    <w:rsid w:val="00A666E5"/>
    <w:rsid w:val="00A7081D"/>
    <w:rsid w:val="00A7438D"/>
    <w:rsid w:val="00A766CE"/>
    <w:rsid w:val="00A834E9"/>
    <w:rsid w:val="00A85D85"/>
    <w:rsid w:val="00AA53CC"/>
    <w:rsid w:val="00AB0858"/>
    <w:rsid w:val="00AB24B6"/>
    <w:rsid w:val="00AB5150"/>
    <w:rsid w:val="00AB635B"/>
    <w:rsid w:val="00AC3EF4"/>
    <w:rsid w:val="00AC7561"/>
    <w:rsid w:val="00AD53FD"/>
    <w:rsid w:val="00AD56E7"/>
    <w:rsid w:val="00AE4467"/>
    <w:rsid w:val="00AE4C3B"/>
    <w:rsid w:val="00AF04E7"/>
    <w:rsid w:val="00B065DA"/>
    <w:rsid w:val="00B10250"/>
    <w:rsid w:val="00B35B39"/>
    <w:rsid w:val="00B36EC4"/>
    <w:rsid w:val="00B43C5F"/>
    <w:rsid w:val="00B47A39"/>
    <w:rsid w:val="00B55AAA"/>
    <w:rsid w:val="00B607B2"/>
    <w:rsid w:val="00B63D70"/>
    <w:rsid w:val="00B6520F"/>
    <w:rsid w:val="00B70238"/>
    <w:rsid w:val="00B7412A"/>
    <w:rsid w:val="00B77653"/>
    <w:rsid w:val="00B81D2D"/>
    <w:rsid w:val="00B9066A"/>
    <w:rsid w:val="00BA2E14"/>
    <w:rsid w:val="00BB2982"/>
    <w:rsid w:val="00BC2E39"/>
    <w:rsid w:val="00BD4E34"/>
    <w:rsid w:val="00BE457A"/>
    <w:rsid w:val="00C0213E"/>
    <w:rsid w:val="00C14DCE"/>
    <w:rsid w:val="00C23B5E"/>
    <w:rsid w:val="00C26145"/>
    <w:rsid w:val="00C466D1"/>
    <w:rsid w:val="00C5491F"/>
    <w:rsid w:val="00C603C0"/>
    <w:rsid w:val="00C67995"/>
    <w:rsid w:val="00C827BD"/>
    <w:rsid w:val="00C86380"/>
    <w:rsid w:val="00C97EE5"/>
    <w:rsid w:val="00CA2006"/>
    <w:rsid w:val="00CA2232"/>
    <w:rsid w:val="00CB19A6"/>
    <w:rsid w:val="00CB3A44"/>
    <w:rsid w:val="00CD6E99"/>
    <w:rsid w:val="00CE3972"/>
    <w:rsid w:val="00CE3F2E"/>
    <w:rsid w:val="00CE5918"/>
    <w:rsid w:val="00CF3217"/>
    <w:rsid w:val="00CF5EA6"/>
    <w:rsid w:val="00CF6F9D"/>
    <w:rsid w:val="00CF785E"/>
    <w:rsid w:val="00D00354"/>
    <w:rsid w:val="00D04431"/>
    <w:rsid w:val="00D135EC"/>
    <w:rsid w:val="00D17C43"/>
    <w:rsid w:val="00D30B74"/>
    <w:rsid w:val="00D3207C"/>
    <w:rsid w:val="00D3407E"/>
    <w:rsid w:val="00D34498"/>
    <w:rsid w:val="00D407AA"/>
    <w:rsid w:val="00D42230"/>
    <w:rsid w:val="00D4334A"/>
    <w:rsid w:val="00D54458"/>
    <w:rsid w:val="00D626C6"/>
    <w:rsid w:val="00D676A7"/>
    <w:rsid w:val="00D75067"/>
    <w:rsid w:val="00D80FF6"/>
    <w:rsid w:val="00DA3F98"/>
    <w:rsid w:val="00DB0CBD"/>
    <w:rsid w:val="00DB2CCF"/>
    <w:rsid w:val="00DB4906"/>
    <w:rsid w:val="00DC0356"/>
    <w:rsid w:val="00DD1D7B"/>
    <w:rsid w:val="00DE26C3"/>
    <w:rsid w:val="00E052C6"/>
    <w:rsid w:val="00E3569D"/>
    <w:rsid w:val="00E50B24"/>
    <w:rsid w:val="00E57CE0"/>
    <w:rsid w:val="00E62E93"/>
    <w:rsid w:val="00E630BD"/>
    <w:rsid w:val="00E663F9"/>
    <w:rsid w:val="00E6770C"/>
    <w:rsid w:val="00E74E11"/>
    <w:rsid w:val="00E762E4"/>
    <w:rsid w:val="00E85383"/>
    <w:rsid w:val="00E9575F"/>
    <w:rsid w:val="00EA2E5B"/>
    <w:rsid w:val="00EA36AD"/>
    <w:rsid w:val="00EA7121"/>
    <w:rsid w:val="00EA74D5"/>
    <w:rsid w:val="00EB42FB"/>
    <w:rsid w:val="00EB537F"/>
    <w:rsid w:val="00EB5AC5"/>
    <w:rsid w:val="00EC1447"/>
    <w:rsid w:val="00ED1662"/>
    <w:rsid w:val="00ED1E7B"/>
    <w:rsid w:val="00EE1DDB"/>
    <w:rsid w:val="00EE2598"/>
    <w:rsid w:val="00EF0241"/>
    <w:rsid w:val="00EF16E4"/>
    <w:rsid w:val="00F0227C"/>
    <w:rsid w:val="00F10EDE"/>
    <w:rsid w:val="00F31D0B"/>
    <w:rsid w:val="00F37DE1"/>
    <w:rsid w:val="00F4704E"/>
    <w:rsid w:val="00F511E9"/>
    <w:rsid w:val="00F5767E"/>
    <w:rsid w:val="00F62091"/>
    <w:rsid w:val="00F75DAA"/>
    <w:rsid w:val="00F82293"/>
    <w:rsid w:val="00FC1BEE"/>
    <w:rsid w:val="00FC20C3"/>
    <w:rsid w:val="00FC2F77"/>
    <w:rsid w:val="00FC3333"/>
    <w:rsid w:val="00FC38F3"/>
    <w:rsid w:val="00FC5115"/>
    <w:rsid w:val="00FC6CB3"/>
    <w:rsid w:val="00FD0726"/>
    <w:rsid w:val="00FD079F"/>
    <w:rsid w:val="00FD2048"/>
    <w:rsid w:val="00FD6011"/>
    <w:rsid w:val="00FE18C9"/>
    <w:rsid w:val="00FE4383"/>
    <w:rsid w:val="00FF24EF"/>
    <w:rsid w:val="00FF3112"/>
    <w:rsid w:val="00FF3D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extrusion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79"/>
    <w:rPr>
      <w:sz w:val="24"/>
      <w:szCs w:val="24"/>
    </w:rPr>
  </w:style>
  <w:style w:type="paragraph" w:styleId="Titre1">
    <w:name w:val="heading 1"/>
    <w:basedOn w:val="Normal"/>
    <w:next w:val="Normal"/>
    <w:link w:val="Titre1Car"/>
    <w:qFormat/>
    <w:rsid w:val="008B7C79"/>
    <w:pPr>
      <w:keepNext/>
      <w:spacing w:after="120"/>
      <w:jc w:val="center"/>
      <w:outlineLvl w:val="0"/>
    </w:pPr>
    <w:rPr>
      <w:b/>
      <w:sz w:val="22"/>
    </w:rPr>
  </w:style>
  <w:style w:type="paragraph" w:styleId="Titre2">
    <w:name w:val="heading 2"/>
    <w:basedOn w:val="Normal"/>
    <w:next w:val="Normal"/>
    <w:link w:val="Titre2Car"/>
    <w:qFormat/>
    <w:rsid w:val="008B7C79"/>
    <w:pPr>
      <w:keepNext/>
      <w:jc w:val="both"/>
      <w:outlineLvl w:val="1"/>
    </w:pPr>
    <w:rPr>
      <w:b/>
      <w:sz w:val="22"/>
    </w:rPr>
  </w:style>
  <w:style w:type="paragraph" w:styleId="Titre3">
    <w:name w:val="heading 3"/>
    <w:basedOn w:val="Normal"/>
    <w:next w:val="Normal"/>
    <w:link w:val="Titre3Car"/>
    <w:qFormat/>
    <w:rsid w:val="008B7C79"/>
    <w:pPr>
      <w:keepNext/>
      <w:spacing w:after="120"/>
      <w:jc w:val="center"/>
      <w:outlineLvl w:val="2"/>
    </w:pPr>
    <w:rPr>
      <w:b/>
      <w:bCs/>
      <w:sz w:val="18"/>
      <w:szCs w:val="16"/>
    </w:rPr>
  </w:style>
  <w:style w:type="paragraph" w:styleId="Titre4">
    <w:name w:val="heading 4"/>
    <w:basedOn w:val="Normal"/>
    <w:next w:val="Normal"/>
    <w:link w:val="Titre4Car"/>
    <w:qFormat/>
    <w:rsid w:val="008B7C79"/>
    <w:pPr>
      <w:keepNext/>
      <w:spacing w:after="120"/>
      <w:jc w:val="center"/>
      <w:outlineLvl w:val="3"/>
    </w:pPr>
    <w:rPr>
      <w:b/>
      <w:bCs/>
      <w:sz w:val="20"/>
      <w:szCs w:val="20"/>
    </w:rPr>
  </w:style>
  <w:style w:type="paragraph" w:styleId="Titre5">
    <w:name w:val="heading 5"/>
    <w:basedOn w:val="Normal"/>
    <w:next w:val="Normal"/>
    <w:link w:val="Titre5Car"/>
    <w:qFormat/>
    <w:rsid w:val="008B7C79"/>
    <w:pPr>
      <w:keepNext/>
      <w:outlineLvl w:val="4"/>
    </w:pPr>
    <w:rPr>
      <w:b/>
      <w:bCs/>
      <w:sz w:val="16"/>
      <w:szCs w:val="16"/>
    </w:rPr>
  </w:style>
  <w:style w:type="paragraph" w:styleId="Titre6">
    <w:name w:val="heading 6"/>
    <w:basedOn w:val="Normal"/>
    <w:next w:val="Normal"/>
    <w:link w:val="Titre6Car"/>
    <w:qFormat/>
    <w:rsid w:val="008B7C79"/>
    <w:pPr>
      <w:keepNext/>
      <w:outlineLvl w:val="5"/>
    </w:pPr>
    <w:rPr>
      <w:b/>
      <w:bCs/>
      <w:sz w:val="20"/>
      <w:szCs w:val="20"/>
    </w:rPr>
  </w:style>
  <w:style w:type="paragraph" w:styleId="Titre7">
    <w:name w:val="heading 7"/>
    <w:basedOn w:val="Normal"/>
    <w:next w:val="Normal"/>
    <w:link w:val="Titre7Car"/>
    <w:qFormat/>
    <w:rsid w:val="008B7C79"/>
    <w:pPr>
      <w:keepNext/>
      <w:jc w:val="both"/>
      <w:outlineLvl w:val="6"/>
    </w:pPr>
    <w:rPr>
      <w:b/>
      <w:bCs/>
      <w:szCs w:val="28"/>
    </w:rPr>
  </w:style>
  <w:style w:type="paragraph" w:styleId="Titre8">
    <w:name w:val="heading 8"/>
    <w:basedOn w:val="Normal"/>
    <w:next w:val="Normal"/>
    <w:link w:val="Titre8Car"/>
    <w:qFormat/>
    <w:rsid w:val="008B7C79"/>
    <w:pPr>
      <w:keepNext/>
      <w:outlineLvl w:val="7"/>
    </w:pPr>
    <w:rPr>
      <w:b/>
      <w:bCs/>
      <w:sz w:val="18"/>
      <w:szCs w:val="18"/>
      <w:lang w:val="en-GB"/>
    </w:rPr>
  </w:style>
  <w:style w:type="paragraph" w:styleId="Titre9">
    <w:name w:val="heading 9"/>
    <w:basedOn w:val="Normal"/>
    <w:next w:val="Normal"/>
    <w:link w:val="Titre9Car"/>
    <w:qFormat/>
    <w:rsid w:val="008B7C79"/>
    <w:pPr>
      <w:keepNext/>
      <w:jc w:val="center"/>
      <w:outlineLvl w:val="8"/>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B7C79"/>
    <w:rPr>
      <w:b/>
      <w:sz w:val="22"/>
      <w:szCs w:val="24"/>
      <w:lang w:val="fr-FR" w:eastAsia="fr-FR" w:bidi="ar-SA"/>
    </w:rPr>
  </w:style>
  <w:style w:type="character" w:customStyle="1" w:styleId="Titre2Car">
    <w:name w:val="Titre 2 Car"/>
    <w:basedOn w:val="Policepardfaut"/>
    <w:link w:val="Titre2"/>
    <w:semiHidden/>
    <w:rsid w:val="008B7C79"/>
    <w:rPr>
      <w:b/>
      <w:sz w:val="22"/>
      <w:szCs w:val="24"/>
      <w:lang w:val="fr-FR" w:eastAsia="fr-FR" w:bidi="ar-SA"/>
    </w:rPr>
  </w:style>
  <w:style w:type="character" w:customStyle="1" w:styleId="Titre3Car">
    <w:name w:val="Titre 3 Car"/>
    <w:basedOn w:val="Policepardfaut"/>
    <w:link w:val="Titre3"/>
    <w:semiHidden/>
    <w:rsid w:val="008B7C79"/>
    <w:rPr>
      <w:b/>
      <w:bCs/>
      <w:sz w:val="18"/>
      <w:szCs w:val="16"/>
      <w:lang w:val="fr-FR" w:eastAsia="fr-FR" w:bidi="ar-SA"/>
    </w:rPr>
  </w:style>
  <w:style w:type="character" w:customStyle="1" w:styleId="Titre4Car">
    <w:name w:val="Titre 4 Car"/>
    <w:basedOn w:val="Policepardfaut"/>
    <w:link w:val="Titre4"/>
    <w:semiHidden/>
    <w:locked/>
    <w:rsid w:val="008B7C79"/>
    <w:rPr>
      <w:b/>
      <w:bCs/>
      <w:lang w:val="fr-FR" w:eastAsia="fr-FR" w:bidi="ar-SA"/>
    </w:rPr>
  </w:style>
  <w:style w:type="character" w:customStyle="1" w:styleId="Titre5Car">
    <w:name w:val="Titre 5 Car"/>
    <w:basedOn w:val="Policepardfaut"/>
    <w:link w:val="Titre5"/>
    <w:semiHidden/>
    <w:locked/>
    <w:rsid w:val="008B7C79"/>
    <w:rPr>
      <w:b/>
      <w:bCs/>
      <w:sz w:val="16"/>
      <w:szCs w:val="16"/>
      <w:lang w:val="fr-FR" w:eastAsia="fr-FR" w:bidi="ar-SA"/>
    </w:rPr>
  </w:style>
  <w:style w:type="character" w:customStyle="1" w:styleId="Titre6Car">
    <w:name w:val="Titre 6 Car"/>
    <w:basedOn w:val="Policepardfaut"/>
    <w:link w:val="Titre6"/>
    <w:semiHidden/>
    <w:locked/>
    <w:rsid w:val="008B7C79"/>
    <w:rPr>
      <w:b/>
      <w:bCs/>
      <w:lang w:val="fr-FR" w:eastAsia="fr-FR" w:bidi="ar-SA"/>
    </w:rPr>
  </w:style>
  <w:style w:type="character" w:customStyle="1" w:styleId="Titre7Car">
    <w:name w:val="Titre 7 Car"/>
    <w:basedOn w:val="Policepardfaut"/>
    <w:link w:val="Titre7"/>
    <w:semiHidden/>
    <w:locked/>
    <w:rsid w:val="008B7C79"/>
    <w:rPr>
      <w:b/>
      <w:bCs/>
      <w:sz w:val="24"/>
      <w:szCs w:val="28"/>
      <w:lang w:val="fr-FR" w:eastAsia="fr-FR" w:bidi="ar-SA"/>
    </w:rPr>
  </w:style>
  <w:style w:type="character" w:customStyle="1" w:styleId="Titre8Car">
    <w:name w:val="Titre 8 Car"/>
    <w:basedOn w:val="Policepardfaut"/>
    <w:link w:val="Titre8"/>
    <w:semiHidden/>
    <w:locked/>
    <w:rsid w:val="008B7C79"/>
    <w:rPr>
      <w:b/>
      <w:bCs/>
      <w:sz w:val="18"/>
      <w:szCs w:val="18"/>
      <w:lang w:val="en-GB" w:eastAsia="fr-FR" w:bidi="ar-SA"/>
    </w:rPr>
  </w:style>
  <w:style w:type="character" w:customStyle="1" w:styleId="Titre9Car">
    <w:name w:val="Titre 9 Car"/>
    <w:basedOn w:val="Policepardfaut"/>
    <w:link w:val="Titre9"/>
    <w:semiHidden/>
    <w:locked/>
    <w:rsid w:val="008B7C79"/>
    <w:rPr>
      <w:b/>
      <w:bCs/>
      <w:sz w:val="16"/>
      <w:szCs w:val="16"/>
      <w:lang w:val="fr-FR" w:eastAsia="fr-FR" w:bidi="ar-SA"/>
    </w:rPr>
  </w:style>
  <w:style w:type="paragraph" w:styleId="NormalWeb">
    <w:name w:val="Normal (Web)"/>
    <w:basedOn w:val="Normal"/>
    <w:rsid w:val="008B7C79"/>
    <w:pPr>
      <w:spacing w:before="100" w:beforeAutospacing="1" w:after="100" w:afterAutospacing="1"/>
    </w:pPr>
  </w:style>
  <w:style w:type="paragraph" w:styleId="Corpsdetexte">
    <w:name w:val="Body Text"/>
    <w:basedOn w:val="Normal"/>
    <w:link w:val="CorpsdetexteCar"/>
    <w:rsid w:val="008B7C79"/>
    <w:pPr>
      <w:jc w:val="both"/>
    </w:pPr>
  </w:style>
  <w:style w:type="character" w:customStyle="1" w:styleId="CorpsdetexteCar">
    <w:name w:val="Corps de texte Car"/>
    <w:basedOn w:val="Policepardfaut"/>
    <w:link w:val="Corpsdetexte"/>
    <w:semiHidden/>
    <w:rsid w:val="008B7C79"/>
    <w:rPr>
      <w:sz w:val="24"/>
      <w:szCs w:val="24"/>
      <w:lang w:val="fr-FR" w:eastAsia="fr-FR" w:bidi="ar-SA"/>
    </w:rPr>
  </w:style>
  <w:style w:type="character" w:styleId="Numrodepage">
    <w:name w:val="page number"/>
    <w:basedOn w:val="Policepardfaut"/>
    <w:rsid w:val="008B7C79"/>
  </w:style>
  <w:style w:type="paragraph" w:styleId="Pieddepage">
    <w:name w:val="footer"/>
    <w:basedOn w:val="Normal"/>
    <w:link w:val="PieddepageCar"/>
    <w:uiPriority w:val="99"/>
    <w:rsid w:val="008B7C79"/>
    <w:pPr>
      <w:tabs>
        <w:tab w:val="center" w:pos="4536"/>
        <w:tab w:val="right" w:pos="9072"/>
      </w:tabs>
    </w:pPr>
  </w:style>
  <w:style w:type="character" w:customStyle="1" w:styleId="PieddepageCar">
    <w:name w:val="Pied de page Car"/>
    <w:basedOn w:val="Policepardfaut"/>
    <w:link w:val="Pieddepage"/>
    <w:uiPriority w:val="99"/>
    <w:rsid w:val="008B7C79"/>
    <w:rPr>
      <w:sz w:val="24"/>
      <w:szCs w:val="24"/>
      <w:lang w:val="fr-FR" w:eastAsia="fr-FR" w:bidi="ar-SA"/>
    </w:rPr>
  </w:style>
  <w:style w:type="paragraph" w:styleId="Titre">
    <w:name w:val="Title"/>
    <w:basedOn w:val="Normal"/>
    <w:link w:val="TitreCar"/>
    <w:qFormat/>
    <w:rsid w:val="008B7C79"/>
    <w:pPr>
      <w:jc w:val="center"/>
    </w:pPr>
    <w:rPr>
      <w:b/>
      <w:bCs/>
      <w:szCs w:val="28"/>
    </w:rPr>
  </w:style>
  <w:style w:type="character" w:customStyle="1" w:styleId="TitreCar">
    <w:name w:val="Titre Car"/>
    <w:basedOn w:val="Policepardfaut"/>
    <w:link w:val="Titre"/>
    <w:rsid w:val="008B7C79"/>
    <w:rPr>
      <w:b/>
      <w:bCs/>
      <w:sz w:val="24"/>
      <w:szCs w:val="28"/>
      <w:lang w:val="fr-FR" w:eastAsia="fr-FR" w:bidi="ar-SA"/>
    </w:rPr>
  </w:style>
  <w:style w:type="paragraph" w:styleId="Corpsdetexte2">
    <w:name w:val="Body Text 2"/>
    <w:basedOn w:val="Normal"/>
    <w:link w:val="Corpsdetexte2Car"/>
    <w:rsid w:val="008B7C79"/>
    <w:pPr>
      <w:spacing w:after="120" w:line="480" w:lineRule="auto"/>
    </w:pPr>
  </w:style>
  <w:style w:type="character" w:customStyle="1" w:styleId="Corpsdetexte2Car">
    <w:name w:val="Corps de texte 2 Car"/>
    <w:basedOn w:val="Policepardfaut"/>
    <w:link w:val="Corpsdetexte2"/>
    <w:semiHidden/>
    <w:locked/>
    <w:rsid w:val="008B7C79"/>
    <w:rPr>
      <w:sz w:val="24"/>
      <w:szCs w:val="24"/>
      <w:lang w:val="fr-FR" w:eastAsia="fr-FR" w:bidi="ar-SA"/>
    </w:rPr>
  </w:style>
  <w:style w:type="paragraph" w:styleId="Paragraphedeliste">
    <w:name w:val="List Paragraph"/>
    <w:basedOn w:val="Normal"/>
    <w:uiPriority w:val="34"/>
    <w:qFormat/>
    <w:rsid w:val="008B7C79"/>
    <w:pPr>
      <w:spacing w:after="200" w:line="276" w:lineRule="auto"/>
      <w:ind w:left="720"/>
      <w:contextualSpacing/>
    </w:pPr>
    <w:rPr>
      <w:rFonts w:ascii="Calibri" w:eastAsia="Calibri" w:hAnsi="Calibri" w:cs="Arial"/>
      <w:sz w:val="22"/>
      <w:szCs w:val="22"/>
      <w:lang w:eastAsia="en-US"/>
    </w:rPr>
  </w:style>
  <w:style w:type="paragraph" w:styleId="Notedebasdepage">
    <w:name w:val="footnote text"/>
    <w:basedOn w:val="Normal"/>
    <w:link w:val="NotedebasdepageCar"/>
    <w:semiHidden/>
    <w:rsid w:val="008B7C79"/>
    <w:rPr>
      <w:sz w:val="20"/>
      <w:szCs w:val="20"/>
    </w:rPr>
  </w:style>
  <w:style w:type="character" w:customStyle="1" w:styleId="NotedebasdepageCar">
    <w:name w:val="Note de bas de page Car"/>
    <w:basedOn w:val="Policepardfaut"/>
    <w:link w:val="Notedebasdepage"/>
    <w:semiHidden/>
    <w:locked/>
    <w:rsid w:val="008B7C79"/>
    <w:rPr>
      <w:lang w:val="fr-FR" w:eastAsia="fr-FR" w:bidi="ar-SA"/>
    </w:rPr>
  </w:style>
  <w:style w:type="character" w:styleId="Appelnotedebasdep">
    <w:name w:val="footnote reference"/>
    <w:basedOn w:val="Policepardfaut"/>
    <w:semiHidden/>
    <w:rsid w:val="008B7C79"/>
    <w:rPr>
      <w:vertAlign w:val="superscript"/>
    </w:rPr>
  </w:style>
  <w:style w:type="paragraph" w:styleId="En-tte">
    <w:name w:val="header"/>
    <w:basedOn w:val="Normal"/>
    <w:link w:val="En-tteCar"/>
    <w:rsid w:val="008B7C79"/>
    <w:pPr>
      <w:tabs>
        <w:tab w:val="center" w:pos="4536"/>
        <w:tab w:val="right" w:pos="9072"/>
      </w:tabs>
    </w:pPr>
  </w:style>
  <w:style w:type="character" w:customStyle="1" w:styleId="En-tteCar">
    <w:name w:val="En-tête Car"/>
    <w:basedOn w:val="Policepardfaut"/>
    <w:link w:val="En-tte"/>
    <w:semiHidden/>
    <w:rsid w:val="008B7C79"/>
    <w:rPr>
      <w:sz w:val="24"/>
      <w:szCs w:val="24"/>
      <w:lang w:val="fr-FR" w:eastAsia="fr-FR" w:bidi="ar-SA"/>
    </w:rPr>
  </w:style>
  <w:style w:type="character" w:customStyle="1" w:styleId="hps">
    <w:name w:val="hps"/>
    <w:basedOn w:val="Policepardfaut"/>
    <w:rsid w:val="008B7C79"/>
  </w:style>
  <w:style w:type="character" w:customStyle="1" w:styleId="hpsatn">
    <w:name w:val="hps atn"/>
    <w:basedOn w:val="Policepardfaut"/>
    <w:rsid w:val="008B7C79"/>
  </w:style>
  <w:style w:type="character" w:customStyle="1" w:styleId="hpsalt-edited">
    <w:name w:val="hps alt-edited"/>
    <w:basedOn w:val="Policepardfaut"/>
    <w:rsid w:val="008B7C79"/>
  </w:style>
  <w:style w:type="character" w:styleId="Accentuation">
    <w:name w:val="Emphasis"/>
    <w:basedOn w:val="Policepardfaut"/>
    <w:qFormat/>
    <w:rsid w:val="008B7C79"/>
    <w:rPr>
      <w:rFonts w:cs="Times New Roman"/>
      <w:i/>
      <w:iCs/>
    </w:rPr>
  </w:style>
  <w:style w:type="paragraph" w:customStyle="1" w:styleId="spip">
    <w:name w:val="spip"/>
    <w:basedOn w:val="Normal"/>
    <w:rsid w:val="008B7C79"/>
    <w:pPr>
      <w:spacing w:before="100" w:beforeAutospacing="1" w:after="100" w:afterAutospacing="1"/>
    </w:pPr>
  </w:style>
  <w:style w:type="paragraph" w:styleId="Textedebulles">
    <w:name w:val="Balloon Text"/>
    <w:basedOn w:val="Normal"/>
    <w:link w:val="TextedebullesCar"/>
    <w:semiHidden/>
    <w:rsid w:val="008B7C79"/>
    <w:rPr>
      <w:rFonts w:ascii="Tahoma" w:hAnsi="Tahoma" w:cs="Tahoma"/>
      <w:sz w:val="16"/>
      <w:szCs w:val="16"/>
    </w:rPr>
  </w:style>
  <w:style w:type="character" w:customStyle="1" w:styleId="TextedebullesCar">
    <w:name w:val="Texte de bulles Car"/>
    <w:basedOn w:val="Policepardfaut"/>
    <w:link w:val="Textedebulles"/>
    <w:semiHidden/>
    <w:rsid w:val="008B7C79"/>
    <w:rPr>
      <w:rFonts w:ascii="Tahoma" w:hAnsi="Tahoma" w:cs="Tahoma"/>
      <w:sz w:val="16"/>
      <w:szCs w:val="16"/>
      <w:lang w:val="fr-FR" w:eastAsia="fr-FR" w:bidi="ar-SA"/>
    </w:rPr>
  </w:style>
  <w:style w:type="character" w:customStyle="1" w:styleId="longtext">
    <w:name w:val="long_text"/>
    <w:basedOn w:val="Policepardfaut"/>
    <w:rsid w:val="008B7C79"/>
  </w:style>
  <w:style w:type="character" w:customStyle="1" w:styleId="atn">
    <w:name w:val="atn"/>
    <w:basedOn w:val="Policepardfaut"/>
    <w:rsid w:val="008B7C79"/>
  </w:style>
  <w:style w:type="character" w:customStyle="1" w:styleId="gt-icon-text">
    <w:name w:val="gt-icon-text"/>
    <w:basedOn w:val="Policepardfaut"/>
    <w:rsid w:val="008B7C79"/>
  </w:style>
  <w:style w:type="character" w:customStyle="1" w:styleId="shorttext">
    <w:name w:val="short_text"/>
    <w:basedOn w:val="Policepardfaut"/>
    <w:rsid w:val="008B7C79"/>
  </w:style>
  <w:style w:type="character" w:styleId="Lienhypertexte">
    <w:name w:val="Hyperlink"/>
    <w:basedOn w:val="Policepardfaut"/>
    <w:rsid w:val="008B7C79"/>
    <w:rPr>
      <w:color w:val="0066FF"/>
      <w:u w:val="single"/>
    </w:rPr>
  </w:style>
  <w:style w:type="paragraph" w:customStyle="1" w:styleId="Default">
    <w:name w:val="Default"/>
    <w:rsid w:val="008B7C79"/>
    <w:pPr>
      <w:autoSpaceDE w:val="0"/>
      <w:autoSpaceDN w:val="0"/>
      <w:adjustRightInd w:val="0"/>
    </w:pPr>
    <w:rPr>
      <w:color w:val="000000"/>
      <w:sz w:val="24"/>
      <w:szCs w:val="24"/>
    </w:rPr>
  </w:style>
  <w:style w:type="character" w:customStyle="1" w:styleId="TitleChar">
    <w:name w:val="Title Char"/>
    <w:basedOn w:val="Policepardfaut"/>
    <w:locked/>
    <w:rsid w:val="008B7C79"/>
    <w:rPr>
      <w:rFonts w:cs="Times New Roman"/>
      <w:b/>
      <w:bCs/>
      <w:sz w:val="28"/>
      <w:szCs w:val="28"/>
      <w:lang w:val="fr-FR" w:eastAsia="fr-FR" w:bidi="ar-SA"/>
    </w:rPr>
  </w:style>
  <w:style w:type="character" w:customStyle="1" w:styleId="TitleChar1">
    <w:name w:val="Title Char1"/>
    <w:basedOn w:val="Policepardfaut"/>
    <w:locked/>
    <w:rsid w:val="008B7C79"/>
    <w:rPr>
      <w:rFonts w:cs="Times New Roman"/>
      <w:b/>
      <w:bCs/>
      <w:sz w:val="28"/>
      <w:szCs w:val="28"/>
      <w:lang w:val="fr-FR" w:eastAsia="fr-FR" w:bidi="ar-SA"/>
    </w:rPr>
  </w:style>
  <w:style w:type="paragraph" w:customStyle="1" w:styleId="Paragraphedeliste1">
    <w:name w:val="Paragraphe de liste1"/>
    <w:basedOn w:val="Normal"/>
    <w:rsid w:val="008B7C79"/>
    <w:pPr>
      <w:spacing w:after="200" w:line="276" w:lineRule="auto"/>
      <w:ind w:left="720"/>
    </w:pPr>
    <w:rPr>
      <w:rFonts w:ascii="Calibri" w:hAnsi="Calibri" w:cs="Arial"/>
      <w:sz w:val="22"/>
      <w:szCs w:val="22"/>
      <w:lang w:eastAsia="en-US"/>
    </w:rPr>
  </w:style>
  <w:style w:type="character" w:customStyle="1" w:styleId="Emphaseintense1">
    <w:name w:val="Emphase intense1"/>
    <w:basedOn w:val="Policepardfaut"/>
    <w:rsid w:val="008B7C79"/>
    <w:rPr>
      <w:rFonts w:cs="Times New Roman"/>
      <w:b/>
      <w:bCs/>
      <w:i/>
      <w:iCs/>
      <w:color w:val="4F81BD"/>
    </w:rPr>
  </w:style>
  <w:style w:type="character" w:styleId="Marquedecommentaire">
    <w:name w:val="annotation reference"/>
    <w:basedOn w:val="Policepardfaut"/>
    <w:semiHidden/>
    <w:unhideWhenUsed/>
    <w:rsid w:val="009A3111"/>
    <w:rPr>
      <w:sz w:val="16"/>
      <w:szCs w:val="16"/>
    </w:rPr>
  </w:style>
  <w:style w:type="paragraph" w:styleId="Commentaire">
    <w:name w:val="annotation text"/>
    <w:basedOn w:val="Normal"/>
    <w:link w:val="CommentaireCar"/>
    <w:semiHidden/>
    <w:unhideWhenUsed/>
    <w:rsid w:val="009A3111"/>
    <w:rPr>
      <w:sz w:val="20"/>
      <w:szCs w:val="20"/>
    </w:rPr>
  </w:style>
  <w:style w:type="character" w:customStyle="1" w:styleId="CommentaireCar">
    <w:name w:val="Commentaire Car"/>
    <w:basedOn w:val="Policepardfaut"/>
    <w:link w:val="Commentaire"/>
    <w:semiHidden/>
    <w:rsid w:val="009A3111"/>
  </w:style>
  <w:style w:type="paragraph" w:styleId="Objetducommentaire">
    <w:name w:val="annotation subject"/>
    <w:basedOn w:val="Commentaire"/>
    <w:next w:val="Commentaire"/>
    <w:link w:val="ObjetducommentaireCar"/>
    <w:semiHidden/>
    <w:unhideWhenUsed/>
    <w:rsid w:val="009A3111"/>
    <w:rPr>
      <w:b/>
      <w:bCs/>
    </w:rPr>
  </w:style>
  <w:style w:type="character" w:customStyle="1" w:styleId="ObjetducommentaireCar">
    <w:name w:val="Objet du commentaire Car"/>
    <w:basedOn w:val="CommentaireCar"/>
    <w:link w:val="Objetducommentaire"/>
    <w:semiHidden/>
    <w:rsid w:val="009A311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b="1" i="0" baseline="0"/>
              <a:t>Opinion des chefs d'entreprises dans le secteur des Services marchands non financiers (proportion en %) </a:t>
            </a:r>
            <a:endParaRPr lang="fr-FR" sz="1000"/>
          </a:p>
        </c:rich>
      </c:tx>
      <c:layout/>
    </c:title>
    <c:plotArea>
      <c:layout>
        <c:manualLayout>
          <c:layoutTarget val="inner"/>
          <c:xMode val="edge"/>
          <c:yMode val="edge"/>
          <c:x val="0.17838888418517698"/>
          <c:y val="0.26167270613664834"/>
          <c:w val="0.63000329259918786"/>
          <c:h val="0.48202889863680798"/>
        </c:manualLayout>
      </c:layout>
      <c:barChart>
        <c:barDir val="col"/>
        <c:grouping val="clustered"/>
        <c:ser>
          <c:idx val="0"/>
          <c:order val="0"/>
          <c:tx>
            <c:strRef>
              <c:f>Feuil1!$B$1</c:f>
              <c:strCache>
                <c:ptCount val="1"/>
                <c:pt idx="0">
                  <c:v>hausse</c:v>
                </c:pt>
              </c:strCache>
            </c:strRef>
          </c:tx>
          <c:cat>
            <c:strRef>
              <c:f>Feuil1!$A$2:$A$5</c:f>
              <c:strCache>
                <c:ptCount val="4"/>
                <c:pt idx="0">
                  <c:v>Activité globale</c:v>
                </c:pt>
                <c:pt idx="1">
                  <c:v>Demande</c:v>
                </c:pt>
                <c:pt idx="2">
                  <c:v>Prix de vente</c:v>
                </c:pt>
                <c:pt idx="3">
                  <c:v>Effectifs employés</c:v>
                </c:pt>
              </c:strCache>
            </c:strRef>
          </c:cat>
          <c:val>
            <c:numRef>
              <c:f>Feuil1!$B$2:$B$5</c:f>
              <c:numCache>
                <c:formatCode>0</c:formatCode>
                <c:ptCount val="4"/>
                <c:pt idx="0">
                  <c:v>34.879999999999995</c:v>
                </c:pt>
                <c:pt idx="1">
                  <c:v>2.4099999999999997</c:v>
                </c:pt>
                <c:pt idx="2">
                  <c:v>20.49</c:v>
                </c:pt>
                <c:pt idx="3">
                  <c:v>21.49</c:v>
                </c:pt>
              </c:numCache>
            </c:numRef>
          </c:val>
        </c:ser>
        <c:ser>
          <c:idx val="1"/>
          <c:order val="1"/>
          <c:tx>
            <c:strRef>
              <c:f>Feuil1!$C$1</c:f>
              <c:strCache>
                <c:ptCount val="1"/>
                <c:pt idx="0">
                  <c:v>stabilité</c:v>
                </c:pt>
              </c:strCache>
            </c:strRef>
          </c:tx>
          <c:cat>
            <c:strRef>
              <c:f>Feuil1!$A$2:$A$5</c:f>
              <c:strCache>
                <c:ptCount val="4"/>
                <c:pt idx="0">
                  <c:v>Activité globale</c:v>
                </c:pt>
                <c:pt idx="1">
                  <c:v>Demande</c:v>
                </c:pt>
                <c:pt idx="2">
                  <c:v>Prix de vente</c:v>
                </c:pt>
                <c:pt idx="3">
                  <c:v>Effectifs employés</c:v>
                </c:pt>
              </c:strCache>
            </c:strRef>
          </c:cat>
          <c:val>
            <c:numRef>
              <c:f>Feuil1!$C$2:$C$5</c:f>
              <c:numCache>
                <c:formatCode>0</c:formatCode>
                <c:ptCount val="4"/>
                <c:pt idx="0">
                  <c:v>47.42</c:v>
                </c:pt>
                <c:pt idx="1">
                  <c:v>81.53</c:v>
                </c:pt>
                <c:pt idx="2">
                  <c:v>65.58</c:v>
                </c:pt>
                <c:pt idx="3">
                  <c:v>74.59</c:v>
                </c:pt>
              </c:numCache>
            </c:numRef>
          </c:val>
        </c:ser>
        <c:ser>
          <c:idx val="2"/>
          <c:order val="2"/>
          <c:tx>
            <c:strRef>
              <c:f>Feuil1!$D$1</c:f>
              <c:strCache>
                <c:ptCount val="1"/>
                <c:pt idx="0">
                  <c:v>baisse</c:v>
                </c:pt>
              </c:strCache>
            </c:strRef>
          </c:tx>
          <c:cat>
            <c:strRef>
              <c:f>Feuil1!$A$2:$A$5</c:f>
              <c:strCache>
                <c:ptCount val="4"/>
                <c:pt idx="0">
                  <c:v>Activité globale</c:v>
                </c:pt>
                <c:pt idx="1">
                  <c:v>Demande</c:v>
                </c:pt>
                <c:pt idx="2">
                  <c:v>Prix de vente</c:v>
                </c:pt>
                <c:pt idx="3">
                  <c:v>Effectifs employés</c:v>
                </c:pt>
              </c:strCache>
            </c:strRef>
          </c:cat>
          <c:val>
            <c:numRef>
              <c:f>Feuil1!$D$2:$D$5</c:f>
              <c:numCache>
                <c:formatCode>0</c:formatCode>
                <c:ptCount val="4"/>
                <c:pt idx="0">
                  <c:v>17.71</c:v>
                </c:pt>
                <c:pt idx="1">
                  <c:v>16.059999999999999</c:v>
                </c:pt>
                <c:pt idx="2">
                  <c:v>13.93</c:v>
                </c:pt>
                <c:pt idx="3">
                  <c:v>3.92</c:v>
                </c:pt>
              </c:numCache>
            </c:numRef>
          </c:val>
        </c:ser>
        <c:ser>
          <c:idx val="3"/>
          <c:order val="3"/>
          <c:tx>
            <c:strRef>
              <c:f>Feuil1!$E$1</c:f>
              <c:strCache>
                <c:ptCount val="1"/>
                <c:pt idx="0">
                  <c:v>solde</c:v>
                </c:pt>
              </c:strCache>
            </c:strRef>
          </c:tx>
          <c:cat>
            <c:strRef>
              <c:f>Feuil1!$A$2:$A$5</c:f>
              <c:strCache>
                <c:ptCount val="4"/>
                <c:pt idx="0">
                  <c:v>Activité globale</c:v>
                </c:pt>
                <c:pt idx="1">
                  <c:v>Demande</c:v>
                </c:pt>
                <c:pt idx="2">
                  <c:v>Prix de vente</c:v>
                </c:pt>
                <c:pt idx="3">
                  <c:v>Effectifs employés</c:v>
                </c:pt>
              </c:strCache>
            </c:strRef>
          </c:cat>
          <c:val>
            <c:numRef>
              <c:f>Feuil1!$E$2:$E$5</c:f>
              <c:numCache>
                <c:formatCode>0</c:formatCode>
                <c:ptCount val="4"/>
                <c:pt idx="0">
                  <c:v>17.170000000000005</c:v>
                </c:pt>
                <c:pt idx="1">
                  <c:v>-13.65</c:v>
                </c:pt>
                <c:pt idx="2">
                  <c:v>6.5599999999999987</c:v>
                </c:pt>
                <c:pt idx="3">
                  <c:v>17.57</c:v>
                </c:pt>
              </c:numCache>
            </c:numRef>
          </c:val>
        </c:ser>
        <c:axId val="63010688"/>
        <c:axId val="63012224"/>
      </c:barChart>
      <c:dateAx>
        <c:axId val="63010688"/>
        <c:scaling>
          <c:orientation val="minMax"/>
        </c:scaling>
        <c:axPos val="b"/>
        <c:majorGridlines/>
        <c:majorTickMark val="none"/>
        <c:tickLblPos val="low"/>
        <c:txPr>
          <a:bodyPr anchor="b" anchorCtr="0"/>
          <a:lstStyle/>
          <a:p>
            <a:pPr>
              <a:defRPr sz="800" b="1"/>
            </a:pPr>
            <a:endParaRPr lang="fr-FR"/>
          </a:p>
        </c:txPr>
        <c:crossAx val="63012224"/>
        <c:crosses val="autoZero"/>
        <c:lblOffset val="100"/>
        <c:baseTimeUnit val="days"/>
      </c:dateAx>
      <c:valAx>
        <c:axId val="63012224"/>
        <c:scaling>
          <c:orientation val="minMax"/>
        </c:scaling>
        <c:axPos val="l"/>
        <c:majorGridlines/>
        <c:numFmt formatCode="0" sourceLinked="1"/>
        <c:majorTickMark val="none"/>
        <c:tickLblPos val="nextTo"/>
        <c:crossAx val="63010688"/>
        <c:crosses val="autoZero"/>
        <c:crossBetween val="between"/>
      </c:valAx>
    </c:plotArea>
    <c:legend>
      <c:legendPos val="r"/>
      <c:layout>
        <c:manualLayout>
          <c:xMode val="edge"/>
          <c:yMode val="edge"/>
          <c:x val="0.81123284320642719"/>
          <c:y val="0.29073445404099574"/>
          <c:w val="0.18541698416730479"/>
          <c:h val="0.289131678609378"/>
        </c:manualLayout>
      </c:layout>
      <c:txPr>
        <a:bodyPr/>
        <a:lstStyle/>
        <a:p>
          <a:pPr>
            <a:defRPr sz="800" b="1"/>
          </a:pPr>
          <a:endParaRPr lang="fr-FR"/>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b="1" i="0" baseline="0"/>
              <a:t>Anticipations des chefs d'entreprises dans le secteur des Services marchands non financiers  (proportion en %)  </a:t>
            </a:r>
            <a:endParaRPr lang="fr-FR" sz="900"/>
          </a:p>
        </c:rich>
      </c:tx>
      <c:layout>
        <c:manualLayout>
          <c:xMode val="edge"/>
          <c:yMode val="edge"/>
          <c:x val="0.13405074365704286"/>
          <c:y val="1.2301219700478602E-3"/>
        </c:manualLayout>
      </c:layout>
    </c:title>
    <c:plotArea>
      <c:layout/>
      <c:barChart>
        <c:barDir val="col"/>
        <c:grouping val="clustered"/>
        <c:ser>
          <c:idx val="0"/>
          <c:order val="0"/>
          <c:tx>
            <c:strRef>
              <c:f>'Feuil1'!$B$1</c:f>
              <c:strCache>
                <c:ptCount val="1"/>
                <c:pt idx="0">
                  <c:v>Hausse</c:v>
                </c:pt>
              </c:strCache>
            </c:strRef>
          </c:tx>
          <c:cat>
            <c:strRef>
              <c:f>'Feuil1'!$A$2:$A$3</c:f>
              <c:strCache>
                <c:ptCount val="2"/>
                <c:pt idx="0">
                  <c:v>Activité globale</c:v>
                </c:pt>
                <c:pt idx="1">
                  <c:v>Emploi</c:v>
                </c:pt>
              </c:strCache>
            </c:strRef>
          </c:cat>
          <c:val>
            <c:numRef>
              <c:f>'Feuil1'!$B$2:$B$3</c:f>
              <c:numCache>
                <c:formatCode>0</c:formatCode>
                <c:ptCount val="2"/>
                <c:pt idx="0">
                  <c:v>41.120000000000012</c:v>
                </c:pt>
                <c:pt idx="1">
                  <c:v>50.86</c:v>
                </c:pt>
              </c:numCache>
            </c:numRef>
          </c:val>
        </c:ser>
        <c:ser>
          <c:idx val="1"/>
          <c:order val="1"/>
          <c:tx>
            <c:strRef>
              <c:f>'Feuil1'!$C$1</c:f>
              <c:strCache>
                <c:ptCount val="1"/>
                <c:pt idx="0">
                  <c:v>Stabilité</c:v>
                </c:pt>
              </c:strCache>
            </c:strRef>
          </c:tx>
          <c:cat>
            <c:strRef>
              <c:f>'Feuil1'!$A$2:$A$3</c:f>
              <c:strCache>
                <c:ptCount val="2"/>
                <c:pt idx="0">
                  <c:v>Activité globale</c:v>
                </c:pt>
                <c:pt idx="1">
                  <c:v>Emploi</c:v>
                </c:pt>
              </c:strCache>
            </c:strRef>
          </c:cat>
          <c:val>
            <c:numRef>
              <c:f>'Feuil1'!$C$2:$C$3</c:f>
              <c:numCache>
                <c:formatCode>0</c:formatCode>
                <c:ptCount val="2"/>
                <c:pt idx="0">
                  <c:v>47.57</c:v>
                </c:pt>
                <c:pt idx="1">
                  <c:v>45.02</c:v>
                </c:pt>
              </c:numCache>
            </c:numRef>
          </c:val>
        </c:ser>
        <c:ser>
          <c:idx val="2"/>
          <c:order val="2"/>
          <c:tx>
            <c:strRef>
              <c:f>'Feuil1'!$D$1</c:f>
              <c:strCache>
                <c:ptCount val="1"/>
                <c:pt idx="0">
                  <c:v>Baisse</c:v>
                </c:pt>
              </c:strCache>
            </c:strRef>
          </c:tx>
          <c:cat>
            <c:strRef>
              <c:f>'Feuil1'!$A$2:$A$3</c:f>
              <c:strCache>
                <c:ptCount val="2"/>
                <c:pt idx="0">
                  <c:v>Activité globale</c:v>
                </c:pt>
                <c:pt idx="1">
                  <c:v>Emploi</c:v>
                </c:pt>
              </c:strCache>
            </c:strRef>
          </c:cat>
          <c:val>
            <c:numRef>
              <c:f>'Feuil1'!$D$2:$D$3</c:f>
              <c:numCache>
                <c:formatCode>0</c:formatCode>
                <c:ptCount val="2"/>
                <c:pt idx="0">
                  <c:v>11.31</c:v>
                </c:pt>
                <c:pt idx="1">
                  <c:v>4.13</c:v>
                </c:pt>
              </c:numCache>
            </c:numRef>
          </c:val>
        </c:ser>
        <c:ser>
          <c:idx val="3"/>
          <c:order val="3"/>
          <c:tx>
            <c:strRef>
              <c:f>'Feuil1'!$E$1</c:f>
              <c:strCache>
                <c:ptCount val="1"/>
                <c:pt idx="0">
                  <c:v>solde</c:v>
                </c:pt>
              </c:strCache>
            </c:strRef>
          </c:tx>
          <c:cat>
            <c:strRef>
              <c:f>'Feuil1'!$A$2:$A$3</c:f>
              <c:strCache>
                <c:ptCount val="2"/>
                <c:pt idx="0">
                  <c:v>Activité globale</c:v>
                </c:pt>
                <c:pt idx="1">
                  <c:v>Emploi</c:v>
                </c:pt>
              </c:strCache>
            </c:strRef>
          </c:cat>
          <c:val>
            <c:numRef>
              <c:f>'Feuil1'!$E$2:$E$3</c:f>
              <c:numCache>
                <c:formatCode>0</c:formatCode>
                <c:ptCount val="2"/>
                <c:pt idx="0">
                  <c:v>29.809999999999992</c:v>
                </c:pt>
                <c:pt idx="1">
                  <c:v>46.730000000000011</c:v>
                </c:pt>
              </c:numCache>
            </c:numRef>
          </c:val>
        </c:ser>
        <c:axId val="107336064"/>
        <c:axId val="107337984"/>
      </c:barChart>
      <c:catAx>
        <c:axId val="107336064"/>
        <c:scaling>
          <c:orientation val="minMax"/>
        </c:scaling>
        <c:axPos val="b"/>
        <c:majorGridlines/>
        <c:majorTickMark val="none"/>
        <c:tickLblPos val="nextTo"/>
        <c:crossAx val="107337984"/>
        <c:crosses val="autoZero"/>
        <c:auto val="1"/>
        <c:lblAlgn val="ctr"/>
        <c:lblOffset val="100"/>
      </c:catAx>
      <c:valAx>
        <c:axId val="107337984"/>
        <c:scaling>
          <c:orientation val="minMax"/>
        </c:scaling>
        <c:axPos val="l"/>
        <c:majorGridlines/>
        <c:numFmt formatCode="0" sourceLinked="1"/>
        <c:majorTickMark val="none"/>
        <c:tickLblPos val="nextTo"/>
        <c:crossAx val="107336064"/>
        <c:crosses val="autoZero"/>
        <c:crossBetween val="between"/>
      </c:valAx>
    </c:plotArea>
    <c:legend>
      <c:legendPos val="r"/>
      <c:layout>
        <c:manualLayout>
          <c:xMode val="edge"/>
          <c:yMode val="edge"/>
          <c:x val="0.78081692913385758"/>
          <c:y val="0.34886936430243787"/>
          <c:w val="0.19140529308836512"/>
          <c:h val="0.32262183443286035"/>
        </c:manualLayout>
      </c:layout>
      <c:txPr>
        <a:bodyPr/>
        <a:lstStyle/>
        <a:p>
          <a:pPr>
            <a:defRPr sz="800"/>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Opinions des grossistes (proportion en %) </a:t>
            </a:r>
          </a:p>
        </c:rich>
      </c:tx>
      <c:layout>
        <c:manualLayout>
          <c:xMode val="edge"/>
          <c:yMode val="edge"/>
          <c:x val="0.18447659158884241"/>
          <c:y val="2.5559105431310038E-2"/>
        </c:manualLayout>
      </c:layout>
    </c:title>
    <c:plotArea>
      <c:layout>
        <c:manualLayout>
          <c:layoutTarget val="inner"/>
          <c:xMode val="edge"/>
          <c:yMode val="edge"/>
          <c:x val="0.11816211926997502"/>
          <c:y val="0.16697444069491321"/>
          <c:w val="0.7269376793017156"/>
          <c:h val="0.57276684164479463"/>
        </c:manualLayout>
      </c:layout>
      <c:barChart>
        <c:barDir val="col"/>
        <c:grouping val="clustered"/>
        <c:ser>
          <c:idx val="0"/>
          <c:order val="0"/>
          <c:tx>
            <c:strRef>
              <c:f>Feuil1!$B$1</c:f>
              <c:strCache>
                <c:ptCount val="1"/>
                <c:pt idx="0">
                  <c:v>Hausse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Feuil1!$B$2:$B$5</c:f>
              <c:numCache>
                <c:formatCode>0</c:formatCode>
                <c:ptCount val="4"/>
                <c:pt idx="0">
                  <c:v>44.11</c:v>
                </c:pt>
                <c:pt idx="1">
                  <c:v>6.6</c:v>
                </c:pt>
                <c:pt idx="2">
                  <c:v>39.809999999999995</c:v>
                </c:pt>
                <c:pt idx="3">
                  <c:v>4.49</c:v>
                </c:pt>
              </c:numCache>
            </c:numRef>
          </c:val>
        </c:ser>
        <c:ser>
          <c:idx val="1"/>
          <c:order val="1"/>
          <c:tx>
            <c:strRef>
              <c:f>Feuil1!$C$1</c:f>
              <c:strCache>
                <c:ptCount val="1"/>
                <c:pt idx="0">
                  <c:v>Stabilité</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Feuil1!$C$2:$C$5</c:f>
              <c:numCache>
                <c:formatCode>0</c:formatCode>
                <c:ptCount val="4"/>
                <c:pt idx="0">
                  <c:v>25.45</c:v>
                </c:pt>
                <c:pt idx="1">
                  <c:v>75.599999999999994</c:v>
                </c:pt>
                <c:pt idx="2">
                  <c:v>52.339999999999996</c:v>
                </c:pt>
                <c:pt idx="3">
                  <c:v>79.61999999999999</c:v>
                </c:pt>
              </c:numCache>
            </c:numRef>
          </c:val>
        </c:ser>
        <c:ser>
          <c:idx val="2"/>
          <c:order val="2"/>
          <c:tx>
            <c:strRef>
              <c:f>Feuil1!$D$1</c:f>
              <c:strCache>
                <c:ptCount val="1"/>
                <c:pt idx="0">
                  <c:v>Baisse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Feuil1!$D$2:$D$5</c:f>
              <c:numCache>
                <c:formatCode>0</c:formatCode>
                <c:ptCount val="4"/>
                <c:pt idx="0">
                  <c:v>30.439999999999987</c:v>
                </c:pt>
                <c:pt idx="1">
                  <c:v>17.809999999999999</c:v>
                </c:pt>
                <c:pt idx="2">
                  <c:v>7.85</c:v>
                </c:pt>
                <c:pt idx="3">
                  <c:v>15.89</c:v>
                </c:pt>
              </c:numCache>
            </c:numRef>
          </c:val>
        </c:ser>
        <c:ser>
          <c:idx val="3"/>
          <c:order val="3"/>
          <c:tx>
            <c:strRef>
              <c:f>Feuil1!$E$1</c:f>
              <c:strCache>
                <c:ptCount val="1"/>
                <c:pt idx="0">
                  <c:v>Solde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Feuil1!$E$2:$E$5</c:f>
              <c:numCache>
                <c:formatCode>0</c:formatCode>
                <c:ptCount val="4"/>
                <c:pt idx="0">
                  <c:v>13.68</c:v>
                </c:pt>
                <c:pt idx="1">
                  <c:v>-11.209999999999999</c:v>
                </c:pt>
                <c:pt idx="2">
                  <c:v>31.97</c:v>
                </c:pt>
                <c:pt idx="3">
                  <c:v>-11.4</c:v>
                </c:pt>
              </c:numCache>
            </c:numRef>
          </c:val>
        </c:ser>
        <c:dLbls>
          <c:showVal val="1"/>
        </c:dLbls>
        <c:axId val="62955520"/>
        <c:axId val="62957056"/>
      </c:barChart>
      <c:dateAx>
        <c:axId val="62955520"/>
        <c:scaling>
          <c:orientation val="minMax"/>
        </c:scaling>
        <c:axPos val="b"/>
        <c:majorGridlines/>
        <c:majorTickMark val="none"/>
        <c:tickLblPos val="nextTo"/>
        <c:txPr>
          <a:bodyPr/>
          <a:lstStyle/>
          <a:p>
            <a:pPr>
              <a:defRPr sz="800" b="1"/>
            </a:pPr>
            <a:endParaRPr lang="fr-FR"/>
          </a:p>
        </c:txPr>
        <c:crossAx val="62957056"/>
        <c:crosses val="autoZero"/>
        <c:lblOffset val="700"/>
        <c:baseTimeUnit val="days"/>
      </c:dateAx>
      <c:valAx>
        <c:axId val="62957056"/>
        <c:scaling>
          <c:orientation val="minMax"/>
        </c:scaling>
        <c:axPos val="l"/>
        <c:majorGridlines/>
        <c:numFmt formatCode="0" sourceLinked="1"/>
        <c:majorTickMark val="none"/>
        <c:tickLblPos val="nextTo"/>
        <c:crossAx val="62955520"/>
        <c:crosses val="autoZero"/>
        <c:crossBetween val="between"/>
      </c:valAx>
    </c:plotArea>
    <c:legend>
      <c:legendPos val="r"/>
      <c:layout>
        <c:manualLayout>
          <c:xMode val="edge"/>
          <c:yMode val="edge"/>
          <c:x val="0.84086063190540805"/>
          <c:y val="0.31013029621297522"/>
          <c:w val="0.15913936809459295"/>
          <c:h val="0.24844119460290662"/>
        </c:manualLayout>
      </c:layout>
      <c:txPr>
        <a:bodyPr/>
        <a:lstStyle/>
        <a:p>
          <a:pPr>
            <a:defRPr sz="800"/>
          </a:pPr>
          <a:endParaRPr lang="fr-FR"/>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Anticipations des grossistes</a:t>
            </a:r>
            <a:r>
              <a:rPr lang="fr-FR" sz="900" baseline="0"/>
              <a:t> (</a:t>
            </a:r>
            <a:r>
              <a:rPr lang="fr-FR" sz="900"/>
              <a:t>proportions en %)</a:t>
            </a:r>
          </a:p>
        </c:rich>
      </c:tx>
      <c:layout>
        <c:manualLayout>
          <c:xMode val="edge"/>
          <c:yMode val="edge"/>
          <c:x val="0.15566868094976499"/>
          <c:y val="0"/>
        </c:manualLayout>
      </c:layout>
    </c:title>
    <c:plotArea>
      <c:layout>
        <c:manualLayout>
          <c:layoutTarget val="inner"/>
          <c:xMode val="edge"/>
          <c:yMode val="edge"/>
          <c:x val="0.15692180919245682"/>
          <c:y val="0.1402035319997533"/>
          <c:w val="0.67895592992736353"/>
          <c:h val="0.64919580874845395"/>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58.98</c:v>
                </c:pt>
                <c:pt idx="1">
                  <c:v>4.1399999999999997</c:v>
                </c:pt>
                <c:pt idx="2">
                  <c:v>45.11</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27.52</c:v>
                </c:pt>
                <c:pt idx="1">
                  <c:v>84.77</c:v>
                </c:pt>
                <c:pt idx="2">
                  <c:v>50.839999999999996</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13.49</c:v>
                </c:pt>
                <c:pt idx="1">
                  <c:v>11.08</c:v>
                </c:pt>
                <c:pt idx="2">
                  <c:v>4.05</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45.49</c:v>
                </c:pt>
                <c:pt idx="1">
                  <c:v>-6.94</c:v>
                </c:pt>
                <c:pt idx="2">
                  <c:v>41.06</c:v>
                </c:pt>
              </c:numCache>
            </c:numRef>
          </c:val>
        </c:ser>
        <c:axId val="107851136"/>
        <c:axId val="107873408"/>
      </c:barChart>
      <c:catAx>
        <c:axId val="107851136"/>
        <c:scaling>
          <c:orientation val="minMax"/>
        </c:scaling>
        <c:axPos val="b"/>
        <c:majorGridlines/>
        <c:majorTickMark val="none"/>
        <c:tickLblPos val="nextTo"/>
        <c:txPr>
          <a:bodyPr/>
          <a:lstStyle/>
          <a:p>
            <a:pPr>
              <a:defRPr sz="800" b="1"/>
            </a:pPr>
            <a:endParaRPr lang="fr-FR"/>
          </a:p>
        </c:txPr>
        <c:crossAx val="107873408"/>
        <c:crosses val="autoZero"/>
        <c:auto val="1"/>
        <c:lblAlgn val="ctr"/>
        <c:lblOffset val="900"/>
      </c:catAx>
      <c:valAx>
        <c:axId val="107873408"/>
        <c:scaling>
          <c:orientation val="minMax"/>
        </c:scaling>
        <c:axPos val="l"/>
        <c:majorGridlines/>
        <c:numFmt formatCode="0" sourceLinked="1"/>
        <c:majorTickMark val="none"/>
        <c:tickLblPos val="nextTo"/>
        <c:crossAx val="107851136"/>
        <c:crosses val="autoZero"/>
        <c:crossBetween val="between"/>
      </c:valAx>
    </c:plotArea>
    <c:legend>
      <c:legendPos val="r"/>
      <c:layout>
        <c:manualLayout>
          <c:xMode val="edge"/>
          <c:yMode val="edge"/>
          <c:x val="0.80874595617409173"/>
          <c:y val="0.31610267466566988"/>
          <c:w val="0.16388970274064577"/>
          <c:h val="0.24868766404199474"/>
        </c:manualLayout>
      </c:layout>
      <c:txPr>
        <a:bodyPr/>
        <a:lstStyle/>
        <a:p>
          <a:pPr>
            <a:defRPr sz="800" b="1"/>
          </a:pPr>
          <a:endParaRPr lang="fr-FR"/>
        </a:p>
      </c:txPr>
    </c:legend>
    <c:plotVisOnly val="1"/>
  </c:chart>
  <c:spPr>
    <a:noFill/>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83BA-0BEB-4D7E-B9AE-785750E7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3043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2016-01-02T09:54:00Z</cp:lastPrinted>
  <dcterms:created xsi:type="dcterms:W3CDTF">2016-01-03T12:27:00Z</dcterms:created>
  <dcterms:modified xsi:type="dcterms:W3CDTF">2016-01-03T12:27:00Z</dcterms:modified>
</cp:coreProperties>
</file>