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Default="008F0B1F" w:rsidP="00910F07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8F0B1F">
        <w:rPr>
          <w:rFonts w:asciiTheme="minorHAnsi" w:hAnsiTheme="minorHAnsi" w:cs="Arabic Transparent"/>
          <w:noProof/>
          <w:rtl/>
          <w:lang w:eastAsia="fr-FR"/>
        </w:rPr>
        <w:pict>
          <v:group id="_x0000_s1051" style="position:absolute;left:0;text-align:left;margin-left:-145.2pt;margin-top:-88.7pt;width:910.15pt;height:181.5pt;z-index:251693056" coordorigin="-1486,-220" coordsize="18203,4107">
            <v:shape id="_x0000_s1027" style="position:absolute;left:-1364;top:-220;width:18081;height:217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20pt" o:cliptowrap="t">
              <v:shadow color="#ccc"/>
              <v:path arrowok="t"/>
            </v:shape>
            <v:shape id="_x0000_s1029" style="position:absolute;left:-1486;top:-56;width:18203;height:232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0" style="position:absolute;left:-1306;top:-19;width:17901;height:2505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1" style="position:absolute;left:-1267;top:18;width:17827;height:271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2" style="position:absolute;left:-1228;top:55;width:17631;height:2898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3" style="position:absolute;left:-1188;top:91;width:17556;height:309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4" style="position:absolute;left:-1359;top:111;width:17744;height:330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5" style="position:absolute;left:-1355;top:148;width:17775;height:350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6" style="position:absolute;left:-1280;top:185;width:17612;height:3702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</v:group>
        </w:pict>
      </w:r>
      <w:r w:rsidRPr="008F0B1F">
        <w:rPr>
          <w:rFonts w:asciiTheme="minorHAnsi" w:hAnsiTheme="minorHAns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7.35pt;margin-top:-64.1pt;width:118pt;height:59.3pt;z-index:251659264" wrapcoords="-106 0 -106 21308 21600 21308 21600 0 -106 0">
            <v:imagedata r:id="rId8" o:title=""/>
            <w10:wrap type="tight"/>
          </v:shape>
          <o:OLEObject Type="Embed" ProgID="PBrush" ShapeID="_x0000_s1048" DrawAspect="Content" ObjectID="_1512834907" r:id="rId9"/>
        </w:pict>
      </w:r>
      <w:r w:rsidR="00910F07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</w:rPr>
        <w:t xml:space="preserve">                              </w:t>
      </w:r>
    </w:p>
    <w:p w:rsidR="00FB117E" w:rsidRPr="00463BA2" w:rsidRDefault="0062212A" w:rsidP="00AC0BAD">
      <w:pPr>
        <w:rPr>
          <w:rFonts w:asciiTheme="minorHAnsi" w:hAnsiTheme="minorHAnsi" w:cs="Arabic Transparent"/>
          <w:color w:val="660066"/>
          <w:sz w:val="56"/>
          <w:szCs w:val="56"/>
          <w:rtl/>
          <w:lang w:bidi="ar-MA"/>
        </w:rPr>
      </w:pPr>
      <w:r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</w:rPr>
        <w:t>ال</w:t>
      </w:r>
      <w:r w:rsidR="00463BA2" w:rsidRPr="00463BA2">
        <w:rPr>
          <w:rFonts w:asciiTheme="minorHAnsi" w:hAnsiTheme="minorHAnsi" w:cs="Arabic Transparent"/>
          <w:b/>
          <w:bCs/>
          <w:color w:val="660066"/>
          <w:sz w:val="56"/>
          <w:szCs w:val="56"/>
          <w:rtl/>
        </w:rPr>
        <w:t xml:space="preserve">بحوث </w:t>
      </w:r>
      <w:r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  <w:lang w:bidi="ar-MA"/>
        </w:rPr>
        <w:t xml:space="preserve">الفصلية </w:t>
      </w:r>
      <w:r w:rsidR="00AC0BAD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  <w:lang w:bidi="ar-MA"/>
        </w:rPr>
        <w:t>حول ا</w:t>
      </w:r>
      <w:r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ل</w:t>
      </w:r>
      <w:r w:rsidR="00463BA2" w:rsidRPr="00463BA2">
        <w:rPr>
          <w:rFonts w:asciiTheme="minorHAnsi" w:hAnsiTheme="minorHAnsi" w:cs="Arabic Transparent"/>
          <w:b/>
          <w:bCs/>
          <w:color w:val="E36C0A" w:themeColor="accent6" w:themeShade="BF"/>
          <w:sz w:val="56"/>
          <w:szCs w:val="56"/>
          <w:rtl/>
        </w:rPr>
        <w:t>ظرفية</w:t>
      </w:r>
      <w:r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 xml:space="preserve"> الاقتصادية</w:t>
      </w:r>
    </w:p>
    <w:p w:rsidR="00132A8E" w:rsidRPr="00463BA2" w:rsidRDefault="008F0B1F" w:rsidP="00904B58">
      <w:pPr>
        <w:rPr>
          <w:rFonts w:asciiTheme="minorHAnsi" w:hAnsiTheme="minorHAnsi" w:cs="Arabic Transparent"/>
          <w:b/>
          <w:bCs/>
          <w:color w:val="660066"/>
          <w:sz w:val="56"/>
          <w:szCs w:val="56"/>
        </w:rPr>
      </w:pPr>
      <w:r w:rsidRPr="008F0B1F">
        <w:rPr>
          <w:rFonts w:asciiTheme="minorHAnsi" w:hAnsiTheme="minorHAnsi" w:cs="Arabic Transparent"/>
          <w:b/>
          <w:bCs/>
          <w:noProof/>
          <w:color w:val="E36C0A" w:themeColor="accent6" w:themeShade="BF"/>
          <w:sz w:val="56"/>
          <w:szCs w:val="5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60.7pt;margin-top:30.25pt;width:292.8pt;height:0;flip:x;z-index:251694080" o:connectortype="straight" strokecolor="#e36c0a [2409]"/>
        </w:pict>
      </w:r>
      <w:r w:rsidR="00463BA2" w:rsidRPr="00463BA2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الصناعة</w:t>
      </w:r>
      <w:r w:rsidR="00463BA2" w:rsidRPr="00463BA2"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</w:rPr>
        <w:t xml:space="preserve"> و </w:t>
      </w:r>
      <w:r w:rsidR="00463BA2" w:rsidRPr="00463BA2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البناء</w:t>
      </w:r>
    </w:p>
    <w:p w:rsidR="00FB117E" w:rsidRPr="00E422E0" w:rsidRDefault="00F17282" w:rsidP="0034059B">
      <w:pPr>
        <w:tabs>
          <w:tab w:val="left" w:pos="7760"/>
        </w:tabs>
        <w:spacing w:before="240"/>
        <w:jc w:val="center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                    </w:t>
      </w:r>
      <w:r w:rsidR="0034059B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دجنبر</w:t>
      </w:r>
      <w:r w:rsidR="001826A5"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2015</w:t>
      </w:r>
      <w:r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FB117E" w:rsidRPr="005A153A" w:rsidRDefault="00082557" w:rsidP="00082557">
      <w:pPr>
        <w:jc w:val="center"/>
        <w:rPr>
          <w:rFonts w:asciiTheme="minorHAnsi" w:hAnsiTheme="minorHAnsi" w:cs="Arabic Transparent"/>
          <w:lang w:bidi="ar-MA"/>
        </w:rPr>
      </w:pPr>
      <w:r>
        <w:rPr>
          <w:rFonts w:asciiTheme="minorHAnsi" w:hAnsiTheme="minorHAnsi" w:cs="Arabic Transparent"/>
          <w:lang w:bidi="ar-MA"/>
        </w:rPr>
        <w:t xml:space="preserve">             </w:t>
      </w:r>
    </w:p>
    <w:p w:rsidR="004559FB" w:rsidRDefault="002F100B" w:rsidP="003024E2">
      <w:pPr>
        <w:tabs>
          <w:tab w:val="left" w:pos="7760"/>
        </w:tabs>
        <w:spacing w:before="360"/>
        <w:jc w:val="both"/>
        <w:rPr>
          <w:rFonts w:asciiTheme="minorHAnsi" w:hAnsiTheme="minorHAnsi" w:cs="Arabic Transparent"/>
          <w:b/>
          <w:bCs/>
          <w:color w:val="660066"/>
          <w:sz w:val="28"/>
          <w:szCs w:val="28"/>
        </w:rPr>
      </w:pPr>
      <w:r w:rsidRPr="00CE13A8">
        <w:rPr>
          <w:rFonts w:asciiTheme="minorHAnsi" w:hAnsiTheme="minorHAnsi" w:cs="Arabic Transparent"/>
          <w:b/>
          <w:bCs/>
          <w:color w:val="660066"/>
          <w:sz w:val="28"/>
          <w:szCs w:val="28"/>
        </w:rPr>
        <w:t xml:space="preserve"> </w:t>
      </w:r>
      <w:r w:rsidR="003024E2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1.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</w:rPr>
        <w:t xml:space="preserve">مسؤولي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</w:t>
      </w:r>
      <w:r w:rsidR="00E8542C" w:rsidRP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لمقاولات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</w:rPr>
        <w:t xml:space="preserve"> 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الخاصة</w:t>
      </w:r>
      <w:r w:rsidR="00B12E1A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ب</w:t>
      </w:r>
      <w:r w:rsidR="00F71699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الفصل ال</w:t>
      </w:r>
      <w:r w:rsidR="00401ED0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ثا</w:t>
      </w:r>
      <w:r w:rsidR="0034059B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لث</w:t>
      </w:r>
      <w:r w:rsidR="00B12E1A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لسنة 2015</w:t>
      </w:r>
    </w:p>
    <w:p w:rsidR="00732E82" w:rsidRPr="007F0E03" w:rsidRDefault="00482288" w:rsidP="00D97663">
      <w:pPr>
        <w:pStyle w:val="Retraitcorpsdetexte"/>
        <w:spacing w:before="240"/>
        <w:ind w:right="-14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2117725</wp:posOffset>
            </wp:positionV>
            <wp:extent cx="2816225" cy="2453005"/>
            <wp:effectExtent l="0" t="0" r="0" b="0"/>
            <wp:wrapSquare wrapText="bothSides"/>
            <wp:docPr id="3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0230A" w:rsidRPr="007F0E03">
        <w:rPr>
          <w:rFonts w:asciiTheme="minorHAnsi" w:hAnsiTheme="minorHAnsi" w:hint="cs"/>
          <w:sz w:val="24"/>
          <w:szCs w:val="24"/>
          <w:rtl/>
          <w:lang w:bidi="ar-MA"/>
        </w:rPr>
        <w:t>يت</w:t>
      </w:r>
      <w:r w:rsidR="0050230A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بين </w:t>
      </w:r>
      <w:r w:rsidR="007A21DC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خلال الفصل </w:t>
      </w:r>
      <w:r w:rsidR="007A21DC" w:rsidRPr="007F0E03">
        <w:rPr>
          <w:rFonts w:asciiTheme="minorHAnsi" w:hAnsiTheme="minorHAnsi" w:hint="cs"/>
          <w:sz w:val="24"/>
          <w:szCs w:val="24"/>
          <w:rtl/>
          <w:lang w:bidi="ar-MA"/>
        </w:rPr>
        <w:t>الثا</w:t>
      </w:r>
      <w:r w:rsidR="0034059B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="007A21DC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="007A21DC" w:rsidRPr="007F0E03">
        <w:rPr>
          <w:rFonts w:asciiTheme="minorHAnsi" w:hAnsiTheme="minorHAnsi" w:hint="cs"/>
          <w:sz w:val="24"/>
          <w:szCs w:val="24"/>
          <w:rtl/>
          <w:lang w:bidi="ar-MA"/>
        </w:rPr>
        <w:t>5</w:t>
      </w:r>
      <w:r w:rsidR="0050230A">
        <w:rPr>
          <w:rFonts w:asciiTheme="minorHAnsi" w:hAnsiTheme="minorHAnsi" w:hint="cs"/>
          <w:sz w:val="24"/>
          <w:szCs w:val="24"/>
          <w:rtl/>
          <w:lang w:bidi="ar-MA"/>
        </w:rPr>
        <w:t xml:space="preserve">، 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>أن</w:t>
      </w:r>
      <w:r w:rsidR="006A299F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6A299F" w:rsidRPr="007F0E03"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  <w:t xml:space="preserve">إنتاج </w:t>
      </w:r>
      <w:r w:rsidR="00B12E1A" w:rsidRPr="007F0E03"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  <w:t>الصناع</w:t>
      </w:r>
      <w:r w:rsidR="006926C0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ة التحويلية</w:t>
      </w:r>
      <w:r w:rsidR="006A299F"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6A299F" w:rsidRPr="007F0E03">
        <w:rPr>
          <w:rFonts w:asciiTheme="minorHAnsi" w:hAnsiTheme="minorHAnsi" w:hint="cs"/>
          <w:sz w:val="24"/>
          <w:szCs w:val="24"/>
          <w:rtl/>
          <w:lang w:bidi="ar-MA"/>
        </w:rPr>
        <w:t>يكون</w:t>
      </w:r>
      <w:r w:rsidR="006F7803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قد عرف</w:t>
      </w:r>
      <w:r w:rsidR="006A299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، حسب </w:t>
      </w:r>
      <w:r w:rsidR="00732E82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6A299F"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D97663">
        <w:rPr>
          <w:rFonts w:asciiTheme="minorHAnsi" w:hAnsiTheme="minorHAnsi" w:hint="cs"/>
          <w:sz w:val="24"/>
          <w:szCs w:val="24"/>
          <w:rtl/>
          <w:lang w:bidi="ar-MA"/>
        </w:rPr>
        <w:t>49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من مسؤولي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B12E1A" w:rsidRPr="007F0E03">
        <w:rPr>
          <w:rFonts w:asciiTheme="minorHAnsi" w:hAnsiTheme="minorHAnsi" w:hint="cs"/>
          <w:sz w:val="24"/>
          <w:szCs w:val="24"/>
          <w:rtl/>
          <w:lang w:bidi="ar-MA"/>
        </w:rPr>
        <w:t>لمقاولات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D97663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D97663" w:rsidRPr="007F0E03">
        <w:rPr>
          <w:rFonts w:asciiTheme="minorHAnsi" w:hAnsiTheme="minorHAnsi"/>
          <w:sz w:val="24"/>
          <w:szCs w:val="24"/>
          <w:rtl/>
          <w:lang w:bidi="ar-MA"/>
        </w:rPr>
        <w:t>نخفاض</w:t>
      </w:r>
      <w:r w:rsidR="00D97663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D97663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>و</w:t>
      </w:r>
      <w:r w:rsidR="006A299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EF74BE" w:rsidRPr="007F0E03">
        <w:rPr>
          <w:rFonts w:asciiTheme="minorHAnsi" w:hAnsiTheme="minorHAnsi" w:hint="cs"/>
          <w:sz w:val="24"/>
          <w:szCs w:val="24"/>
          <w:rtl/>
          <w:lang w:bidi="ar-MA"/>
        </w:rPr>
        <w:t>حسب</w:t>
      </w:r>
      <w:r w:rsidR="00732E82" w:rsidRPr="007F0E03">
        <w:rPr>
          <w:rFonts w:asciiTheme="minorHAnsi" w:hAnsiTheme="minorHAnsi"/>
          <w:sz w:val="24"/>
          <w:szCs w:val="24"/>
          <w:lang w:bidi="ar-MA"/>
        </w:rPr>
        <w:t xml:space="preserve">% </w:t>
      </w:r>
      <w:r w:rsidR="00D97663">
        <w:rPr>
          <w:rFonts w:asciiTheme="minorHAnsi" w:hAnsiTheme="minorHAnsi" w:hint="cs"/>
          <w:sz w:val="24"/>
          <w:szCs w:val="24"/>
          <w:rtl/>
          <w:lang w:bidi="ar-MA"/>
        </w:rPr>
        <w:t>24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D97663" w:rsidRPr="007F0E03">
        <w:rPr>
          <w:rFonts w:asciiTheme="minorHAnsi" w:hAnsiTheme="minorHAnsi"/>
          <w:sz w:val="24"/>
          <w:szCs w:val="24"/>
          <w:rtl/>
          <w:lang w:bidi="ar-MA"/>
        </w:rPr>
        <w:t>ارتفاع</w:t>
      </w:r>
      <w:r w:rsidR="00D97663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B12E1A" w:rsidRPr="007F0E03">
        <w:rPr>
          <w:rFonts w:asciiTheme="minorHAnsi" w:hAnsiTheme="minorHAnsi" w:hint="cs"/>
          <w:sz w:val="24"/>
          <w:szCs w:val="24"/>
          <w:rtl/>
          <w:lang w:bidi="ar-MA"/>
        </w:rPr>
        <w:t>.</w:t>
      </w:r>
      <w:r w:rsidR="00EF74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>ويعزى هذا</w:t>
      </w:r>
      <w:r w:rsidR="009028C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CE13A8" w:rsidRPr="007F0E03">
        <w:rPr>
          <w:rFonts w:asciiTheme="minorHAnsi" w:hAnsiTheme="minorHAnsi" w:hint="cs"/>
          <w:sz w:val="24"/>
          <w:szCs w:val="24"/>
          <w:rtl/>
          <w:lang w:bidi="ar-MA"/>
        </w:rPr>
        <w:t>الا</w:t>
      </w:r>
      <w:r w:rsidR="0034059B">
        <w:rPr>
          <w:rFonts w:asciiTheme="minorHAnsi" w:hAnsiTheme="minorHAnsi" w:hint="cs"/>
          <w:sz w:val="24"/>
          <w:szCs w:val="24"/>
          <w:rtl/>
          <w:lang w:bidi="ar-MA"/>
        </w:rPr>
        <w:t>نخفاض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EF74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إجمالا 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إلى </w:t>
      </w:r>
      <w:r w:rsidR="0034059B">
        <w:rPr>
          <w:rFonts w:asciiTheme="minorHAnsi" w:hAnsiTheme="minorHAnsi" w:hint="cs"/>
          <w:sz w:val="24"/>
          <w:szCs w:val="24"/>
          <w:rtl/>
          <w:lang w:bidi="ar-MA"/>
        </w:rPr>
        <w:t>تراجع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الإنتاج على صعيد أنشطة</w:t>
      </w:r>
      <w:r w:rsidR="001711F3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34059B">
        <w:rPr>
          <w:rFonts w:asciiTheme="minorHAnsi" w:hAnsiTheme="minorHAnsi" w:hint="cs"/>
          <w:sz w:val="24"/>
          <w:szCs w:val="24"/>
          <w:rtl/>
          <w:lang w:bidi="ar-MA"/>
        </w:rPr>
        <w:t xml:space="preserve">        </w:t>
      </w:r>
      <w:r w:rsidR="001711F3" w:rsidRPr="006E7C13">
        <w:rPr>
          <w:rFonts w:asciiTheme="minorHAnsi" w:hAnsiTheme="minorHAnsi"/>
          <w:sz w:val="24"/>
          <w:szCs w:val="24"/>
          <w:rtl/>
          <w:lang w:bidi="ar-MA"/>
        </w:rPr>
        <w:t>"</w:t>
      </w:r>
      <w:r w:rsidR="00645F70" w:rsidRPr="006E7C1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6E7C13" w:rsidRPr="006E7C13">
        <w:rPr>
          <w:rFonts w:asciiTheme="minorHAnsi" w:hAnsiTheme="minorHAnsi" w:hint="cs"/>
          <w:sz w:val="24"/>
          <w:szCs w:val="24"/>
          <w:rtl/>
          <w:lang w:bidi="ar-MA"/>
        </w:rPr>
        <w:t>صناعة فحم الكوك و التكرير</w:t>
      </w:r>
      <w:r w:rsidR="001711F3" w:rsidRPr="006E7C13">
        <w:rPr>
          <w:rFonts w:asciiTheme="minorHAnsi" w:hAnsiTheme="minorHAnsi"/>
          <w:sz w:val="24"/>
          <w:szCs w:val="24"/>
          <w:rtl/>
          <w:lang w:bidi="ar-MA"/>
        </w:rPr>
        <w:t>"</w:t>
      </w:r>
      <w:r w:rsidR="00975A24" w:rsidRPr="006E7C13">
        <w:rPr>
          <w:rFonts w:asciiTheme="minorHAnsi" w:hAnsiTheme="minorHAnsi"/>
          <w:sz w:val="24"/>
          <w:szCs w:val="24"/>
          <w:rtl/>
          <w:lang w:bidi="ar-MA"/>
        </w:rPr>
        <w:t xml:space="preserve"> و</w:t>
      </w:r>
      <w:r w:rsidR="00732E82" w:rsidRPr="006E7C1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645F70" w:rsidRPr="006E7C1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6E7C13" w:rsidRPr="006E7C1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645F70" w:rsidRPr="006E7C13">
        <w:rPr>
          <w:rFonts w:asciiTheme="minorHAnsi" w:hAnsiTheme="minorHAnsi" w:hint="cs"/>
          <w:sz w:val="24"/>
          <w:szCs w:val="24"/>
          <w:rtl/>
          <w:lang w:bidi="ar-MA"/>
        </w:rPr>
        <w:t>صناعة مواد أخرى غير حديدية"</w:t>
      </w:r>
      <w:r w:rsidR="0034059B" w:rsidRPr="006E7C1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DE28B8" w:rsidRPr="006E7C13">
        <w:rPr>
          <w:rFonts w:asciiTheme="minorHAnsi" w:hAnsiTheme="minorHAnsi" w:hint="cs"/>
          <w:sz w:val="24"/>
          <w:szCs w:val="24"/>
          <w:rtl/>
          <w:lang w:bidi="ar-MA"/>
        </w:rPr>
        <w:t xml:space="preserve">  </w:t>
      </w:r>
      <w:r w:rsidR="0034059B" w:rsidRPr="006E7C13">
        <w:rPr>
          <w:rFonts w:asciiTheme="minorHAnsi" w:hAnsiTheme="minorHAnsi"/>
          <w:sz w:val="24"/>
          <w:szCs w:val="24"/>
          <w:rtl/>
          <w:lang w:bidi="ar-MA"/>
        </w:rPr>
        <w:t xml:space="preserve">و </w:t>
      </w:r>
      <w:r w:rsidR="0034059B" w:rsidRPr="006E7C1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6E7C13" w:rsidRPr="006E7C1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34059B" w:rsidRPr="006E7C13">
        <w:rPr>
          <w:rFonts w:asciiTheme="minorHAnsi" w:hAnsiTheme="minorHAnsi" w:hint="cs"/>
          <w:sz w:val="24"/>
          <w:szCs w:val="24"/>
          <w:rtl/>
          <w:lang w:bidi="ar-MA"/>
        </w:rPr>
        <w:t xml:space="preserve">صناعة </w:t>
      </w:r>
      <w:r w:rsidR="006E7C13" w:rsidRPr="006E7C13">
        <w:rPr>
          <w:rFonts w:asciiTheme="minorHAnsi" w:hAnsiTheme="minorHAnsi" w:hint="cs"/>
          <w:sz w:val="24"/>
          <w:szCs w:val="24"/>
          <w:rtl/>
          <w:lang w:bidi="ar-MA"/>
        </w:rPr>
        <w:t>الألبسة</w:t>
      </w:r>
      <w:r w:rsidR="0034059B" w:rsidRPr="006E7C1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645F70" w:rsidRPr="008B4C41">
        <w:rPr>
          <w:rFonts w:asciiTheme="minorHAnsi" w:hAnsiTheme="minorHAnsi" w:hint="cs"/>
          <w:sz w:val="24"/>
          <w:szCs w:val="24"/>
          <w:rtl/>
          <w:lang w:bidi="ar-MA"/>
        </w:rPr>
        <w:t>.</w:t>
      </w:r>
    </w:p>
    <w:p w:rsidR="004551FE" w:rsidRPr="007F0E03" w:rsidRDefault="00D97663" w:rsidP="00D97663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4"/>
          <w:szCs w:val="24"/>
          <w:lang w:bidi="ar-MA"/>
        </w:rPr>
      </w:pPr>
      <w:r>
        <w:rPr>
          <w:rFonts w:asciiTheme="minorHAnsi" w:hAnsiTheme="minorHAnsi" w:hint="cs"/>
          <w:sz w:val="24"/>
          <w:szCs w:val="24"/>
          <w:rtl/>
          <w:lang w:bidi="ar-MA"/>
        </w:rPr>
        <w:t>و من جهة أخرى،</w:t>
      </w:r>
      <w:r w:rsidR="000838A8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>ا</w:t>
      </w:r>
      <w:r w:rsidR="00F17282">
        <w:rPr>
          <w:rFonts w:asciiTheme="minorHAnsi" w:hAnsiTheme="minorHAnsi" w:hint="cs"/>
          <w:sz w:val="24"/>
          <w:szCs w:val="24"/>
          <w:rtl/>
          <w:lang w:bidi="ar-MA"/>
        </w:rPr>
        <w:t>عتبر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>مستوى</w:t>
      </w:r>
      <w:r w:rsidR="00EF74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دفاتر الطلب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لقطاع الصناعة التحويلية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>عادي</w:t>
      </w:r>
      <w:r w:rsidR="00BA5872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من طرف</w:t>
      </w:r>
      <w:r w:rsidR="00F1017D" w:rsidRPr="007F0E03">
        <w:rPr>
          <w:rFonts w:asciiTheme="minorHAnsi" w:hAnsiTheme="minorHAnsi"/>
          <w:sz w:val="24"/>
          <w:szCs w:val="24"/>
          <w:lang w:bidi="ar-MA"/>
        </w:rPr>
        <w:t xml:space="preserve">% </w:t>
      </w:r>
      <w:r w:rsidR="00DE28B8">
        <w:rPr>
          <w:rFonts w:asciiTheme="minorHAnsi" w:hAnsiTheme="minorHAnsi" w:hint="cs"/>
          <w:sz w:val="24"/>
          <w:szCs w:val="24"/>
          <w:rtl/>
          <w:lang w:bidi="ar-MA"/>
        </w:rPr>
        <w:t>51</w:t>
      </w:r>
      <w:r w:rsidR="00F1017D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F1017D" w:rsidRPr="007F0E03">
        <w:rPr>
          <w:rFonts w:asciiTheme="minorHAnsi" w:hAnsiTheme="minorHAnsi" w:hint="cs"/>
          <w:sz w:val="24"/>
          <w:szCs w:val="24"/>
          <w:rtl/>
          <w:lang w:bidi="ar-MA"/>
        </w:rPr>
        <w:t>من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مسؤولي 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مقاولات </w:t>
      </w:r>
      <w:r w:rsidR="00C94AC9">
        <w:rPr>
          <w:rFonts w:asciiTheme="minorHAnsi" w:hAnsiTheme="minorHAnsi" w:hint="cs"/>
          <w:sz w:val="24"/>
          <w:szCs w:val="24"/>
          <w:rtl/>
          <w:lang w:bidi="ar-MA"/>
        </w:rPr>
        <w:t xml:space="preserve">       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>و ضعيفا من طرف</w:t>
      </w:r>
      <w:r w:rsidR="00F1017D" w:rsidRPr="007F0E03">
        <w:rPr>
          <w:rFonts w:asciiTheme="minorHAnsi" w:hAnsiTheme="minorHAnsi"/>
          <w:sz w:val="24"/>
          <w:szCs w:val="24"/>
          <w:lang w:bidi="ar-MA"/>
        </w:rPr>
        <w:t xml:space="preserve">% </w:t>
      </w:r>
      <w:r w:rsidR="00DE28B8">
        <w:rPr>
          <w:rFonts w:asciiTheme="minorHAnsi" w:hAnsiTheme="minorHAnsi" w:hint="cs"/>
          <w:sz w:val="24"/>
          <w:szCs w:val="24"/>
          <w:rtl/>
          <w:lang w:bidi="ar-MA"/>
        </w:rPr>
        <w:t>44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>.</w:t>
      </w:r>
      <w:r w:rsidR="004551F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و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فيما يخص عدد المشتغلين، </w:t>
      </w:r>
      <w:r w:rsidR="00DA0708">
        <w:rPr>
          <w:rFonts w:asciiTheme="minorHAnsi" w:hAnsiTheme="minorHAnsi" w:hint="cs"/>
          <w:sz w:val="24"/>
          <w:szCs w:val="24"/>
          <w:rtl/>
          <w:lang w:bidi="ar-MA"/>
        </w:rPr>
        <w:t xml:space="preserve">يكون قد 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عرف </w:t>
      </w:r>
      <w:r w:rsidR="008B06D3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DE28B8">
        <w:rPr>
          <w:rFonts w:asciiTheme="minorHAnsi" w:hAnsiTheme="minorHAnsi" w:hint="cs"/>
          <w:sz w:val="24"/>
          <w:szCs w:val="24"/>
          <w:rtl/>
          <w:lang w:bidi="ar-MA"/>
        </w:rPr>
        <w:t>نصف</w:t>
      </w:r>
      <w:r w:rsidR="008B06D3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8B06D3" w:rsidRPr="007F0E03">
        <w:rPr>
          <w:rFonts w:asciiTheme="minorHAnsi" w:hAnsiTheme="minorHAnsi"/>
          <w:sz w:val="24"/>
          <w:szCs w:val="24"/>
          <w:rtl/>
          <w:lang w:bidi="ar-MA"/>
        </w:rPr>
        <w:t>أرباب المقاولات</w:t>
      </w:r>
      <w:r w:rsidR="008B06D3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DE28B8">
        <w:rPr>
          <w:rFonts w:asciiTheme="minorHAnsi" w:hAnsiTheme="minorHAnsi" w:hint="cs"/>
          <w:sz w:val="24"/>
          <w:szCs w:val="24"/>
          <w:rtl/>
          <w:lang w:bidi="ar-MA"/>
        </w:rPr>
        <w:t>انخفاضا و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ارتفاعا </w:t>
      </w:r>
      <w:r w:rsidR="008B06D3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8B06D3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DE28B8">
        <w:rPr>
          <w:rFonts w:asciiTheme="minorHAnsi" w:hAnsiTheme="minorHAnsi" w:hint="cs"/>
          <w:sz w:val="24"/>
          <w:szCs w:val="24"/>
          <w:rtl/>
          <w:lang w:bidi="ar-MA"/>
        </w:rPr>
        <w:t>19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.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وفي هذا السياق، </w:t>
      </w:r>
      <w:r w:rsidR="00AF0BD7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تكون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قدرة الإنتاج المستعملة لمقاولات </w:t>
      </w:r>
      <w:r w:rsidR="00DA0708" w:rsidRPr="00DA0708">
        <w:rPr>
          <w:rFonts w:asciiTheme="minorHAnsi" w:hAnsiTheme="minorHAnsi"/>
          <w:sz w:val="24"/>
          <w:szCs w:val="24"/>
          <w:rtl/>
          <w:lang w:bidi="ar-MA"/>
        </w:rPr>
        <w:t>الصناع</w:t>
      </w:r>
      <w:r w:rsidR="00DA0708" w:rsidRPr="00DA0708">
        <w:rPr>
          <w:rFonts w:asciiTheme="minorHAnsi" w:hAnsiTheme="minorHAnsi" w:hint="cs"/>
          <w:sz w:val="24"/>
          <w:szCs w:val="24"/>
          <w:rtl/>
          <w:lang w:bidi="ar-MA"/>
        </w:rPr>
        <w:t>ة التحويلية</w:t>
      </w:r>
      <w:r w:rsidR="00DA0708"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قد سجلت نسبة </w:t>
      </w:r>
      <w:r w:rsidR="00904B58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>7</w:t>
      </w:r>
      <w:r w:rsidR="00DE28B8">
        <w:rPr>
          <w:rFonts w:asciiTheme="minorHAnsi" w:hAnsiTheme="minorHAnsi" w:hint="cs"/>
          <w:sz w:val="24"/>
          <w:szCs w:val="24"/>
          <w:rtl/>
          <w:lang w:bidi="ar-MA"/>
        </w:rPr>
        <w:t>8</w:t>
      </w:r>
      <w:r w:rsidR="00904B58" w:rsidRPr="007F0E03">
        <w:rPr>
          <w:rFonts w:asciiTheme="minorHAnsi" w:hAnsiTheme="minorHAnsi"/>
          <w:sz w:val="24"/>
          <w:szCs w:val="24"/>
          <w:lang w:bidi="ar-MA"/>
        </w:rPr>
        <w:t> 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خلال الفصل </w:t>
      </w:r>
      <w:r w:rsidR="00CD3752"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>ثا</w:t>
      </w:r>
      <w:r w:rsidR="00DE28B8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</w:t>
      </w:r>
      <w:r w:rsidR="00CD3752" w:rsidRPr="007F0E03">
        <w:rPr>
          <w:rFonts w:asciiTheme="minorHAnsi" w:hAnsiTheme="minorHAnsi" w:hint="cs"/>
          <w:sz w:val="24"/>
          <w:szCs w:val="24"/>
          <w:rtl/>
          <w:lang w:bidi="ar-MA"/>
        </w:rPr>
        <w:t>2015.</w:t>
      </w:r>
      <w:r w:rsidR="007C439E">
        <w:rPr>
          <w:rFonts w:asciiTheme="minorHAnsi" w:hAnsiTheme="minorHAnsi"/>
          <w:sz w:val="24"/>
          <w:szCs w:val="24"/>
          <w:lang w:bidi="ar-MA"/>
        </w:rPr>
        <w:t xml:space="preserve">  </w:t>
      </w:r>
    </w:p>
    <w:p w:rsidR="007A21DC" w:rsidRDefault="007A21DC" w:rsidP="00701EF7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4"/>
          <w:szCs w:val="24"/>
          <w:lang w:bidi="ar-MA"/>
        </w:rPr>
      </w:pPr>
    </w:p>
    <w:p w:rsidR="00482288" w:rsidRDefault="00482288" w:rsidP="00701EF7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</w:p>
    <w:p w:rsidR="000F7FCB" w:rsidRDefault="00482288" w:rsidP="001A778D">
      <w:pPr>
        <w:pStyle w:val="Retraitcorpsdetexte"/>
        <w:ind w:right="-14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posOffset>4761230</wp:posOffset>
            </wp:positionV>
            <wp:extent cx="2743200" cy="2454910"/>
            <wp:effectExtent l="0" t="0" r="0" b="0"/>
            <wp:wrapSquare wrapText="bothSides"/>
            <wp:docPr id="3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8B4C41">
        <w:rPr>
          <w:rFonts w:asciiTheme="minorHAnsi" w:hAnsiTheme="minorHAnsi" w:hint="cs"/>
          <w:sz w:val="24"/>
          <w:szCs w:val="24"/>
          <w:rtl/>
          <w:lang w:bidi="ar-MA"/>
        </w:rPr>
        <w:t>بالنسبة ل</w:t>
      </w:r>
      <w:r w:rsidR="008B4C41" w:rsidRPr="007F0E03">
        <w:rPr>
          <w:rFonts w:asciiTheme="minorHAnsi" w:hAnsiTheme="minorHAnsi" w:hint="cs"/>
          <w:sz w:val="24"/>
          <w:szCs w:val="24"/>
          <w:rtl/>
          <w:lang w:bidi="ar-MA"/>
        </w:rPr>
        <w:t>قطاع</w:t>
      </w:r>
      <w:r w:rsidR="008B4C41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 xml:space="preserve"> الصناعة الإستخراجية</w:t>
      </w:r>
      <w:r w:rsidR="008B4C41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،</w:t>
      </w:r>
      <w:r w:rsidR="008B4C41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يكون الإنتاج قد عرف</w:t>
      </w:r>
      <w:r w:rsidR="00112B0B" w:rsidRPr="007F0E03">
        <w:rPr>
          <w:rFonts w:asciiTheme="minorHAnsi" w:hAnsiTheme="minorHAnsi" w:hint="cs"/>
          <w:sz w:val="24"/>
          <w:szCs w:val="24"/>
          <w:rtl/>
          <w:lang w:bidi="ar-MA"/>
        </w:rPr>
        <w:t>، خلال الفصل الثا</w:t>
      </w:r>
      <w:r w:rsidR="001A778D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="00112B0B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لسنة 2015</w:t>
      </w:r>
      <w:r w:rsidR="008B4C41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1A778D" w:rsidRPr="007F0E03">
        <w:rPr>
          <w:rFonts w:asciiTheme="minorHAnsi" w:hAnsiTheme="minorHAnsi"/>
          <w:sz w:val="24"/>
          <w:szCs w:val="24"/>
          <w:rtl/>
          <w:lang w:bidi="ar-MA"/>
        </w:rPr>
        <w:t>ارتفاع</w:t>
      </w:r>
      <w:r w:rsidR="001A778D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 </w:t>
      </w:r>
      <w:r w:rsidR="00112B0B" w:rsidRPr="007F0E03">
        <w:rPr>
          <w:rFonts w:asciiTheme="minorHAnsi" w:hAnsiTheme="minorHAnsi" w:hint="cs"/>
          <w:sz w:val="24"/>
          <w:szCs w:val="24"/>
          <w:rtl/>
          <w:lang w:bidi="ar-MA"/>
        </w:rPr>
        <w:t>حسب تصريحات أغلبية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مسؤولي المقاولات وذلك </w:t>
      </w:r>
      <w:r w:rsidR="0091366F" w:rsidRPr="007F0E03">
        <w:rPr>
          <w:rFonts w:asciiTheme="minorHAnsi" w:hAnsiTheme="minorHAnsi"/>
          <w:sz w:val="24"/>
          <w:szCs w:val="24"/>
          <w:rtl/>
          <w:lang w:bidi="ar-MA"/>
        </w:rPr>
        <w:t>نتيجة ا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لت</w:t>
      </w:r>
      <w:r w:rsidR="001A778D">
        <w:rPr>
          <w:rFonts w:asciiTheme="minorHAnsi" w:hAnsiTheme="minorHAnsi" w:hint="cs"/>
          <w:sz w:val="24"/>
          <w:szCs w:val="24"/>
          <w:rtl/>
          <w:lang w:bidi="ar-MA"/>
        </w:rPr>
        <w:t>حسن الهام</w:t>
      </w:r>
      <w:r w:rsidR="0091366F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في إنتاج</w:t>
      </w:r>
    </w:p>
    <w:p w:rsidR="0091366F" w:rsidRDefault="0091366F" w:rsidP="00701EF7">
      <w:pPr>
        <w:pStyle w:val="Retraitcorpsdetexte"/>
        <w:ind w:right="-142" w:firstLine="0"/>
        <w:jc w:val="both"/>
        <w:rPr>
          <w:rFonts w:asciiTheme="minorHAnsi" w:hAnsiTheme="minorHAnsi"/>
          <w:sz w:val="24"/>
          <w:szCs w:val="24"/>
          <w:lang w:bidi="ar-MA"/>
        </w:rPr>
      </w:pP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"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الصناعات الإستخراجية الأخرى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"</w:t>
      </w:r>
      <w:r w:rsidR="00112B0B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و </w:t>
      </w:r>
      <w:r w:rsidR="008B4C41">
        <w:rPr>
          <w:rFonts w:asciiTheme="minorHAnsi" w:hAnsiTheme="minorHAnsi" w:hint="cs"/>
          <w:sz w:val="24"/>
          <w:szCs w:val="24"/>
          <w:rtl/>
          <w:lang w:bidi="ar-MA"/>
        </w:rPr>
        <w:t xml:space="preserve">خاصة </w:t>
      </w:r>
      <w:r w:rsidR="00112B0B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في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إنتاج الفوسفاط.</w:t>
      </w:r>
    </w:p>
    <w:p w:rsidR="0091366F" w:rsidRPr="007F0E03" w:rsidRDefault="0091366F" w:rsidP="001A778D">
      <w:pPr>
        <w:pStyle w:val="Retraitcorpsdetexte"/>
        <w:ind w:left="-2" w:firstLine="0"/>
        <w:jc w:val="both"/>
        <w:rPr>
          <w:rFonts w:asciiTheme="minorHAnsi" w:hAnsiTheme="minorHAnsi"/>
          <w:sz w:val="24"/>
          <w:szCs w:val="24"/>
          <w:lang w:bidi="ar-MA"/>
        </w:rPr>
      </w:pPr>
      <w:r w:rsidRPr="007F0E03">
        <w:rPr>
          <w:rFonts w:asciiTheme="minorHAnsi" w:hAnsiTheme="minorHAnsi"/>
          <w:sz w:val="24"/>
          <w:szCs w:val="24"/>
          <w:rtl/>
          <w:lang w:bidi="ar-MA"/>
        </w:rPr>
        <w:t>و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قد اعتُبر مستوى دفاتر الطلب في هذا القطاع، حسب </w:t>
      </w:r>
      <w:r w:rsidR="00701EF7">
        <w:rPr>
          <w:rFonts w:asciiTheme="minorHAnsi" w:hAnsiTheme="minorHAnsi" w:hint="cs"/>
          <w:sz w:val="24"/>
          <w:szCs w:val="24"/>
          <w:rtl/>
          <w:lang w:bidi="ar-MA"/>
        </w:rPr>
        <w:t>جل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مسؤولي المقاولات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عاديا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خلال الفصل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E15843" w:rsidRPr="007F0E03">
        <w:rPr>
          <w:rFonts w:asciiTheme="minorHAnsi" w:hAnsiTheme="minorHAnsi" w:hint="cs"/>
          <w:sz w:val="24"/>
          <w:szCs w:val="24"/>
          <w:rtl/>
          <w:lang w:bidi="ar-MA"/>
        </w:rPr>
        <w:t>ثا</w:t>
      </w:r>
      <w:r w:rsidR="001A778D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5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.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من جهة أخرى، يكون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عدد المشتغلين قد عرف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استقرارا استنادا إلى تصريحات </w:t>
      </w:r>
      <w:r w:rsidR="00600352">
        <w:rPr>
          <w:rFonts w:asciiTheme="minorHAnsi" w:hAnsiTheme="minorHAnsi" w:hint="cs"/>
          <w:sz w:val="24"/>
          <w:szCs w:val="24"/>
          <w:rtl/>
          <w:lang w:bidi="ar-MA"/>
        </w:rPr>
        <w:t>أغلبية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المقاولين. و</w:t>
      </w:r>
      <w:r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بالنسبة لقدرة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الإنتاج المستعملة لمقاولات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 هذا القطاع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تكون قد سجلت نسبة </w:t>
      </w:r>
      <w:r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1A778D">
        <w:rPr>
          <w:rFonts w:asciiTheme="minorHAnsi" w:hAnsiTheme="minorHAnsi" w:hint="cs"/>
          <w:sz w:val="24"/>
          <w:szCs w:val="24"/>
          <w:rtl/>
          <w:lang w:bidi="ar-MA"/>
        </w:rPr>
        <w:t>81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خلال الفصل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ال</w:t>
      </w:r>
      <w:r w:rsidR="00E15843" w:rsidRPr="007F0E03">
        <w:rPr>
          <w:rFonts w:asciiTheme="minorHAnsi" w:hAnsiTheme="minorHAnsi" w:hint="cs"/>
          <w:sz w:val="24"/>
          <w:szCs w:val="24"/>
          <w:rtl/>
          <w:lang w:bidi="ar-MA"/>
        </w:rPr>
        <w:t>ثا</w:t>
      </w:r>
      <w:r w:rsidR="001A778D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5.</w:t>
      </w:r>
    </w:p>
    <w:p w:rsidR="007A21DC" w:rsidRDefault="007A21DC">
      <w:pPr>
        <w:bidi w:val="0"/>
        <w:rPr>
          <w:rFonts w:asciiTheme="minorHAnsi" w:hAnsiTheme="minorHAnsi" w:cs="Arabic Transparent"/>
          <w:sz w:val="24"/>
          <w:szCs w:val="24"/>
          <w:rtl/>
          <w:lang w:bidi="ar-MA"/>
        </w:rPr>
      </w:pPr>
      <w:r>
        <w:rPr>
          <w:rFonts w:asciiTheme="minorHAnsi" w:hAnsiTheme="minorHAnsi"/>
          <w:sz w:val="24"/>
          <w:szCs w:val="24"/>
          <w:rtl/>
          <w:lang w:bidi="ar-MA"/>
        </w:rPr>
        <w:br w:type="page"/>
      </w:r>
    </w:p>
    <w:p w:rsidR="00482288" w:rsidRDefault="00482288" w:rsidP="007A21DC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lang w:bidi="ar-MA"/>
        </w:rPr>
      </w:pPr>
      <w:r w:rsidRPr="00482288">
        <w:rPr>
          <w:rFonts w:asciiTheme="minorHAnsi" w:hAnsiTheme="minorHAnsi"/>
          <w:noProof/>
          <w:sz w:val="24"/>
          <w:szCs w:val="24"/>
          <w:rtl/>
          <w:lang w:eastAsia="fr-FR"/>
        </w:rPr>
        <w:lastRenderedPageBreak/>
        <w:drawing>
          <wp:inline distT="0" distB="0" distL="0" distR="0">
            <wp:extent cx="2818357" cy="2342367"/>
            <wp:effectExtent l="0" t="0" r="0" b="0"/>
            <wp:docPr id="3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482288">
        <w:rPr>
          <w:rFonts w:asciiTheme="minorHAnsi" w:hAnsiTheme="minorHAnsi"/>
          <w:noProof/>
          <w:sz w:val="24"/>
          <w:szCs w:val="24"/>
          <w:rtl/>
          <w:lang w:eastAsia="fr-FR"/>
        </w:rPr>
        <w:drawing>
          <wp:inline distT="0" distB="0" distL="0" distR="0">
            <wp:extent cx="2780778" cy="2342367"/>
            <wp:effectExtent l="0" t="0" r="0" b="0"/>
            <wp:docPr id="3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2288" w:rsidRDefault="00482288" w:rsidP="00482288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lang w:bidi="ar-MA"/>
        </w:rPr>
      </w:pPr>
    </w:p>
    <w:p w:rsidR="00C64ABE" w:rsidRPr="007F0E03" w:rsidRDefault="0091366F" w:rsidP="00597456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lang w:bidi="ar-MA"/>
        </w:rPr>
      </w:pP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فيما يخص</w:t>
      </w:r>
      <w:r w:rsidR="00482288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600352">
        <w:rPr>
          <w:rFonts w:asciiTheme="minorHAnsi" w:hAnsiTheme="minorHAnsi" w:hint="cs"/>
          <w:sz w:val="24"/>
          <w:szCs w:val="24"/>
          <w:rtl/>
          <w:lang w:bidi="ar-MA"/>
        </w:rPr>
        <w:t>قطاعي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الطاقة والبيئة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، فقد عرف الإنتاج ا</w:t>
      </w:r>
      <w:r w:rsidR="00E15843" w:rsidRPr="007F0E03">
        <w:rPr>
          <w:rFonts w:asciiTheme="minorHAnsi" w:hAnsiTheme="minorHAnsi" w:hint="cs"/>
          <w:sz w:val="24"/>
          <w:szCs w:val="24"/>
          <w:rtl/>
          <w:lang w:bidi="ar-MA"/>
        </w:rPr>
        <w:t>رتفاعا</w:t>
      </w:r>
      <w:r w:rsidR="00331B2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حسب تصريحات أغلبية المقاولين </w:t>
      </w:r>
      <w:r w:rsidR="00600352">
        <w:rPr>
          <w:rFonts w:asciiTheme="minorHAnsi" w:hAnsiTheme="minorHAnsi" w:hint="cs"/>
          <w:sz w:val="24"/>
          <w:szCs w:val="24"/>
          <w:rtl/>
          <w:lang w:bidi="ar-MA"/>
        </w:rPr>
        <w:t>نتيجة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331B24" w:rsidRPr="007F0E03">
        <w:rPr>
          <w:rFonts w:asciiTheme="minorHAnsi" w:hAnsiTheme="minorHAnsi" w:hint="cs"/>
          <w:sz w:val="24"/>
          <w:szCs w:val="24"/>
          <w:rtl/>
          <w:lang w:bidi="ar-MA"/>
        </w:rPr>
        <w:t>ارتفاع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"إنتاج وتوزيع الكهرباء </w:t>
      </w:r>
      <w:r w:rsidRPr="008B4C41">
        <w:rPr>
          <w:rFonts w:asciiTheme="minorHAnsi" w:hAnsiTheme="minorHAnsi" w:hint="cs"/>
          <w:sz w:val="24"/>
          <w:szCs w:val="24"/>
          <w:rtl/>
          <w:lang w:bidi="ar-MA"/>
        </w:rPr>
        <w:t>والغاز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331B24" w:rsidRPr="008B4C41">
        <w:rPr>
          <w:rFonts w:asciiTheme="minorHAnsi" w:hAnsiTheme="minorHAnsi" w:hint="cs"/>
          <w:sz w:val="24"/>
          <w:szCs w:val="24"/>
          <w:rtl/>
          <w:lang w:bidi="ar-MA"/>
        </w:rPr>
        <w:t>و البخار و الهواء المكيف</w:t>
      </w:r>
      <w:r w:rsidRPr="008B4C41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027E35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بالنسبة لقطاع الطاقة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و</w:t>
      </w:r>
      <w:r w:rsidR="00027E35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الى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027E35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رتفاع </w:t>
      </w:r>
      <w:r w:rsidR="00E8542C" w:rsidRPr="007F0E03">
        <w:rPr>
          <w:rFonts w:asciiTheme="minorHAnsi" w:hAnsiTheme="minorHAnsi" w:hint="cs"/>
          <w:sz w:val="24"/>
          <w:szCs w:val="24"/>
          <w:rtl/>
          <w:lang w:bidi="ar-MA"/>
        </w:rPr>
        <w:t>الإنتاج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 في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 أنشطة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027E35" w:rsidRPr="008B4C41">
        <w:rPr>
          <w:rFonts w:asciiTheme="minorHAnsi" w:hAnsiTheme="minorHAnsi" w:hint="cs"/>
          <w:sz w:val="24"/>
          <w:szCs w:val="24"/>
          <w:rtl/>
          <w:lang w:bidi="ar-MA"/>
        </w:rPr>
        <w:t>جمع</w:t>
      </w:r>
      <w:r w:rsidRPr="008B4C41">
        <w:rPr>
          <w:rFonts w:asciiTheme="minorHAnsi" w:hAnsiTheme="minorHAnsi" w:hint="cs"/>
          <w:sz w:val="24"/>
          <w:szCs w:val="24"/>
          <w:rtl/>
          <w:lang w:bidi="ar-MA"/>
        </w:rPr>
        <w:t xml:space="preserve"> ومعالجة </w:t>
      </w:r>
      <w:r w:rsidRPr="00F17282">
        <w:rPr>
          <w:rFonts w:asciiTheme="minorHAnsi" w:hAnsiTheme="minorHAnsi" w:hint="cs"/>
          <w:sz w:val="24"/>
          <w:szCs w:val="24"/>
          <w:rtl/>
          <w:lang w:bidi="ar-MA"/>
        </w:rPr>
        <w:t>وتوزيع الماء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01667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بالنسبة للقطاع البيئي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.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>و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على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مستوى دفاتر الطلب في هذين القطاعين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، فقد اعتبر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عاديا </w:t>
      </w:r>
      <w:r w:rsidR="00104B56" w:rsidRPr="007F0E03">
        <w:rPr>
          <w:rFonts w:asciiTheme="minorHAnsi" w:hAnsiTheme="minorHAnsi" w:hint="cs"/>
          <w:sz w:val="24"/>
          <w:szCs w:val="24"/>
          <w:rtl/>
          <w:lang w:bidi="ar-MA"/>
        </w:rPr>
        <w:t>حسب مجموع مسؤولي مقاولات</w:t>
      </w:r>
      <w:r w:rsidR="00597456">
        <w:rPr>
          <w:rFonts w:asciiTheme="minorHAnsi" w:hAnsiTheme="minorHAnsi" w:hint="cs"/>
          <w:sz w:val="24"/>
          <w:szCs w:val="24"/>
          <w:rtl/>
          <w:lang w:bidi="ar-MA"/>
        </w:rPr>
        <w:t xml:space="preserve"> قطاع الطاقة، بينما اعتبر ضعيفا حسب أغلبية مسؤولي مقاولات قطاع الطاقة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.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من جهة أخرى يكون 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>عدد المشتغلين قد عرف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>ا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رتفاعا 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>حسب تصريحات جل المقاولين</w:t>
      </w:r>
      <w:r w:rsidR="00597456">
        <w:rPr>
          <w:rFonts w:asciiTheme="minorHAnsi" w:hAnsiTheme="minorHAnsi" w:hint="cs"/>
          <w:sz w:val="24"/>
          <w:szCs w:val="24"/>
          <w:rtl/>
          <w:lang w:bidi="ar-MA"/>
        </w:rPr>
        <w:t xml:space="preserve"> بالقطاعين معا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. و</w:t>
      </w:r>
      <w:r w:rsidR="00C64ABE"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بالنسبة لقدرة 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الإنتاج المستعملة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للمقاولات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تكون قد سجلت نسبة </w:t>
      </w:r>
      <w:r w:rsidR="00C64ABE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87</w:t>
      </w:r>
      <w:r w:rsidR="00C64ABE" w:rsidRPr="007F0E03">
        <w:rPr>
          <w:rFonts w:asciiTheme="minorHAnsi" w:hAnsiTheme="minorHAnsi"/>
          <w:sz w:val="24"/>
          <w:szCs w:val="24"/>
          <w:lang w:bidi="ar-MA"/>
        </w:rPr>
        <w:t> 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خلال الفصل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>ثا</w:t>
      </w:r>
      <w:r w:rsidR="00597456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5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في قطاع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>الطاقة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و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C64ABE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597456">
        <w:rPr>
          <w:rFonts w:asciiTheme="minorHAnsi" w:hAnsiTheme="minorHAnsi" w:hint="cs"/>
          <w:sz w:val="24"/>
          <w:szCs w:val="24"/>
          <w:rtl/>
          <w:lang w:bidi="ar-MA"/>
        </w:rPr>
        <w:t>66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في قطاع 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>البيئة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.</w:t>
      </w:r>
    </w:p>
    <w:p w:rsidR="007A21DC" w:rsidRDefault="0085677C" w:rsidP="00600352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-119380</wp:posOffset>
            </wp:positionH>
            <wp:positionV relativeFrom="margin">
              <wp:posOffset>4271645</wp:posOffset>
            </wp:positionV>
            <wp:extent cx="2524125" cy="2533650"/>
            <wp:effectExtent l="19050" t="0" r="0" b="0"/>
            <wp:wrapSquare wrapText="bothSides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0838A8">
        <w:rPr>
          <w:rFonts w:asciiTheme="minorHAnsi" w:hAnsiTheme="minorHAnsi"/>
          <w:sz w:val="24"/>
          <w:szCs w:val="24"/>
          <w:lang w:bidi="ar-MA"/>
        </w:rPr>
        <w:tab/>
      </w:r>
    </w:p>
    <w:p w:rsidR="000838A8" w:rsidRPr="00F71699" w:rsidRDefault="00E8542C" w:rsidP="00D97663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و </w:t>
      </w:r>
      <w:r w:rsidR="006E1145">
        <w:rPr>
          <w:rFonts w:asciiTheme="minorHAnsi" w:hAnsiTheme="minorHAnsi" w:hint="cs"/>
          <w:sz w:val="24"/>
          <w:szCs w:val="24"/>
          <w:rtl/>
          <w:lang w:bidi="ar-MA"/>
        </w:rPr>
        <w:t>على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 صعيد آخر، بينت نتائج هذه البحوث 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خلال الفصل 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>الثا</w:t>
      </w:r>
      <w:r w:rsidR="006D77E1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5 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أن نشاط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قطاع </w:t>
      </w:r>
      <w:r w:rsidRPr="006926C0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البناء</w:t>
      </w:r>
      <w:r w:rsidR="007A21DC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 xml:space="preserve"> 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يكون قد عرف </w:t>
      </w:r>
      <w:r w:rsidR="006D77E1">
        <w:rPr>
          <w:rFonts w:asciiTheme="minorHAnsi" w:hAnsiTheme="minorHAnsi" w:hint="cs"/>
          <w:sz w:val="24"/>
          <w:szCs w:val="24"/>
          <w:rtl/>
          <w:lang w:bidi="ar-MA"/>
        </w:rPr>
        <w:t xml:space="preserve">استقرارا 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6E1145" w:rsidRPr="00F71699">
        <w:rPr>
          <w:rFonts w:asciiTheme="minorHAnsi" w:hAnsiTheme="minorHAnsi"/>
          <w:sz w:val="24"/>
          <w:szCs w:val="24"/>
          <w:lang w:bidi="ar-MA"/>
        </w:rPr>
        <w:t>%</w:t>
      </w:r>
      <w:r w:rsidR="006D77E1">
        <w:rPr>
          <w:rFonts w:asciiTheme="minorHAnsi" w:hAnsiTheme="minorHAnsi" w:hint="cs"/>
          <w:sz w:val="24"/>
          <w:szCs w:val="24"/>
          <w:rtl/>
          <w:lang w:bidi="ar-MA"/>
        </w:rPr>
        <w:t>71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من مسؤولي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>المقاولات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>. ويعزى ذ</w:t>
      </w:r>
      <w:r w:rsidR="00C46166">
        <w:rPr>
          <w:rFonts w:asciiTheme="minorHAnsi" w:hAnsiTheme="minorHAnsi" w:hint="cs"/>
          <w:sz w:val="24"/>
          <w:szCs w:val="24"/>
          <w:rtl/>
          <w:lang w:bidi="ar-MA"/>
        </w:rPr>
        <w:t>لك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C46166">
        <w:rPr>
          <w:rFonts w:asciiTheme="minorHAnsi" w:hAnsiTheme="minorHAnsi" w:hint="cs"/>
          <w:sz w:val="24"/>
          <w:szCs w:val="24"/>
          <w:rtl/>
          <w:lang w:bidi="ar-MA"/>
        </w:rPr>
        <w:t>بالأساس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إلى</w:t>
      </w:r>
      <w:r w:rsidR="000838A8" w:rsidRPr="000838A8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D97663">
        <w:rPr>
          <w:rFonts w:asciiTheme="minorHAnsi" w:hAnsiTheme="minorHAnsi" w:hint="cs"/>
          <w:sz w:val="24"/>
          <w:szCs w:val="24"/>
          <w:rtl/>
          <w:lang w:bidi="ar-MA"/>
        </w:rPr>
        <w:t>التأثيرالمزدوج ل</w:t>
      </w:r>
      <w:r w:rsidR="00C46166">
        <w:rPr>
          <w:rFonts w:asciiTheme="minorHAnsi" w:hAnsiTheme="minorHAnsi" w:hint="cs"/>
          <w:sz w:val="24"/>
          <w:szCs w:val="24"/>
          <w:rtl/>
          <w:lang w:bidi="ar-MA"/>
        </w:rPr>
        <w:t xml:space="preserve">لإستقرار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 xml:space="preserve">لذي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ي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 xml:space="preserve">كون قد سجل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في 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 xml:space="preserve">أنشطة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C46166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الهندسة المدنية"  و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أنشطة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"</w:t>
      </w:r>
      <w:r w:rsidR="00C46166" w:rsidRPr="00C46166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C46166" w:rsidRPr="00F71699">
        <w:rPr>
          <w:rFonts w:asciiTheme="minorHAnsi" w:hAnsiTheme="minorHAnsi" w:hint="cs"/>
          <w:sz w:val="24"/>
          <w:szCs w:val="24"/>
          <w:rtl/>
          <w:lang w:bidi="ar-MA"/>
        </w:rPr>
        <w:t>أشغال البناء الم</w:t>
      </w:r>
      <w:r w:rsidR="00C46166">
        <w:rPr>
          <w:rFonts w:asciiTheme="minorHAnsi" w:hAnsiTheme="minorHAnsi" w:hint="cs"/>
          <w:sz w:val="24"/>
          <w:szCs w:val="24"/>
          <w:rtl/>
          <w:lang w:bidi="ar-MA"/>
        </w:rPr>
        <w:t>ت</w:t>
      </w:r>
      <w:r w:rsidR="00C46166" w:rsidRPr="00F71699">
        <w:rPr>
          <w:rFonts w:asciiTheme="minorHAnsi" w:hAnsiTheme="minorHAnsi" w:hint="cs"/>
          <w:sz w:val="24"/>
          <w:szCs w:val="24"/>
          <w:rtl/>
          <w:lang w:bidi="ar-MA"/>
        </w:rPr>
        <w:t>خ</w:t>
      </w:r>
      <w:r w:rsidR="00C46166">
        <w:rPr>
          <w:rFonts w:asciiTheme="minorHAnsi" w:hAnsiTheme="minorHAnsi" w:hint="cs"/>
          <w:sz w:val="24"/>
          <w:szCs w:val="24"/>
          <w:rtl/>
          <w:lang w:bidi="ar-MA"/>
        </w:rPr>
        <w:t>ص</w:t>
      </w:r>
      <w:r w:rsidR="00C46166" w:rsidRPr="00F71699">
        <w:rPr>
          <w:rFonts w:asciiTheme="minorHAnsi" w:hAnsiTheme="minorHAnsi" w:hint="cs"/>
          <w:sz w:val="24"/>
          <w:szCs w:val="24"/>
          <w:rtl/>
          <w:lang w:bidi="ar-MA"/>
        </w:rPr>
        <w:t>صة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"، في حين تكون </w:t>
      </w:r>
      <w:r w:rsidR="008E1590" w:rsidRPr="00F71699">
        <w:rPr>
          <w:rFonts w:asciiTheme="minorHAnsi" w:hAnsiTheme="minorHAnsi" w:hint="cs"/>
          <w:sz w:val="24"/>
          <w:szCs w:val="24"/>
          <w:rtl/>
          <w:lang w:bidi="ar-MA"/>
        </w:rPr>
        <w:t>أنشطة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"</w:t>
      </w:r>
      <w:r w:rsidR="00C46166" w:rsidRPr="00C46166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C46166" w:rsidRPr="00F71699">
        <w:rPr>
          <w:rFonts w:asciiTheme="minorHAnsi" w:hAnsiTheme="minorHAnsi" w:hint="cs"/>
          <w:sz w:val="24"/>
          <w:szCs w:val="24"/>
          <w:rtl/>
          <w:lang w:bidi="ar-MA"/>
        </w:rPr>
        <w:t>تشييد البنايات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" </w:t>
      </w:r>
      <w:r w:rsidR="008E1590">
        <w:rPr>
          <w:rFonts w:asciiTheme="minorHAnsi" w:hAnsiTheme="minorHAnsi" w:hint="cs"/>
          <w:sz w:val="24"/>
          <w:szCs w:val="24"/>
          <w:rtl/>
          <w:lang w:bidi="ar-MA"/>
        </w:rPr>
        <w:t xml:space="preserve">قد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عرفت </w:t>
      </w:r>
      <w:r w:rsidR="00C46166">
        <w:rPr>
          <w:rFonts w:asciiTheme="minorHAnsi" w:hAnsiTheme="minorHAnsi" w:hint="cs"/>
          <w:sz w:val="24"/>
          <w:szCs w:val="24"/>
          <w:rtl/>
          <w:lang w:bidi="ar-MA"/>
        </w:rPr>
        <w:t>ارتفاعا طفيفا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في </w:t>
      </w:r>
      <w:r w:rsidR="008E1590" w:rsidRPr="00F71699">
        <w:rPr>
          <w:rFonts w:asciiTheme="minorHAnsi" w:hAnsiTheme="minorHAnsi" w:hint="cs"/>
          <w:sz w:val="24"/>
          <w:szCs w:val="24"/>
          <w:rtl/>
          <w:lang w:bidi="ar-MA"/>
        </w:rPr>
        <w:t>الإنتاج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.</w:t>
      </w:r>
    </w:p>
    <w:p w:rsidR="00F71699" w:rsidRPr="00F71699" w:rsidRDefault="00F71699" w:rsidP="00EB48EA">
      <w:pPr>
        <w:pStyle w:val="Retraitcorpsdetexte"/>
        <w:spacing w:before="240" w:after="240"/>
        <w:ind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بالنسبة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>ل</w:t>
      </w:r>
      <w:r w:rsidR="00E8542C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وضعية دفاتر الطلب </w:t>
      </w:r>
      <w:r w:rsidR="006E1145">
        <w:rPr>
          <w:rFonts w:asciiTheme="minorHAnsi" w:hAnsiTheme="minorHAnsi" w:hint="cs"/>
          <w:sz w:val="24"/>
          <w:szCs w:val="24"/>
          <w:rtl/>
          <w:lang w:bidi="ar-MA"/>
        </w:rPr>
        <w:t xml:space="preserve">في 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>قطاع البناء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خلال الفصل الثا</w:t>
      </w:r>
      <w:r w:rsidR="001B4146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لسنة 2015</w:t>
      </w:r>
      <w:r w:rsidR="006E1145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فقد اعتبر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مستو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>اه</w:t>
      </w:r>
      <w:r w:rsidR="001B4146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>%</w:t>
      </w:r>
      <w:r w:rsidR="001B4146">
        <w:rPr>
          <w:rFonts w:asciiTheme="minorHAnsi" w:hAnsiTheme="minorHAnsi" w:hint="cs"/>
          <w:sz w:val="24"/>
          <w:szCs w:val="24"/>
          <w:rtl/>
          <w:lang w:bidi="ar-MA"/>
        </w:rPr>
        <w:t>60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من مسؤولي </w:t>
      </w:r>
      <w:r w:rsidR="001B4146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مقاولات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عاديا،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و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ضعيفا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حسب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%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3</w:t>
      </w:r>
      <w:r w:rsidR="001B4146">
        <w:rPr>
          <w:rFonts w:asciiTheme="minorHAnsi" w:hAnsiTheme="minorHAnsi" w:hint="cs"/>
          <w:sz w:val="24"/>
          <w:szCs w:val="24"/>
          <w:rtl/>
          <w:lang w:bidi="ar-MA"/>
        </w:rPr>
        <w:t>2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>.</w:t>
      </w:r>
      <w:r w:rsidR="000838A8">
        <w:rPr>
          <w:rFonts w:asciiTheme="minorHAnsi" w:hAnsiTheme="minorHAnsi"/>
          <w:sz w:val="24"/>
          <w:szCs w:val="24"/>
          <w:lang w:bidi="ar-MA"/>
        </w:rPr>
        <w:t xml:space="preserve">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أما 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>عدد المشتغلين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في القطاع،  يكون قد عرف 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6E1145" w:rsidRPr="00F71699">
        <w:rPr>
          <w:rFonts w:asciiTheme="minorHAnsi" w:hAnsiTheme="minorHAnsi"/>
          <w:sz w:val="24"/>
          <w:szCs w:val="24"/>
          <w:lang w:bidi="ar-MA"/>
        </w:rPr>
        <w:t>%</w:t>
      </w:r>
      <w:r w:rsidR="001B4146">
        <w:rPr>
          <w:rFonts w:asciiTheme="minorHAnsi" w:hAnsiTheme="minorHAnsi" w:hint="cs"/>
          <w:sz w:val="24"/>
          <w:szCs w:val="24"/>
          <w:rtl/>
          <w:lang w:bidi="ar-MA"/>
        </w:rPr>
        <w:t>8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>0</w:t>
      </w:r>
      <w:r w:rsidR="006E1145" w:rsidRPr="00F71699">
        <w:rPr>
          <w:rFonts w:asciiTheme="minorHAnsi" w:hAnsiTheme="minorHAnsi"/>
          <w:sz w:val="24"/>
          <w:szCs w:val="24"/>
          <w:lang w:bidi="ar-MA"/>
        </w:rPr>
        <w:t> 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من أرباب المقاولات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استقرارا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>.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و في هذا السياق، تكون 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قدرة الإنتاج المستعملة للمقاولات قد سجلت نسبة </w:t>
      </w:r>
      <w:r w:rsidRPr="00F71699">
        <w:rPr>
          <w:rFonts w:asciiTheme="minorHAnsi" w:hAnsiTheme="minorHAnsi"/>
          <w:sz w:val="24"/>
          <w:szCs w:val="24"/>
          <w:lang w:bidi="ar-MA"/>
        </w:rPr>
        <w:t>%</w:t>
      </w:r>
      <w:r w:rsidR="001B4146">
        <w:rPr>
          <w:rFonts w:asciiTheme="minorHAnsi" w:hAnsiTheme="minorHAnsi" w:hint="cs"/>
          <w:sz w:val="24"/>
          <w:szCs w:val="24"/>
          <w:rtl/>
          <w:lang w:bidi="ar-MA"/>
        </w:rPr>
        <w:t>70</w:t>
      </w:r>
      <w:r w:rsidRPr="00F71699">
        <w:rPr>
          <w:rFonts w:asciiTheme="minorHAnsi" w:hAnsiTheme="minorHAnsi"/>
          <w:sz w:val="24"/>
          <w:szCs w:val="24"/>
          <w:lang w:bidi="ar-MA"/>
        </w:rPr>
        <w:t> 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خلال الفصل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الثا</w:t>
      </w:r>
      <w:r w:rsidR="00EB48EA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لسنة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2015.</w:t>
      </w:r>
    </w:p>
    <w:p w:rsidR="005E6BA5" w:rsidRDefault="005E6BA5" w:rsidP="0085677C">
      <w:pPr>
        <w:tabs>
          <w:tab w:val="left" w:pos="7760"/>
        </w:tabs>
        <w:spacing w:before="360" w:after="600"/>
        <w:jc w:val="right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</w:p>
    <w:p w:rsidR="005E6BA5" w:rsidRDefault="005E6BA5" w:rsidP="00823856">
      <w:pPr>
        <w:tabs>
          <w:tab w:val="left" w:pos="7760"/>
        </w:tabs>
        <w:spacing w:before="360" w:after="600"/>
        <w:jc w:val="both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</w:p>
    <w:p w:rsidR="005E6BA5" w:rsidRDefault="005E6BA5" w:rsidP="00823856">
      <w:pPr>
        <w:tabs>
          <w:tab w:val="left" w:pos="7760"/>
        </w:tabs>
        <w:spacing w:before="360" w:after="600"/>
        <w:jc w:val="both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</w:p>
    <w:p w:rsidR="006C7BC4" w:rsidRPr="00823856" w:rsidRDefault="0085677C" w:rsidP="00EB48EA">
      <w:pPr>
        <w:tabs>
          <w:tab w:val="left" w:pos="7760"/>
        </w:tabs>
        <w:spacing w:before="360" w:after="600"/>
        <w:jc w:val="both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>
        <w:rPr>
          <w:rFonts w:asciiTheme="minorHAnsi" w:hAnsiTheme="minorHAnsi" w:cs="Arabic Transparent"/>
          <w:b/>
          <w:bCs/>
          <w:noProof/>
          <w:color w:val="660066"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-300355</wp:posOffset>
            </wp:positionH>
            <wp:positionV relativeFrom="margin">
              <wp:posOffset>709295</wp:posOffset>
            </wp:positionV>
            <wp:extent cx="2638425" cy="2124075"/>
            <wp:effectExtent l="0" t="0" r="0" b="0"/>
            <wp:wrapSquare wrapText="bothSides"/>
            <wp:docPr id="3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3024E2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2. </w:t>
      </w:r>
      <w:r w:rsidR="006C7BC4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توقعــات 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  <w:lang w:bidi="ar-MA"/>
        </w:rPr>
        <w:t xml:space="preserve">مسؤولي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ا</w:t>
      </w:r>
      <w:r w:rsidR="00E8542C" w:rsidRP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لمقاولات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="006C7BC4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الخاصة بالفصل </w:t>
      </w:r>
      <w:r w:rsidR="006C7BC4"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</w:t>
      </w:r>
      <w:r w:rsidR="00EB48EA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رابع</w:t>
      </w:r>
      <w:r w:rsidR="006C7BC4"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لسنة </w:t>
      </w:r>
      <w:r w:rsidR="006C7BC4"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201</w:t>
      </w:r>
      <w:r w:rsidR="006C7BC4"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5</w:t>
      </w:r>
    </w:p>
    <w:p w:rsidR="006C7BC4" w:rsidRDefault="006C7BC4" w:rsidP="00A01226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lang w:bidi="ar-MA"/>
        </w:rPr>
      </w:pP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تشير توقعات رؤساء مقاولات قطاع </w:t>
      </w:r>
      <w:r w:rsidRPr="007F0E03"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  <w:t>الصناعة التحويلية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إلى أن الإنتاج سيعرف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Pr="007F0E03">
        <w:rPr>
          <w:rFonts w:asciiTheme="minorHAnsi" w:hAnsiTheme="minorHAnsi"/>
          <w:sz w:val="24"/>
          <w:szCs w:val="24"/>
          <w:lang w:bidi="ar-MA"/>
        </w:rPr>
        <w:t xml:space="preserve"> %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4</w:t>
      </w:r>
      <w:r w:rsidR="00EB48EA">
        <w:rPr>
          <w:rFonts w:asciiTheme="minorHAnsi" w:hAnsiTheme="minorHAnsi" w:hint="cs"/>
          <w:sz w:val="24"/>
          <w:szCs w:val="24"/>
          <w:rtl/>
          <w:lang w:bidi="ar-MA"/>
        </w:rPr>
        <w:t>1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منهم،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ا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رتفاعا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خلال الفصل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EB48EA">
        <w:rPr>
          <w:rFonts w:asciiTheme="minorHAnsi" w:hAnsiTheme="minorHAnsi" w:hint="cs"/>
          <w:sz w:val="24"/>
          <w:szCs w:val="24"/>
          <w:rtl/>
          <w:lang w:bidi="ar-MA"/>
        </w:rPr>
        <w:t>رابع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5،  و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انخفاض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 حسب </w:t>
      </w:r>
      <w:r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2</w:t>
      </w:r>
      <w:r w:rsidR="00EB48EA">
        <w:rPr>
          <w:rFonts w:asciiTheme="minorHAnsi" w:hAnsiTheme="minorHAnsi" w:hint="cs"/>
          <w:sz w:val="24"/>
          <w:szCs w:val="24"/>
          <w:rtl/>
          <w:lang w:bidi="ar-MA"/>
        </w:rPr>
        <w:t>5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.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ويعزى هذا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التحسن </w:t>
      </w:r>
      <w:r w:rsidR="00EB48EA">
        <w:rPr>
          <w:rFonts w:asciiTheme="minorHAnsi" w:hAnsiTheme="minorHAnsi" w:hint="cs"/>
          <w:sz w:val="24"/>
          <w:szCs w:val="24"/>
          <w:rtl/>
          <w:lang w:bidi="ar-MA"/>
        </w:rPr>
        <w:t xml:space="preserve">الطفيف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بالأساس إلى </w:t>
      </w:r>
      <w:r w:rsidR="008E1590">
        <w:rPr>
          <w:rFonts w:asciiTheme="minorHAnsi" w:hAnsiTheme="minorHAnsi" w:hint="cs"/>
          <w:sz w:val="24"/>
          <w:szCs w:val="24"/>
          <w:rtl/>
          <w:lang w:bidi="ar-MA"/>
        </w:rPr>
        <w:t xml:space="preserve">النمو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المرتقب في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أنشطة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" </w:t>
      </w:r>
      <w:r w:rsidR="00EB48EA" w:rsidRPr="008B4C41">
        <w:rPr>
          <w:rFonts w:asciiTheme="minorHAnsi" w:hAnsiTheme="minorHAnsi" w:hint="cs"/>
          <w:sz w:val="24"/>
          <w:szCs w:val="24"/>
          <w:rtl/>
          <w:lang w:bidi="ar-MA"/>
        </w:rPr>
        <w:t>الصناعة الكيما</w:t>
      </w:r>
      <w:r w:rsidR="00EB48EA">
        <w:rPr>
          <w:rFonts w:asciiTheme="minorHAnsi" w:hAnsiTheme="minorHAnsi" w:hint="cs"/>
          <w:sz w:val="24"/>
          <w:szCs w:val="24"/>
          <w:rtl/>
          <w:lang w:bidi="ar-MA"/>
        </w:rPr>
        <w:t>و</w:t>
      </w:r>
      <w:r w:rsidR="00EB48EA" w:rsidRPr="008B4C41">
        <w:rPr>
          <w:rFonts w:asciiTheme="minorHAnsi" w:hAnsiTheme="minorHAnsi" w:hint="cs"/>
          <w:sz w:val="24"/>
          <w:szCs w:val="24"/>
          <w:rtl/>
          <w:lang w:bidi="ar-MA"/>
        </w:rPr>
        <w:t>ية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"</w:t>
      </w:r>
      <w:r w:rsidRPr="007F0E03">
        <w:rPr>
          <w:rFonts w:asciiTheme="minorHAnsi" w:hAnsiTheme="minorHAnsi"/>
          <w:sz w:val="24"/>
          <w:szCs w:val="24"/>
          <w:lang w:bidi="ar-MA"/>
        </w:rPr>
        <w:t xml:space="preserve">  </w:t>
      </w:r>
      <w:r w:rsidR="00EB48EA">
        <w:rPr>
          <w:rFonts w:asciiTheme="minorHAnsi" w:hAnsiTheme="minorHAnsi" w:hint="cs"/>
          <w:sz w:val="24"/>
          <w:szCs w:val="24"/>
          <w:rtl/>
          <w:lang w:bidi="ar-MA"/>
        </w:rPr>
        <w:t xml:space="preserve">       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و</w:t>
      </w:r>
      <w:r w:rsidR="00EB48EA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6F45F9" w:rsidRPr="008B4C41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EB48EA" w:rsidRPr="00EB48EA">
        <w:rPr>
          <w:rFonts w:asciiTheme="minorHAnsi" w:hAnsiTheme="minorHAnsi" w:hint="cs"/>
          <w:sz w:val="24"/>
          <w:szCs w:val="24"/>
          <w:rtl/>
          <w:lang w:bidi="ar-MA"/>
        </w:rPr>
        <w:t>صناعة مواد أخرى غير حديدية</w:t>
      </w:r>
      <w:r w:rsidR="00EB48EA" w:rsidRPr="008B4C41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". ومن جهة أخرى</w:t>
      </w:r>
      <w:r w:rsidR="00F65198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F65198" w:rsidRPr="00F65198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F65198" w:rsidRPr="007F0E03">
        <w:rPr>
          <w:rFonts w:asciiTheme="minorHAnsi" w:hAnsiTheme="minorHAnsi"/>
          <w:sz w:val="24"/>
          <w:szCs w:val="24"/>
          <w:rtl/>
          <w:lang w:bidi="ar-MA"/>
        </w:rPr>
        <w:t>يتوقع</w:t>
      </w:r>
      <w:r w:rsidR="00F65198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Pr="007F0E03">
        <w:rPr>
          <w:rFonts w:asciiTheme="minorHAnsi" w:hAnsiTheme="minorHAnsi"/>
          <w:sz w:val="24"/>
          <w:szCs w:val="24"/>
          <w:lang w:bidi="ar-MA"/>
        </w:rPr>
        <w:t>%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4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1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من 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المقاولين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ا</w:t>
      </w:r>
      <w:r w:rsidR="00A01226">
        <w:rPr>
          <w:rFonts w:asciiTheme="minorHAnsi" w:hAnsiTheme="minorHAnsi" w:hint="cs"/>
          <w:sz w:val="24"/>
          <w:szCs w:val="24"/>
          <w:rtl/>
          <w:lang w:bidi="ar-MA"/>
        </w:rPr>
        <w:t>رتفاع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عدد المشتغلين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خلال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الفصل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A01226">
        <w:rPr>
          <w:rFonts w:asciiTheme="minorHAnsi" w:hAnsiTheme="minorHAnsi" w:hint="cs"/>
          <w:sz w:val="24"/>
          <w:szCs w:val="24"/>
          <w:rtl/>
          <w:lang w:bidi="ar-MA"/>
        </w:rPr>
        <w:t>رابع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5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بينما </w:t>
      </w:r>
      <w:r w:rsidR="00F65198" w:rsidRPr="007F0E03">
        <w:rPr>
          <w:rFonts w:asciiTheme="minorHAnsi" w:hAnsiTheme="minorHAnsi" w:hint="cs"/>
          <w:sz w:val="24"/>
          <w:szCs w:val="24"/>
          <w:rtl/>
          <w:lang w:bidi="ar-MA"/>
        </w:rPr>
        <w:t>يتوقع</w:t>
      </w:r>
      <w:r w:rsidR="00F65198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A01226">
        <w:rPr>
          <w:rFonts w:asciiTheme="minorHAnsi" w:hAnsiTheme="minorHAnsi" w:hint="cs"/>
          <w:sz w:val="24"/>
          <w:szCs w:val="24"/>
          <w:rtl/>
          <w:lang w:bidi="ar-MA"/>
        </w:rPr>
        <w:t>26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منهم ا</w:t>
      </w:r>
      <w:r w:rsidR="00A01226">
        <w:rPr>
          <w:rFonts w:asciiTheme="minorHAnsi" w:hAnsiTheme="minorHAnsi" w:hint="cs"/>
          <w:sz w:val="24"/>
          <w:szCs w:val="24"/>
          <w:rtl/>
          <w:lang w:bidi="ar-MA"/>
        </w:rPr>
        <w:t>نخفاضه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.</w:t>
      </w:r>
    </w:p>
    <w:p w:rsidR="00E30FD6" w:rsidRDefault="00933889" w:rsidP="006E7C13">
      <w:pPr>
        <w:bidi w:val="0"/>
        <w:jc w:val="right"/>
        <w:rPr>
          <w:rFonts w:asciiTheme="minorHAnsi" w:hAnsiTheme="minorHAnsi" w:cs="Arabic Transparent"/>
          <w:sz w:val="24"/>
          <w:szCs w:val="24"/>
          <w:rtl/>
          <w:lang w:bidi="ar-MA"/>
        </w:rPr>
      </w:pPr>
      <w:r w:rsidRPr="00EB48EA">
        <w:rPr>
          <w:rFonts w:asciiTheme="minorHAnsi" w:hAnsiTheme="minorHAnsi" w:cs="Arabic Transparent"/>
          <w:sz w:val="24"/>
          <w:szCs w:val="24"/>
          <w:rtl/>
          <w:lang w:bidi="ar-MA"/>
        </w:rPr>
        <w:t>ين</w:t>
      </w:r>
      <w:r w:rsidR="006C7BC4" w:rsidRPr="00EB48EA">
        <w:rPr>
          <w:rFonts w:asciiTheme="minorHAnsi" w:hAnsiTheme="minorHAnsi" w:cs="Arabic Transparent"/>
          <w:sz w:val="24"/>
          <w:szCs w:val="24"/>
          <w:rtl/>
          <w:lang w:bidi="ar-MA"/>
        </w:rPr>
        <w:t>تظر أن يعرف قطاع الصناعة الإستخراجية، حسب جل أرباب المقاولات، ارتفاعا في الإنتاج نتيجة التحسن في إنتاج "الصناعات الإستخراجية الأخرى"</w:t>
      </w:r>
      <w:r w:rsidR="00FD23D4" w:rsidRPr="00EB48EA">
        <w:rPr>
          <w:rFonts w:asciiTheme="minorHAnsi" w:hAnsiTheme="minorHAnsi" w:cs="Arabic Transparent"/>
          <w:sz w:val="24"/>
          <w:szCs w:val="24"/>
          <w:rtl/>
          <w:lang w:bidi="ar-MA"/>
        </w:rPr>
        <w:t>.</w:t>
      </w:r>
      <w:r w:rsidR="000657C4">
        <w:rPr>
          <w:rFonts w:asciiTheme="minorHAnsi" w:hAnsiTheme="minorHAnsi" w:cs="Arabic Transparent" w:hint="cs"/>
          <w:sz w:val="24"/>
          <w:szCs w:val="24"/>
          <w:rtl/>
          <w:lang w:bidi="ar-MA"/>
        </w:rPr>
        <w:t xml:space="preserve">بالنسبة لعدد المشتغلين، يتوقع </w:t>
      </w:r>
      <w:r w:rsidR="00E30FD6" w:rsidRPr="00E30FD6">
        <w:rPr>
          <w:rFonts w:asciiTheme="minorHAnsi" w:hAnsiTheme="minorHAnsi" w:cs="Arabic Transparent"/>
          <w:sz w:val="24"/>
          <w:szCs w:val="24"/>
          <w:rtl/>
          <w:lang w:bidi="ar-MA"/>
        </w:rPr>
        <w:t>%</w:t>
      </w:r>
      <w:r w:rsidR="00E30FD6" w:rsidRPr="00E30FD6">
        <w:rPr>
          <w:rFonts w:asciiTheme="minorHAnsi" w:hAnsiTheme="minorHAnsi" w:cs="Arabic Transparent" w:hint="cs"/>
          <w:sz w:val="24"/>
          <w:szCs w:val="24"/>
          <w:rtl/>
          <w:lang w:bidi="ar-MA"/>
        </w:rPr>
        <w:t xml:space="preserve"> 9</w:t>
      </w:r>
      <w:r w:rsidR="006E7C13">
        <w:rPr>
          <w:rFonts w:asciiTheme="minorHAnsi" w:hAnsiTheme="minorHAnsi" w:cs="Arabic Transparent" w:hint="cs"/>
          <w:sz w:val="24"/>
          <w:szCs w:val="24"/>
          <w:rtl/>
          <w:lang w:bidi="ar-MA"/>
        </w:rPr>
        <w:t>1</w:t>
      </w:r>
      <w:r w:rsidR="00E30FD6" w:rsidRPr="00E30FD6">
        <w:rPr>
          <w:rFonts w:asciiTheme="minorHAnsi" w:hAnsiTheme="minorHAnsi" w:cs="Arabic Transparent" w:hint="cs"/>
          <w:sz w:val="24"/>
          <w:szCs w:val="24"/>
          <w:rtl/>
          <w:lang w:bidi="ar-MA"/>
        </w:rPr>
        <w:t xml:space="preserve"> من مسؤولي المقاولات استقرار هذا العدد</w:t>
      </w:r>
      <w:r w:rsidR="00E30FD6">
        <w:rPr>
          <w:rFonts w:asciiTheme="minorHAnsi" w:hAnsiTheme="minorHAnsi" w:cs="Arabic Transparent" w:hint="cs"/>
          <w:sz w:val="24"/>
          <w:szCs w:val="24"/>
          <w:rtl/>
          <w:lang w:bidi="ar-MA"/>
        </w:rPr>
        <w:t>.</w:t>
      </w:r>
    </w:p>
    <w:p w:rsidR="006C7BC4" w:rsidRPr="00933889" w:rsidRDefault="006C7BC4" w:rsidP="00E30FD6">
      <w:pPr>
        <w:bidi w:val="0"/>
        <w:jc w:val="right"/>
        <w:rPr>
          <w:rFonts w:ascii="Traditional Arabic" w:hAnsi="Traditional Arabic"/>
          <w:sz w:val="24"/>
          <w:szCs w:val="24"/>
          <w:lang w:bidi="ar-MA"/>
        </w:rPr>
      </w:pPr>
    </w:p>
    <w:p w:rsidR="00742D5D" w:rsidRPr="007F0E03" w:rsidRDefault="00FD03BE" w:rsidP="007E6ABC">
      <w:pPr>
        <w:pStyle w:val="Retraitcorpsdetexte"/>
        <w:spacing w:after="240"/>
        <w:ind w:left="-2" w:firstLine="0"/>
        <w:jc w:val="both"/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</w:pPr>
      <w:r>
        <w:rPr>
          <w:rFonts w:asciiTheme="minorHAnsi" w:hAnsiTheme="minorHAns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-300355</wp:posOffset>
            </wp:positionH>
            <wp:positionV relativeFrom="margin">
              <wp:posOffset>2833370</wp:posOffset>
            </wp:positionV>
            <wp:extent cx="2505075" cy="2362200"/>
            <wp:effectExtent l="19050" t="0" r="0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1872CC">
        <w:rPr>
          <w:rFonts w:asciiTheme="minorHAnsi" w:hAnsiTheme="minorHAnsi" w:hint="cs"/>
          <w:sz w:val="24"/>
          <w:szCs w:val="24"/>
          <w:rtl/>
          <w:lang w:bidi="ar-MA"/>
        </w:rPr>
        <w:t>كما يرتقب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أن يعرف </w:t>
      </w:r>
      <w:r w:rsidR="00FD23D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قطاع </w:t>
      </w:r>
      <w:r w:rsidR="00FD23D4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الصناعة الطاقية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، حسب </w:t>
      </w:r>
      <w:r w:rsidR="001872CC">
        <w:rPr>
          <w:rFonts w:asciiTheme="minorHAnsi" w:hAnsiTheme="minorHAnsi" w:hint="cs"/>
          <w:sz w:val="24"/>
          <w:szCs w:val="24"/>
          <w:rtl/>
          <w:lang w:bidi="ar-MA"/>
        </w:rPr>
        <w:t>أغلبية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أرباب المقاولات </w:t>
      </w:r>
      <w:r w:rsidR="00FD23D4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A71C65">
        <w:rPr>
          <w:rFonts w:asciiTheme="minorHAnsi" w:hAnsiTheme="minorHAnsi" w:hint="cs"/>
          <w:sz w:val="24"/>
          <w:szCs w:val="24"/>
          <w:rtl/>
          <w:lang w:bidi="ar-MA"/>
        </w:rPr>
        <w:t>نخفاضا</w:t>
      </w:r>
      <w:r w:rsidR="00FD23D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في الإنتاج نتيجة </w:t>
      </w:r>
      <w:r w:rsidR="00A71C65">
        <w:rPr>
          <w:rFonts w:asciiTheme="minorHAnsi" w:hAnsiTheme="minorHAnsi" w:hint="cs"/>
          <w:sz w:val="24"/>
          <w:szCs w:val="24"/>
          <w:rtl/>
          <w:lang w:bidi="ar-MA"/>
        </w:rPr>
        <w:t>تراجع</w:t>
      </w:r>
      <w:r w:rsidR="00FD23D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"إنتاج وتوزيع ا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لكهرباء</w:t>
      </w:r>
      <w:r w:rsidR="00FD23D4" w:rsidRPr="008B4C41">
        <w:rPr>
          <w:rFonts w:asciiTheme="minorHAnsi" w:hAnsiTheme="minorHAnsi" w:hint="cs"/>
          <w:sz w:val="24"/>
          <w:szCs w:val="24"/>
          <w:rtl/>
          <w:lang w:bidi="ar-MA"/>
        </w:rPr>
        <w:t xml:space="preserve"> والغاز</w:t>
      </w:r>
      <w:r w:rsidR="008E1590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FD23D4" w:rsidRPr="008B4C41">
        <w:rPr>
          <w:rFonts w:asciiTheme="minorHAnsi" w:hAnsiTheme="minorHAnsi" w:hint="cs"/>
          <w:sz w:val="24"/>
          <w:szCs w:val="24"/>
          <w:rtl/>
          <w:lang w:bidi="ar-MA"/>
        </w:rPr>
        <w:t>و البخار و الهواء المكيف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.و فيما يخص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قطاع </w:t>
      </w:r>
      <w:r w:rsidR="002E4C07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</w:t>
      </w:r>
      <w:r w:rsidR="006C7BC4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 xml:space="preserve">صناعة </w:t>
      </w:r>
      <w:r w:rsidR="00742D5D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البيئية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، فان </w:t>
      </w:r>
      <w:r w:rsidR="00A71C65" w:rsidRPr="007F0E03">
        <w:rPr>
          <w:rFonts w:asciiTheme="minorHAnsi" w:hAnsiTheme="minorHAnsi"/>
          <w:sz w:val="24"/>
          <w:szCs w:val="24"/>
          <w:lang w:bidi="ar-MA"/>
        </w:rPr>
        <w:t xml:space="preserve"> %</w:t>
      </w:r>
      <w:r w:rsidR="00A71C65">
        <w:rPr>
          <w:rFonts w:asciiTheme="minorHAnsi" w:hAnsiTheme="minorHAnsi" w:hint="cs"/>
          <w:sz w:val="24"/>
          <w:szCs w:val="24"/>
          <w:rtl/>
          <w:lang w:bidi="ar-MA"/>
        </w:rPr>
        <w:t>89</w:t>
      </w:r>
      <w:r w:rsidR="00A71C65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من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المقاولين يتوقعون ا</w:t>
      </w:r>
      <w:r w:rsidR="00A71C65">
        <w:rPr>
          <w:rFonts w:asciiTheme="minorHAnsi" w:hAnsiTheme="minorHAnsi" w:hint="cs"/>
          <w:sz w:val="24"/>
          <w:szCs w:val="24"/>
          <w:rtl/>
          <w:lang w:bidi="ar-MA"/>
        </w:rPr>
        <w:t>يضا انخفاضا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في </w:t>
      </w:r>
      <w:r w:rsidR="004955CB" w:rsidRPr="007F0E03">
        <w:rPr>
          <w:rFonts w:asciiTheme="minorHAnsi" w:hAnsiTheme="minorHAnsi" w:hint="cs"/>
          <w:sz w:val="24"/>
          <w:szCs w:val="24"/>
          <w:rtl/>
          <w:lang w:bidi="ar-MA"/>
        </w:rPr>
        <w:t>الإنتاج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A71C65">
        <w:rPr>
          <w:rFonts w:asciiTheme="minorHAnsi" w:hAnsiTheme="minorHAnsi" w:hint="cs"/>
          <w:sz w:val="24"/>
          <w:szCs w:val="24"/>
          <w:rtl/>
          <w:lang w:bidi="ar-MA"/>
        </w:rPr>
        <w:t xml:space="preserve">             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>و بالخصوص في "</w:t>
      </w:r>
      <w:r w:rsidR="00742D5D" w:rsidRPr="008B4C41">
        <w:rPr>
          <w:rFonts w:asciiTheme="minorHAnsi" w:hAnsiTheme="minorHAnsi" w:hint="cs"/>
          <w:sz w:val="24"/>
          <w:szCs w:val="24"/>
          <w:rtl/>
          <w:lang w:bidi="ar-MA"/>
        </w:rPr>
        <w:t>جمع ومعالجة وتوزيع الماء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>".</w:t>
      </w:r>
      <w:r w:rsidR="006E7C13">
        <w:rPr>
          <w:rFonts w:asciiTheme="minorHAnsi" w:hAnsiTheme="minorHAnsi" w:hint="cs"/>
          <w:sz w:val="24"/>
          <w:szCs w:val="24"/>
          <w:rtl/>
          <w:lang w:bidi="ar-MA"/>
        </w:rPr>
        <w:t xml:space="preserve"> أما بخصوص التشغيل، يتوقع </w:t>
      </w:r>
      <w:r w:rsidR="006E7C13" w:rsidRPr="00E30FD6">
        <w:rPr>
          <w:rFonts w:asciiTheme="minorHAnsi" w:hAnsiTheme="minorHAnsi"/>
          <w:sz w:val="24"/>
          <w:szCs w:val="24"/>
          <w:rtl/>
          <w:lang w:bidi="ar-MA"/>
        </w:rPr>
        <w:t>%</w:t>
      </w:r>
      <w:r w:rsidR="006E7C13" w:rsidRPr="00E30FD6">
        <w:rPr>
          <w:rFonts w:asciiTheme="minorHAnsi" w:hAnsiTheme="minorHAnsi" w:hint="cs"/>
          <w:sz w:val="24"/>
          <w:szCs w:val="24"/>
          <w:rtl/>
          <w:lang w:bidi="ar-MA"/>
        </w:rPr>
        <w:t xml:space="preserve"> 9</w:t>
      </w:r>
      <w:r w:rsidR="006E7C13">
        <w:rPr>
          <w:rFonts w:asciiTheme="minorHAnsi" w:hAnsiTheme="minorHAnsi" w:hint="cs"/>
          <w:sz w:val="24"/>
          <w:szCs w:val="24"/>
          <w:rtl/>
          <w:lang w:bidi="ar-MA"/>
        </w:rPr>
        <w:t>1 من أرباب المقاولات انخفاض عدد المشتغلين، في حين يتوقع مجموع مسؤولي مقاولات الصناعة البيئة ارتفا</w:t>
      </w:r>
      <w:r w:rsidR="007E6ABC">
        <w:rPr>
          <w:rFonts w:asciiTheme="minorHAnsi" w:hAnsiTheme="minorHAnsi" w:hint="cs"/>
          <w:sz w:val="24"/>
          <w:szCs w:val="24"/>
          <w:rtl/>
          <w:lang w:bidi="ar-MA"/>
        </w:rPr>
        <w:t>عه</w:t>
      </w:r>
      <w:r w:rsidR="006E7C13">
        <w:rPr>
          <w:rFonts w:asciiTheme="minorHAnsi" w:hAnsiTheme="minorHAnsi" w:hint="cs"/>
          <w:sz w:val="24"/>
          <w:szCs w:val="24"/>
          <w:rtl/>
          <w:lang w:bidi="ar-MA"/>
        </w:rPr>
        <w:t>.</w:t>
      </w:r>
    </w:p>
    <w:p w:rsidR="008E1590" w:rsidRDefault="006426FC" w:rsidP="00A74EC9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و من جهة أخرى،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تُفيد التوقعات المتعلقة بالفصل ال</w:t>
      </w:r>
      <w:r w:rsidR="00A71C65">
        <w:rPr>
          <w:rFonts w:asciiTheme="minorHAnsi" w:hAnsiTheme="minorHAnsi" w:hint="cs"/>
          <w:sz w:val="24"/>
          <w:szCs w:val="24"/>
          <w:rtl/>
          <w:lang w:bidi="ar-MA"/>
        </w:rPr>
        <w:t>رابع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لسنة 2015 با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>رتفاع طفيف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>ل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نشاط قطاع </w:t>
      </w:r>
      <w:r w:rsidR="0062212A" w:rsidRPr="00C7540C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البناء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.</w:t>
      </w:r>
      <w:r w:rsidR="00F71699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ويعزى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ذ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>لك أساسا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226884">
        <w:rPr>
          <w:rFonts w:asciiTheme="minorHAnsi" w:hAnsiTheme="minorHAnsi" w:hint="cs"/>
          <w:sz w:val="24"/>
          <w:szCs w:val="24"/>
          <w:rtl/>
          <w:lang w:bidi="ar-MA"/>
        </w:rPr>
        <w:t xml:space="preserve">إلى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الا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 xml:space="preserve">رتفاع الطفيف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المرتقب 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>على مستوى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أنشطة "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الهندسة المدنية" و أنشطة </w:t>
      </w:r>
      <w:r w:rsidR="00226884">
        <w:rPr>
          <w:rFonts w:asciiTheme="minorHAnsi" w:hAnsiTheme="minorHAnsi" w:hint="cs"/>
          <w:sz w:val="24"/>
          <w:szCs w:val="24"/>
          <w:rtl/>
          <w:lang w:bidi="ar-MA"/>
        </w:rPr>
        <w:t xml:space="preserve">     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أشغال البناء </w:t>
      </w:r>
      <w:r w:rsidR="0062212A" w:rsidRPr="00F71699">
        <w:rPr>
          <w:rFonts w:asciiTheme="minorHAnsi" w:hAnsiTheme="minorHAnsi" w:hint="cs"/>
          <w:sz w:val="24"/>
          <w:szCs w:val="24"/>
          <w:rtl/>
          <w:lang w:bidi="ar-MA"/>
        </w:rPr>
        <w:t>الم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>ت</w:t>
      </w:r>
      <w:r w:rsidR="0062212A" w:rsidRPr="00F71699">
        <w:rPr>
          <w:rFonts w:asciiTheme="minorHAnsi" w:hAnsiTheme="minorHAnsi" w:hint="cs"/>
          <w:sz w:val="24"/>
          <w:szCs w:val="24"/>
          <w:rtl/>
          <w:lang w:bidi="ar-MA"/>
        </w:rPr>
        <w:t>خصص</w:t>
      </w:r>
      <w:r w:rsidR="0062212A" w:rsidRPr="00F71699">
        <w:rPr>
          <w:rFonts w:asciiTheme="minorHAnsi" w:hAnsiTheme="minorHAnsi" w:hint="eastAsia"/>
          <w:sz w:val="24"/>
          <w:szCs w:val="24"/>
          <w:rtl/>
          <w:lang w:bidi="ar-MA"/>
        </w:rPr>
        <w:t>ة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". و فيما يخص عدد المشتغلين خلال الفصل ال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>رابع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لسنة 2015، </w:t>
      </w:r>
      <w:r w:rsidR="00F71699" w:rsidRPr="00F71699">
        <w:rPr>
          <w:rFonts w:asciiTheme="minorHAnsi" w:hAnsiTheme="minorHAnsi"/>
          <w:sz w:val="24"/>
          <w:szCs w:val="24"/>
          <w:rtl/>
          <w:lang w:bidi="ar-MA"/>
        </w:rPr>
        <w:t>فإن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ثلثي </w:t>
      </w:r>
      <w:r w:rsidR="00F71699" w:rsidRPr="00F71699">
        <w:rPr>
          <w:rFonts w:asciiTheme="minorHAnsi" w:hAnsiTheme="minorHAnsi"/>
          <w:sz w:val="24"/>
          <w:szCs w:val="24"/>
          <w:rtl/>
          <w:lang w:bidi="ar-MA"/>
        </w:rPr>
        <w:t>مسؤول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ي</w:t>
      </w:r>
      <w:r w:rsidR="00F71699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مقاولات قطاع  البناء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يتوقعون 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 xml:space="preserve">شبه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استقرار</w:t>
      </w:r>
      <w:r w:rsidR="00A74EC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A74EC9" w:rsidRPr="00E30FD6">
        <w:rPr>
          <w:rFonts w:asciiTheme="minorHAnsi" w:hAnsiTheme="minorHAnsi" w:hint="cs"/>
          <w:sz w:val="24"/>
          <w:szCs w:val="24"/>
          <w:rtl/>
          <w:lang w:bidi="ar-MA"/>
        </w:rPr>
        <w:t>هذا العدد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. </w:t>
      </w:r>
    </w:p>
    <w:p w:rsidR="008E1590" w:rsidRDefault="008E1590" w:rsidP="008E1590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</w:p>
    <w:p w:rsidR="005734CB" w:rsidRPr="00F71699" w:rsidRDefault="005734CB" w:rsidP="005734CB">
      <w:pPr>
        <w:pStyle w:val="Retraitcorpsdetexte"/>
        <w:spacing w:before="240" w:after="240"/>
        <w:ind w:left="-2" w:firstLine="0"/>
        <w:jc w:val="center"/>
        <w:rPr>
          <w:rFonts w:asciiTheme="minorHAnsi" w:hAnsiTheme="minorHAnsi"/>
          <w:sz w:val="24"/>
          <w:szCs w:val="24"/>
          <w:lang w:bidi="ar-MA"/>
        </w:rPr>
      </w:pPr>
    </w:p>
    <w:sectPr w:rsidR="005734CB" w:rsidRPr="00F71699" w:rsidSect="006926C0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52" w:rsidRDefault="00F30252" w:rsidP="000E251D">
      <w:r>
        <w:separator/>
      </w:r>
    </w:p>
  </w:endnote>
  <w:endnote w:type="continuationSeparator" w:id="1">
    <w:p w:rsidR="00F30252" w:rsidRDefault="00F30252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972433"/>
      <w:docPartObj>
        <w:docPartGallery w:val="Page Numbers (Bottom of Page)"/>
        <w:docPartUnique/>
      </w:docPartObj>
    </w:sdtPr>
    <w:sdtContent>
      <w:p w:rsidR="006926C0" w:rsidRDefault="008F0B1F">
        <w:pPr>
          <w:pStyle w:val="Pieddepage"/>
          <w:jc w:val="center"/>
        </w:pPr>
        <w:fldSimple w:instr=" PAGE   \* MERGEFORMAT ">
          <w:r w:rsidR="00082557">
            <w:rPr>
              <w:noProof/>
              <w:rtl/>
            </w:rPr>
            <w:t>1</w:t>
          </w:r>
        </w:fldSimple>
      </w:p>
    </w:sdtContent>
  </w:sdt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52" w:rsidRDefault="00F30252" w:rsidP="000E251D">
      <w:r>
        <w:separator/>
      </w:r>
    </w:p>
  </w:footnote>
  <w:footnote w:type="continuationSeparator" w:id="1">
    <w:p w:rsidR="00F30252" w:rsidRDefault="00F30252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1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2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FB"/>
    <w:rsid w:val="00005DF0"/>
    <w:rsid w:val="00006D1C"/>
    <w:rsid w:val="00007707"/>
    <w:rsid w:val="0001667E"/>
    <w:rsid w:val="00025B4D"/>
    <w:rsid w:val="00027E35"/>
    <w:rsid w:val="00036FC3"/>
    <w:rsid w:val="000421E6"/>
    <w:rsid w:val="000462D3"/>
    <w:rsid w:val="00047173"/>
    <w:rsid w:val="000516D7"/>
    <w:rsid w:val="0006322D"/>
    <w:rsid w:val="000654DD"/>
    <w:rsid w:val="000657C4"/>
    <w:rsid w:val="0007049E"/>
    <w:rsid w:val="000711FC"/>
    <w:rsid w:val="00082557"/>
    <w:rsid w:val="000838A8"/>
    <w:rsid w:val="00083993"/>
    <w:rsid w:val="00093354"/>
    <w:rsid w:val="000B7837"/>
    <w:rsid w:val="000E251D"/>
    <w:rsid w:val="000F7FCB"/>
    <w:rsid w:val="00104B56"/>
    <w:rsid w:val="00112B0B"/>
    <w:rsid w:val="001158C0"/>
    <w:rsid w:val="001241FB"/>
    <w:rsid w:val="00132A8E"/>
    <w:rsid w:val="00140D5A"/>
    <w:rsid w:val="00143950"/>
    <w:rsid w:val="001529DA"/>
    <w:rsid w:val="00162D9A"/>
    <w:rsid w:val="00166E4D"/>
    <w:rsid w:val="00170A3E"/>
    <w:rsid w:val="001711F3"/>
    <w:rsid w:val="001732E6"/>
    <w:rsid w:val="001751C1"/>
    <w:rsid w:val="001762D6"/>
    <w:rsid w:val="00176CFE"/>
    <w:rsid w:val="001826A5"/>
    <w:rsid w:val="00182F91"/>
    <w:rsid w:val="00184198"/>
    <w:rsid w:val="00184F33"/>
    <w:rsid w:val="001872CC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E2FEF"/>
    <w:rsid w:val="001E6A8E"/>
    <w:rsid w:val="001E7CF3"/>
    <w:rsid w:val="001F46A9"/>
    <w:rsid w:val="0020243C"/>
    <w:rsid w:val="00203A6B"/>
    <w:rsid w:val="002077CD"/>
    <w:rsid w:val="002173B7"/>
    <w:rsid w:val="0022350B"/>
    <w:rsid w:val="00226884"/>
    <w:rsid w:val="00237BFF"/>
    <w:rsid w:val="00240EBB"/>
    <w:rsid w:val="00244B83"/>
    <w:rsid w:val="002479F7"/>
    <w:rsid w:val="002508B1"/>
    <w:rsid w:val="00261807"/>
    <w:rsid w:val="002626E5"/>
    <w:rsid w:val="0026369E"/>
    <w:rsid w:val="002B290B"/>
    <w:rsid w:val="002B72E0"/>
    <w:rsid w:val="002C15BC"/>
    <w:rsid w:val="002C5B68"/>
    <w:rsid w:val="002C6BBC"/>
    <w:rsid w:val="002E4C07"/>
    <w:rsid w:val="002F100B"/>
    <w:rsid w:val="002F2296"/>
    <w:rsid w:val="002F382A"/>
    <w:rsid w:val="003024E2"/>
    <w:rsid w:val="003108B5"/>
    <w:rsid w:val="00314A87"/>
    <w:rsid w:val="00314D4E"/>
    <w:rsid w:val="00322C86"/>
    <w:rsid w:val="00331B24"/>
    <w:rsid w:val="00337681"/>
    <w:rsid w:val="0034059B"/>
    <w:rsid w:val="00343A3B"/>
    <w:rsid w:val="00344CE3"/>
    <w:rsid w:val="00361087"/>
    <w:rsid w:val="00364CD0"/>
    <w:rsid w:val="003677B3"/>
    <w:rsid w:val="00377535"/>
    <w:rsid w:val="00380648"/>
    <w:rsid w:val="003B6D89"/>
    <w:rsid w:val="003C322F"/>
    <w:rsid w:val="003D4F40"/>
    <w:rsid w:val="003F6332"/>
    <w:rsid w:val="003F757B"/>
    <w:rsid w:val="00401ED0"/>
    <w:rsid w:val="00403042"/>
    <w:rsid w:val="004062D5"/>
    <w:rsid w:val="00406CD7"/>
    <w:rsid w:val="00412BF2"/>
    <w:rsid w:val="004172A0"/>
    <w:rsid w:val="004233BB"/>
    <w:rsid w:val="0042530F"/>
    <w:rsid w:val="004324FC"/>
    <w:rsid w:val="00436426"/>
    <w:rsid w:val="00437834"/>
    <w:rsid w:val="00440497"/>
    <w:rsid w:val="00447FBF"/>
    <w:rsid w:val="004551FE"/>
    <w:rsid w:val="004559FB"/>
    <w:rsid w:val="004573EE"/>
    <w:rsid w:val="00463BA2"/>
    <w:rsid w:val="0046579C"/>
    <w:rsid w:val="0047141D"/>
    <w:rsid w:val="00474170"/>
    <w:rsid w:val="00474E92"/>
    <w:rsid w:val="00482288"/>
    <w:rsid w:val="00490CC8"/>
    <w:rsid w:val="00493B38"/>
    <w:rsid w:val="00493B58"/>
    <w:rsid w:val="004955CB"/>
    <w:rsid w:val="00496A1C"/>
    <w:rsid w:val="00496B2B"/>
    <w:rsid w:val="004A2020"/>
    <w:rsid w:val="004B45CB"/>
    <w:rsid w:val="004B7154"/>
    <w:rsid w:val="004C2ACE"/>
    <w:rsid w:val="004D0E23"/>
    <w:rsid w:val="004F64BA"/>
    <w:rsid w:val="0050230A"/>
    <w:rsid w:val="005055E7"/>
    <w:rsid w:val="0050605A"/>
    <w:rsid w:val="00507BE5"/>
    <w:rsid w:val="0051593C"/>
    <w:rsid w:val="00516ACF"/>
    <w:rsid w:val="0056350E"/>
    <w:rsid w:val="0057004E"/>
    <w:rsid w:val="005734CB"/>
    <w:rsid w:val="00573CA1"/>
    <w:rsid w:val="0058261F"/>
    <w:rsid w:val="005830D8"/>
    <w:rsid w:val="00585BD6"/>
    <w:rsid w:val="00592ED6"/>
    <w:rsid w:val="00597456"/>
    <w:rsid w:val="005A153A"/>
    <w:rsid w:val="005A21C1"/>
    <w:rsid w:val="005B0459"/>
    <w:rsid w:val="005C5608"/>
    <w:rsid w:val="005D2A5B"/>
    <w:rsid w:val="005E6BA5"/>
    <w:rsid w:val="005F0291"/>
    <w:rsid w:val="005F4246"/>
    <w:rsid w:val="005F4963"/>
    <w:rsid w:val="005F4B22"/>
    <w:rsid w:val="00600352"/>
    <w:rsid w:val="006032A4"/>
    <w:rsid w:val="006143A0"/>
    <w:rsid w:val="00617CBA"/>
    <w:rsid w:val="0062212A"/>
    <w:rsid w:val="00625BF8"/>
    <w:rsid w:val="00633EEC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3F53"/>
    <w:rsid w:val="00684106"/>
    <w:rsid w:val="006926C0"/>
    <w:rsid w:val="0069333C"/>
    <w:rsid w:val="006A299F"/>
    <w:rsid w:val="006B7980"/>
    <w:rsid w:val="006C7BC4"/>
    <w:rsid w:val="006D0FD4"/>
    <w:rsid w:val="006D51ED"/>
    <w:rsid w:val="006D77E1"/>
    <w:rsid w:val="006E1145"/>
    <w:rsid w:val="006E2123"/>
    <w:rsid w:val="006E7C13"/>
    <w:rsid w:val="006F45F9"/>
    <w:rsid w:val="006F6A60"/>
    <w:rsid w:val="006F7803"/>
    <w:rsid w:val="00700124"/>
    <w:rsid w:val="00701EF7"/>
    <w:rsid w:val="00715A4E"/>
    <w:rsid w:val="007229BC"/>
    <w:rsid w:val="007246DA"/>
    <w:rsid w:val="00732E82"/>
    <w:rsid w:val="00742D5D"/>
    <w:rsid w:val="00747D2E"/>
    <w:rsid w:val="00754718"/>
    <w:rsid w:val="0076571C"/>
    <w:rsid w:val="00767DE1"/>
    <w:rsid w:val="0078558E"/>
    <w:rsid w:val="00785E54"/>
    <w:rsid w:val="00786CC5"/>
    <w:rsid w:val="00796595"/>
    <w:rsid w:val="00796E2F"/>
    <w:rsid w:val="007A21DC"/>
    <w:rsid w:val="007A4F6A"/>
    <w:rsid w:val="007C17D7"/>
    <w:rsid w:val="007C439E"/>
    <w:rsid w:val="007D3AC1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5FAF"/>
    <w:rsid w:val="00806102"/>
    <w:rsid w:val="00813DC1"/>
    <w:rsid w:val="0082039D"/>
    <w:rsid w:val="00823856"/>
    <w:rsid w:val="00826B2D"/>
    <w:rsid w:val="00827D5B"/>
    <w:rsid w:val="008340F7"/>
    <w:rsid w:val="00842958"/>
    <w:rsid w:val="0085677C"/>
    <w:rsid w:val="00856AA8"/>
    <w:rsid w:val="00863C9C"/>
    <w:rsid w:val="00871420"/>
    <w:rsid w:val="0088576A"/>
    <w:rsid w:val="008972CF"/>
    <w:rsid w:val="008979E8"/>
    <w:rsid w:val="008A7828"/>
    <w:rsid w:val="008B06D3"/>
    <w:rsid w:val="008B1E99"/>
    <w:rsid w:val="008B4C41"/>
    <w:rsid w:val="008B641D"/>
    <w:rsid w:val="008C29E1"/>
    <w:rsid w:val="008C3DC3"/>
    <w:rsid w:val="008D59AE"/>
    <w:rsid w:val="008D61F3"/>
    <w:rsid w:val="008D7762"/>
    <w:rsid w:val="008E1590"/>
    <w:rsid w:val="008F0B1F"/>
    <w:rsid w:val="008F23EA"/>
    <w:rsid w:val="008F656B"/>
    <w:rsid w:val="009028CE"/>
    <w:rsid w:val="00904B58"/>
    <w:rsid w:val="00905C0E"/>
    <w:rsid w:val="00910F07"/>
    <w:rsid w:val="009113E6"/>
    <w:rsid w:val="0091366F"/>
    <w:rsid w:val="00922AA3"/>
    <w:rsid w:val="00931D5D"/>
    <w:rsid w:val="00933889"/>
    <w:rsid w:val="009360BC"/>
    <w:rsid w:val="00943253"/>
    <w:rsid w:val="00953868"/>
    <w:rsid w:val="00960FCA"/>
    <w:rsid w:val="00967215"/>
    <w:rsid w:val="00972B7F"/>
    <w:rsid w:val="00975A24"/>
    <w:rsid w:val="00980D11"/>
    <w:rsid w:val="00982EF0"/>
    <w:rsid w:val="00987981"/>
    <w:rsid w:val="00990E56"/>
    <w:rsid w:val="0099293B"/>
    <w:rsid w:val="009A3C12"/>
    <w:rsid w:val="009A7006"/>
    <w:rsid w:val="009C780E"/>
    <w:rsid w:val="009D1660"/>
    <w:rsid w:val="009F41E7"/>
    <w:rsid w:val="009F6CC2"/>
    <w:rsid w:val="00A01226"/>
    <w:rsid w:val="00A0209F"/>
    <w:rsid w:val="00A03EC1"/>
    <w:rsid w:val="00A06584"/>
    <w:rsid w:val="00A175B3"/>
    <w:rsid w:val="00A4347D"/>
    <w:rsid w:val="00A44E94"/>
    <w:rsid w:val="00A460BB"/>
    <w:rsid w:val="00A63143"/>
    <w:rsid w:val="00A71C65"/>
    <w:rsid w:val="00A74EC9"/>
    <w:rsid w:val="00A95855"/>
    <w:rsid w:val="00A9770D"/>
    <w:rsid w:val="00AB4F2D"/>
    <w:rsid w:val="00AC0BAD"/>
    <w:rsid w:val="00AC68C9"/>
    <w:rsid w:val="00AD08B3"/>
    <w:rsid w:val="00AD4B6C"/>
    <w:rsid w:val="00AF0BD7"/>
    <w:rsid w:val="00AF2340"/>
    <w:rsid w:val="00AF5A6B"/>
    <w:rsid w:val="00B120F8"/>
    <w:rsid w:val="00B12E1A"/>
    <w:rsid w:val="00B22AEE"/>
    <w:rsid w:val="00B25491"/>
    <w:rsid w:val="00B26CE3"/>
    <w:rsid w:val="00B32A94"/>
    <w:rsid w:val="00B349BE"/>
    <w:rsid w:val="00B448DD"/>
    <w:rsid w:val="00B45EFC"/>
    <w:rsid w:val="00B511E9"/>
    <w:rsid w:val="00B53DD5"/>
    <w:rsid w:val="00B56B5F"/>
    <w:rsid w:val="00B5733C"/>
    <w:rsid w:val="00B640ED"/>
    <w:rsid w:val="00B70A22"/>
    <w:rsid w:val="00BA4E38"/>
    <w:rsid w:val="00BA5872"/>
    <w:rsid w:val="00BA6A7F"/>
    <w:rsid w:val="00BC4F68"/>
    <w:rsid w:val="00BD094C"/>
    <w:rsid w:val="00BE00BE"/>
    <w:rsid w:val="00BF2E0A"/>
    <w:rsid w:val="00BF64B1"/>
    <w:rsid w:val="00C04184"/>
    <w:rsid w:val="00C04B92"/>
    <w:rsid w:val="00C066E4"/>
    <w:rsid w:val="00C22B99"/>
    <w:rsid w:val="00C261FA"/>
    <w:rsid w:val="00C27532"/>
    <w:rsid w:val="00C276E6"/>
    <w:rsid w:val="00C301AB"/>
    <w:rsid w:val="00C36985"/>
    <w:rsid w:val="00C40F00"/>
    <w:rsid w:val="00C46166"/>
    <w:rsid w:val="00C633BC"/>
    <w:rsid w:val="00C637F5"/>
    <w:rsid w:val="00C64ABE"/>
    <w:rsid w:val="00C7540C"/>
    <w:rsid w:val="00C8219C"/>
    <w:rsid w:val="00C8289F"/>
    <w:rsid w:val="00C9110F"/>
    <w:rsid w:val="00C94AC9"/>
    <w:rsid w:val="00C95132"/>
    <w:rsid w:val="00C95443"/>
    <w:rsid w:val="00C95E7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E13A8"/>
    <w:rsid w:val="00CF4006"/>
    <w:rsid w:val="00CF6C90"/>
    <w:rsid w:val="00D03C03"/>
    <w:rsid w:val="00D06A8C"/>
    <w:rsid w:val="00D26F4C"/>
    <w:rsid w:val="00D304DD"/>
    <w:rsid w:val="00D31D01"/>
    <w:rsid w:val="00D65D53"/>
    <w:rsid w:val="00D669C1"/>
    <w:rsid w:val="00D6798F"/>
    <w:rsid w:val="00D70B72"/>
    <w:rsid w:val="00D72320"/>
    <w:rsid w:val="00D7558A"/>
    <w:rsid w:val="00D8017F"/>
    <w:rsid w:val="00D80C65"/>
    <w:rsid w:val="00D84A07"/>
    <w:rsid w:val="00D8576F"/>
    <w:rsid w:val="00D97663"/>
    <w:rsid w:val="00DA0708"/>
    <w:rsid w:val="00DA79BD"/>
    <w:rsid w:val="00DB37A2"/>
    <w:rsid w:val="00DE28B8"/>
    <w:rsid w:val="00DF16A1"/>
    <w:rsid w:val="00E122E1"/>
    <w:rsid w:val="00E15843"/>
    <w:rsid w:val="00E16988"/>
    <w:rsid w:val="00E24835"/>
    <w:rsid w:val="00E30FD6"/>
    <w:rsid w:val="00E36C16"/>
    <w:rsid w:val="00E37B14"/>
    <w:rsid w:val="00E422E0"/>
    <w:rsid w:val="00E460CB"/>
    <w:rsid w:val="00E56D4F"/>
    <w:rsid w:val="00E74597"/>
    <w:rsid w:val="00E8542C"/>
    <w:rsid w:val="00E94AAC"/>
    <w:rsid w:val="00E95835"/>
    <w:rsid w:val="00E976A2"/>
    <w:rsid w:val="00EA6B13"/>
    <w:rsid w:val="00EB48EA"/>
    <w:rsid w:val="00EB4C83"/>
    <w:rsid w:val="00EC75C5"/>
    <w:rsid w:val="00ED6DD1"/>
    <w:rsid w:val="00EE3B01"/>
    <w:rsid w:val="00EE44C7"/>
    <w:rsid w:val="00EE65F7"/>
    <w:rsid w:val="00EF6C75"/>
    <w:rsid w:val="00EF7137"/>
    <w:rsid w:val="00EF74BE"/>
    <w:rsid w:val="00F02EC5"/>
    <w:rsid w:val="00F1017D"/>
    <w:rsid w:val="00F115D6"/>
    <w:rsid w:val="00F17282"/>
    <w:rsid w:val="00F22ABD"/>
    <w:rsid w:val="00F258C6"/>
    <w:rsid w:val="00F30252"/>
    <w:rsid w:val="00F5385F"/>
    <w:rsid w:val="00F65198"/>
    <w:rsid w:val="00F65576"/>
    <w:rsid w:val="00F65EE7"/>
    <w:rsid w:val="00F71699"/>
    <w:rsid w:val="00F744BD"/>
    <w:rsid w:val="00F815EE"/>
    <w:rsid w:val="00FA2F35"/>
    <w:rsid w:val="00FA7EEA"/>
    <w:rsid w:val="00FB117E"/>
    <w:rsid w:val="00FD03BE"/>
    <w:rsid w:val="00FD23D4"/>
    <w:rsid w:val="00FD3870"/>
    <w:rsid w:val="00FD669F"/>
    <w:rsid w:val="00FE1D43"/>
    <w:rsid w:val="00FE4064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2409]"/>
    </o:shapedefaults>
    <o:shapelayout v:ext="edit">
      <o:idmap v:ext="edit" data="1"/>
      <o:rules v:ext="edit">
        <o:r id="V:Rule2" type="connector" idref="#_x0000_s105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elhamoumi\Desktop\construction\4tr2015%20construction\Tableaux%20construction%20pour%20graphiques2%20a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selhamoumi\Desktop\construction\4tr2015%20construction\Tableaux%20construction%20pour%20graphiques1%20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التحويلية </a:t>
            </a:r>
            <a:endParaRPr lang="fr-FR" sz="800"/>
          </a:p>
          <a:p>
            <a:pPr algn="ctr">
              <a:defRPr sz="800"/>
            </a:pPr>
            <a:r>
              <a:rPr lang="fr-FR" sz="800" b="1" i="0" baseline="0"/>
              <a:t>)</a:t>
            </a:r>
            <a:r>
              <a:rPr lang="ar-MA" sz="800" b="1" i="0" baseline="0"/>
              <a:t>النسبة ب %</a:t>
            </a:r>
            <a:r>
              <a:rPr lang="fr-FR" sz="800" b="1" i="0" baseline="0"/>
              <a:t>(</a:t>
            </a:r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223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'Feuil1'!$B$1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'Feuil1'!$B$2:$B$5</c:f>
              <c:numCache>
                <c:formatCode>0</c:formatCode>
                <c:ptCount val="4"/>
                <c:pt idx="0">
                  <c:v>23.97</c:v>
                </c:pt>
                <c:pt idx="1">
                  <c:v>5.33</c:v>
                </c:pt>
                <c:pt idx="2">
                  <c:v>3.3899999999999997</c:v>
                </c:pt>
                <c:pt idx="3">
                  <c:v>18.54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'Feuil1'!$C$2:$C$5</c:f>
              <c:numCache>
                <c:formatCode>0</c:formatCode>
                <c:ptCount val="4"/>
                <c:pt idx="0">
                  <c:v>26.71</c:v>
                </c:pt>
                <c:pt idx="1">
                  <c:v>51.05</c:v>
                </c:pt>
                <c:pt idx="2">
                  <c:v>63.349999999999994</c:v>
                </c:pt>
                <c:pt idx="3">
                  <c:v>30.56</c:v>
                </c:pt>
              </c:numCache>
            </c:numRef>
          </c:val>
        </c:ser>
        <c:ser>
          <c:idx val="2"/>
          <c:order val="2"/>
          <c:tx>
            <c:strRef>
              <c:f>'Feuil1'!$D$1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'Feuil1'!$D$2:$D$5</c:f>
              <c:numCache>
                <c:formatCode>0</c:formatCode>
                <c:ptCount val="4"/>
                <c:pt idx="0">
                  <c:v>49.32</c:v>
                </c:pt>
                <c:pt idx="1">
                  <c:v>43.620000000000012</c:v>
                </c:pt>
                <c:pt idx="2">
                  <c:v>33.270000000000003</c:v>
                </c:pt>
                <c:pt idx="3">
                  <c:v>50.9</c:v>
                </c:pt>
              </c:numCache>
            </c:numRef>
          </c:val>
        </c:ser>
        <c:ser>
          <c:idx val="3"/>
          <c:order val="3"/>
          <c:tx>
            <c:strRef>
              <c:f>'Feuil1'!$E$1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'Feuil1'!$E$2:$E$5</c:f>
              <c:numCache>
                <c:formatCode>0</c:formatCode>
                <c:ptCount val="4"/>
                <c:pt idx="0">
                  <c:v>-25.35</c:v>
                </c:pt>
                <c:pt idx="1">
                  <c:v>-39</c:v>
                </c:pt>
                <c:pt idx="2">
                  <c:v>-29.88</c:v>
                </c:pt>
                <c:pt idx="3">
                  <c:v>-32.36</c:v>
                </c:pt>
              </c:numCache>
            </c:numRef>
          </c:val>
        </c:ser>
        <c:axId val="107198336"/>
        <c:axId val="107199872"/>
      </c:barChart>
      <c:catAx>
        <c:axId val="107198336"/>
        <c:scaling>
          <c:orientation val="minMax"/>
        </c:scaling>
        <c:axPos val="b"/>
        <c:majorGridlines/>
        <c:majorTickMark val="none"/>
        <c:tickLblPos val="low"/>
        <c:txPr>
          <a:bodyPr rot="0" vert="horz" anchor="b" anchorCtr="1"/>
          <a:lstStyle/>
          <a:p>
            <a:pPr>
              <a:defRPr sz="800" b="1"/>
            </a:pPr>
            <a:endParaRPr lang="fr-FR"/>
          </a:p>
        </c:txPr>
        <c:crossAx val="107199872"/>
        <c:crosses val="autoZero"/>
        <c:auto val="1"/>
        <c:lblAlgn val="ctr"/>
        <c:lblOffset val="100"/>
        <c:tickLblSkip val="1"/>
      </c:catAx>
      <c:valAx>
        <c:axId val="10719987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0719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5422430304612"/>
          <c:y val="0.3564784634478862"/>
          <c:w val="0.16550010640561819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الاستخراجية</a:t>
            </a:r>
            <a:endParaRPr lang="fr-FR" sz="800"/>
          </a:p>
          <a:p>
            <a:pPr algn="ctr">
              <a:defRPr sz="800"/>
            </a:pPr>
            <a:r>
              <a:rPr lang="ar-MA" sz="800" b="1" i="0" baseline="0"/>
              <a:t> </a:t>
            </a:r>
            <a:r>
              <a:rPr lang="fr-FR" sz="800" b="1" i="0" baseline="0"/>
              <a:t>)</a:t>
            </a:r>
            <a:r>
              <a:rPr lang="ar-MA" sz="800" b="1" i="0" baseline="0"/>
              <a:t>النسبة ب %</a:t>
            </a:r>
            <a:r>
              <a:rPr lang="fr-FR" sz="800" b="1" i="0" baseline="0"/>
              <a:t>(</a:t>
            </a:r>
          </a:p>
          <a:p>
            <a:pPr algn="ctr">
              <a:defRPr sz="800"/>
            </a:pPr>
            <a:endParaRPr lang="fr-FR" sz="800" b="1" i="0" baseline="0"/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  <c:layout>
        <c:manualLayout>
          <c:xMode val="edge"/>
          <c:yMode val="edge"/>
          <c:x val="0.22368411924396267"/>
          <c:y val="7.6183499866351909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'Feuil1'!$B$1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'Feuil1'!$B$2:$B$5</c:f>
              <c:numCache>
                <c:formatCode>0</c:formatCode>
                <c:ptCount val="4"/>
                <c:pt idx="0">
                  <c:v>92.85</c:v>
                </c:pt>
                <c:pt idx="1">
                  <c:v>0</c:v>
                </c:pt>
                <c:pt idx="2">
                  <c:v>6.58</c:v>
                </c:pt>
                <c:pt idx="3">
                  <c:v>6.58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'Feuil1'!$C$2:$C$5</c:f>
              <c:numCache>
                <c:formatCode>0</c:formatCode>
                <c:ptCount val="4"/>
                <c:pt idx="0">
                  <c:v>4.37</c:v>
                </c:pt>
                <c:pt idx="1">
                  <c:v>97.56</c:v>
                </c:pt>
                <c:pt idx="2">
                  <c:v>82.210000000000022</c:v>
                </c:pt>
                <c:pt idx="3">
                  <c:v>90.97</c:v>
                </c:pt>
              </c:numCache>
            </c:numRef>
          </c:val>
        </c:ser>
        <c:ser>
          <c:idx val="2"/>
          <c:order val="2"/>
          <c:tx>
            <c:strRef>
              <c:f>'Feuil1'!$D$1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'Feuil1'!$D$2:$D$5</c:f>
              <c:numCache>
                <c:formatCode>0</c:formatCode>
                <c:ptCount val="4"/>
                <c:pt idx="0">
                  <c:v>2.77</c:v>
                </c:pt>
                <c:pt idx="1">
                  <c:v>2.44</c:v>
                </c:pt>
                <c:pt idx="2">
                  <c:v>11.209999999999999</c:v>
                </c:pt>
                <c:pt idx="3">
                  <c:v>2.4499999999999997</c:v>
                </c:pt>
              </c:numCache>
            </c:numRef>
          </c:val>
        </c:ser>
        <c:ser>
          <c:idx val="3"/>
          <c:order val="3"/>
          <c:tx>
            <c:strRef>
              <c:f>'Feuil1'!$E$1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'Feuil1'!$E$2:$E$5</c:f>
              <c:numCache>
                <c:formatCode>0</c:formatCode>
                <c:ptCount val="4"/>
                <c:pt idx="0">
                  <c:v>90.08</c:v>
                </c:pt>
                <c:pt idx="1">
                  <c:v>-2.44</c:v>
                </c:pt>
                <c:pt idx="2">
                  <c:v>-4</c:v>
                </c:pt>
                <c:pt idx="3">
                  <c:v>4.13</c:v>
                </c:pt>
              </c:numCache>
            </c:numRef>
          </c:val>
        </c:ser>
        <c:axId val="107070976"/>
        <c:axId val="107072512"/>
      </c:barChart>
      <c:catAx>
        <c:axId val="107070976"/>
        <c:scaling>
          <c:orientation val="minMax"/>
        </c:scaling>
        <c:axPos val="b"/>
        <c:majorGridlines/>
        <c:majorTickMark val="none"/>
        <c:tickLblPos val="low"/>
        <c:txPr>
          <a:bodyPr rot="0" vert="horz" anchor="b" anchorCtr="1"/>
          <a:lstStyle/>
          <a:p>
            <a:pPr>
              <a:defRPr sz="700" b="1"/>
            </a:pPr>
            <a:endParaRPr lang="fr-FR"/>
          </a:p>
        </c:txPr>
        <c:crossAx val="107072512"/>
        <c:crosses val="autoZero"/>
        <c:auto val="1"/>
        <c:lblAlgn val="ctr"/>
        <c:lblOffset val="100"/>
        <c:tickLblSkip val="1"/>
      </c:catAx>
      <c:valAx>
        <c:axId val="1070725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07070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224844286"/>
          <c:y val="0.44950171926183646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الطاقية </a:t>
            </a:r>
            <a:endParaRPr lang="fr-FR" sz="800" b="1"/>
          </a:p>
          <a:p>
            <a:pPr algn="ctr">
              <a:defRPr sz="800"/>
            </a:pPr>
            <a:r>
              <a:rPr lang="fr-FR" sz="800" b="1" i="0" baseline="0"/>
              <a:t>)</a:t>
            </a:r>
            <a:r>
              <a:rPr lang="ar-MA" sz="800" b="1" i="0" baseline="0"/>
              <a:t>النسبة ب %</a:t>
            </a:r>
            <a:r>
              <a:rPr lang="fr-FR" sz="800" b="1" i="0" baseline="0"/>
              <a:t>(</a:t>
            </a:r>
            <a:endParaRPr lang="fr-FR" sz="800" b="1"/>
          </a:p>
        </c:rich>
      </c:tx>
      <c:layout>
        <c:manualLayout>
          <c:xMode val="edge"/>
          <c:yMode val="edge"/>
          <c:x val="0.23519948218694703"/>
          <c:y val="5.2066425931702829E-3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14084812499493041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'Feuil1'!$B$1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'Feuil1'!$B$2:$B$5</c:f>
              <c:numCache>
                <c:formatCode>0</c:formatCode>
                <c:ptCount val="4"/>
                <c:pt idx="0">
                  <c:v>91.3</c:v>
                </c:pt>
                <c:pt idx="1">
                  <c:v>0</c:v>
                </c:pt>
                <c:pt idx="2">
                  <c:v>91.3</c:v>
                </c:pt>
                <c:pt idx="3">
                  <c:v>98.7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'Feuil1'!$C$2:$C$5</c:f>
              <c:numCache>
                <c:formatCode>0</c:formatCode>
                <c:ptCount val="4"/>
                <c:pt idx="0">
                  <c:v>5.8199999999999985</c:v>
                </c:pt>
                <c:pt idx="1">
                  <c:v>8.7000000000000011</c:v>
                </c:pt>
                <c:pt idx="2">
                  <c:v>8.7000000000000011</c:v>
                </c:pt>
                <c:pt idx="3">
                  <c:v>1.3</c:v>
                </c:pt>
              </c:numCache>
            </c:numRef>
          </c:val>
        </c:ser>
        <c:ser>
          <c:idx val="2"/>
          <c:order val="2"/>
          <c:tx>
            <c:strRef>
              <c:f>'Feuil1'!$D$1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'Feuil1'!$D$2:$D$5</c:f>
              <c:numCache>
                <c:formatCode>0</c:formatCode>
                <c:ptCount val="4"/>
                <c:pt idx="0">
                  <c:v>2.8899999999999997</c:v>
                </c:pt>
                <c:pt idx="1">
                  <c:v>91.3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'Feuil1'!$E$1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'Feuil1'!$E$2:$E$5</c:f>
              <c:numCache>
                <c:formatCode>0</c:formatCode>
                <c:ptCount val="4"/>
                <c:pt idx="0">
                  <c:v>88.410000000000025</c:v>
                </c:pt>
                <c:pt idx="1">
                  <c:v>-91.3</c:v>
                </c:pt>
                <c:pt idx="2">
                  <c:v>91.3</c:v>
                </c:pt>
                <c:pt idx="3">
                  <c:v>98.7</c:v>
                </c:pt>
              </c:numCache>
            </c:numRef>
          </c:val>
        </c:ser>
        <c:axId val="119186560"/>
        <c:axId val="119188096"/>
      </c:barChart>
      <c:catAx>
        <c:axId val="119186560"/>
        <c:scaling>
          <c:orientation val="minMax"/>
        </c:scaling>
        <c:axPos val="b"/>
        <c:majorGridlines/>
        <c:majorTickMark val="none"/>
        <c:tickLblPos val="low"/>
        <c:txPr>
          <a:bodyPr rot="0" vert="horz" anchor="b" anchorCtr="1"/>
          <a:lstStyle/>
          <a:p>
            <a:pPr>
              <a:defRPr sz="800" b="1"/>
            </a:pPr>
            <a:endParaRPr lang="fr-FR"/>
          </a:p>
        </c:txPr>
        <c:crossAx val="119188096"/>
        <c:crosses val="autoZero"/>
        <c:auto val="1"/>
        <c:lblAlgn val="ctr"/>
        <c:lblOffset val="100"/>
        <c:tickLblSkip val="1"/>
      </c:catAx>
      <c:valAx>
        <c:axId val="1191880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9186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18767650163963"/>
          <c:y val="0.28684574193540258"/>
          <c:w val="0.1391667362104797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800" b="1" i="0" baseline="0"/>
              <a:t>آراء رؤساء مقاولات الصناعة البيئية </a:t>
            </a:r>
            <a:endParaRPr lang="fr-FR" sz="800"/>
          </a:p>
          <a:p>
            <a:pPr algn="ctr">
              <a:defRPr sz="800"/>
            </a:pPr>
            <a:r>
              <a:rPr lang="ar-MA" sz="800" b="1" i="0" baseline="0"/>
              <a:t>(النسبة ب %</a:t>
            </a:r>
            <a:r>
              <a:rPr lang="fr-FR" sz="800" b="1" i="0" baseline="0"/>
              <a:t>(</a:t>
            </a:r>
            <a:endParaRPr lang="fr-FR" sz="800"/>
          </a:p>
          <a:p>
            <a:pPr algn="ctr">
              <a:defRPr sz="800"/>
            </a:pPr>
            <a:r>
              <a:rPr lang="fr-FR" sz="800" b="1" i="0" baseline="0"/>
              <a:t> </a:t>
            </a:r>
          </a:p>
        </c:rich>
      </c:tx>
      <c:layout>
        <c:manualLayout>
          <c:xMode val="edge"/>
          <c:yMode val="edge"/>
          <c:x val="0.26812052798038488"/>
          <c:y val="2.3749480760273684E-3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15226905092156845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'Feuil1'!$B$1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'Feuil1'!$B$2:$B$5</c:f>
              <c:numCache>
                <c:formatCode>0</c:formatCode>
                <c:ptCount val="4"/>
                <c:pt idx="0">
                  <c:v>89.03</c:v>
                </c:pt>
                <c:pt idx="1">
                  <c:v>0</c:v>
                </c:pt>
                <c:pt idx="2">
                  <c:v>0</c:v>
                </c:pt>
                <c:pt idx="3">
                  <c:v>89.03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'Feuil1'!$C$2:$C$5</c:f>
              <c:numCache>
                <c:formatCode>0</c:formatCode>
                <c:ptCount val="4"/>
                <c:pt idx="0">
                  <c:v>10.97</c:v>
                </c:pt>
                <c:pt idx="1">
                  <c:v>96.97</c:v>
                </c:pt>
                <c:pt idx="2">
                  <c:v>100</c:v>
                </c:pt>
                <c:pt idx="3">
                  <c:v>7.94</c:v>
                </c:pt>
              </c:numCache>
            </c:numRef>
          </c:val>
        </c:ser>
        <c:ser>
          <c:idx val="2"/>
          <c:order val="2"/>
          <c:tx>
            <c:strRef>
              <c:f>'Feuil1'!$D$1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'Feuil1'!$D$2:$D$5</c:f>
              <c:numCache>
                <c:formatCode>0</c:formatCode>
                <c:ptCount val="4"/>
                <c:pt idx="0">
                  <c:v>0</c:v>
                </c:pt>
                <c:pt idx="1">
                  <c:v>3.03</c:v>
                </c:pt>
                <c:pt idx="2">
                  <c:v>0</c:v>
                </c:pt>
                <c:pt idx="3">
                  <c:v>3.03</c:v>
                </c:pt>
              </c:numCache>
            </c:numRef>
          </c:val>
        </c:ser>
        <c:ser>
          <c:idx val="3"/>
          <c:order val="3"/>
          <c:tx>
            <c:strRef>
              <c:f>'Feuil1'!$E$1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'Feuil1'!$E$2:$E$5</c:f>
              <c:numCache>
                <c:formatCode>0</c:formatCode>
                <c:ptCount val="4"/>
                <c:pt idx="0">
                  <c:v>89.03</c:v>
                </c:pt>
                <c:pt idx="1">
                  <c:v>-3.03</c:v>
                </c:pt>
                <c:pt idx="2">
                  <c:v>0</c:v>
                </c:pt>
                <c:pt idx="3">
                  <c:v>86</c:v>
                </c:pt>
              </c:numCache>
            </c:numRef>
          </c:val>
        </c:ser>
        <c:axId val="119153408"/>
        <c:axId val="119154944"/>
      </c:barChart>
      <c:catAx>
        <c:axId val="119153408"/>
        <c:scaling>
          <c:orientation val="minMax"/>
        </c:scaling>
        <c:axPos val="b"/>
        <c:majorGridlines/>
        <c:majorTickMark val="none"/>
        <c:tickLblPos val="low"/>
        <c:txPr>
          <a:bodyPr rot="0" vert="horz" anchor="b" anchorCtr="1"/>
          <a:lstStyle/>
          <a:p>
            <a:pPr>
              <a:defRPr sz="700" b="1"/>
            </a:pPr>
            <a:endParaRPr lang="fr-FR"/>
          </a:p>
        </c:txPr>
        <c:crossAx val="119154944"/>
        <c:crosses val="autoZero"/>
        <c:auto val="1"/>
        <c:lblAlgn val="ctr"/>
        <c:lblOffset val="100"/>
        <c:tickLblSkip val="1"/>
      </c:catAx>
      <c:valAx>
        <c:axId val="11915494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915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62923149899"/>
          <c:y val="0.34106440194897025"/>
          <c:w val="0.17535661700823968"/>
          <c:h val="0.29890333475757391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9.4692244351809521E-2"/>
          <c:y val="0.21631903925678422"/>
          <c:w val="0.65010857236355413"/>
          <c:h val="0.60499216374931553"/>
        </c:manualLayout>
      </c:layout>
      <c:barChart>
        <c:barDir val="col"/>
        <c:grouping val="clustered"/>
        <c:ser>
          <c:idx val="0"/>
          <c:order val="0"/>
          <c:tx>
            <c:strRef>
              <c:f>'Tableau 12 Ens'!$B$89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'Tableau 12 Ens'!$B$90:$B$93</c:f>
              <c:numCache>
                <c:formatCode>0</c:formatCode>
                <c:ptCount val="4"/>
                <c:pt idx="0">
                  <c:v>17.829982669458222</c:v>
                </c:pt>
                <c:pt idx="1">
                  <c:v>31.969957000000001</c:v>
                </c:pt>
                <c:pt idx="2">
                  <c:v>16.744900000000001</c:v>
                </c:pt>
                <c:pt idx="3">
                  <c:v>7.2944719999999945</c:v>
                </c:pt>
              </c:numCache>
            </c:numRef>
          </c:val>
        </c:ser>
        <c:ser>
          <c:idx val="1"/>
          <c:order val="1"/>
          <c:tx>
            <c:strRef>
              <c:f>'Tableau 12 Ens'!$C$89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'Tableau 12 Ens'!$C$90:$C$93</c:f>
              <c:numCache>
                <c:formatCode>0</c:formatCode>
                <c:ptCount val="4"/>
                <c:pt idx="0">
                  <c:v>70.803233194463758</c:v>
                </c:pt>
                <c:pt idx="1">
                  <c:v>59.252253000000003</c:v>
                </c:pt>
                <c:pt idx="2">
                  <c:v>74.662870999999669</c:v>
                </c:pt>
                <c:pt idx="3">
                  <c:v>76.373921999999979</c:v>
                </c:pt>
              </c:numCache>
            </c:numRef>
          </c:val>
        </c:ser>
        <c:ser>
          <c:idx val="2"/>
          <c:order val="2"/>
          <c:tx>
            <c:strRef>
              <c:f>'Tableau 12 Ens'!$D$89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'Tableau 12 Ens'!$D$90:$D$93</c:f>
              <c:numCache>
                <c:formatCode>0</c:formatCode>
                <c:ptCount val="4"/>
                <c:pt idx="0">
                  <c:v>11.366781715551626</c:v>
                </c:pt>
                <c:pt idx="1">
                  <c:v>8.7777890000000003</c:v>
                </c:pt>
                <c:pt idx="2">
                  <c:v>8.5922260000000001</c:v>
                </c:pt>
                <c:pt idx="3">
                  <c:v>16.331603000000001</c:v>
                </c:pt>
              </c:numCache>
            </c:numRef>
          </c:val>
        </c:ser>
        <c:ser>
          <c:idx val="3"/>
          <c:order val="3"/>
          <c:tx>
            <c:strRef>
              <c:f>'Tableau 12 Ens'!$E$89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'Tableau 12 Ens'!$E$90:$E$93</c:f>
              <c:numCache>
                <c:formatCode>0</c:formatCode>
                <c:ptCount val="4"/>
                <c:pt idx="0">
                  <c:v>6.4632009465088043</c:v>
                </c:pt>
                <c:pt idx="1">
                  <c:v>23.192167999999999</c:v>
                </c:pt>
                <c:pt idx="2">
                  <c:v>8.1526730000000001</c:v>
                </c:pt>
                <c:pt idx="3">
                  <c:v>-9.0371299999999994</c:v>
                </c:pt>
              </c:numCache>
            </c:numRef>
          </c:val>
        </c:ser>
        <c:axId val="135811456"/>
        <c:axId val="135812992"/>
      </c:barChart>
      <c:catAx>
        <c:axId val="135811456"/>
        <c:scaling>
          <c:orientation val="minMax"/>
        </c:scaling>
        <c:axPos val="b"/>
        <c:majorGridlines/>
        <c:tickLblPos val="low"/>
        <c:txPr>
          <a:bodyPr/>
          <a:lstStyle/>
          <a:p>
            <a:pPr>
              <a:defRPr sz="700" b="1"/>
            </a:pPr>
            <a:endParaRPr lang="fr-FR"/>
          </a:p>
        </c:txPr>
        <c:crossAx val="135812992"/>
        <c:crosses val="autoZero"/>
        <c:auto val="1"/>
        <c:lblAlgn val="ctr"/>
        <c:lblOffset val="100"/>
      </c:catAx>
      <c:valAx>
        <c:axId val="135812992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bg1">
                      <a:lumMod val="8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0" sourceLinked="1"/>
        <c:tickLblPos val="nextTo"/>
        <c:crossAx val="13581145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1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2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3"/>
        <c:txPr>
          <a:bodyPr/>
          <a:lstStyle/>
          <a:p>
            <a:pPr>
              <a:defRPr sz="800" b="1"/>
            </a:pPr>
            <a:endParaRPr lang="fr-FR"/>
          </a:p>
        </c:txPr>
      </c:legendEntry>
      <c:layout>
        <c:manualLayout>
          <c:xMode val="edge"/>
          <c:yMode val="edge"/>
          <c:x val="0.80233807940421287"/>
          <c:y val="0.37345071449402301"/>
          <c:w val="0.17266195030907766"/>
          <c:h val="0.3167297443331733"/>
        </c:manualLayout>
      </c:layout>
    </c:legend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800"/>
            </a:pPr>
            <a:r>
              <a:rPr lang="ar-MA" sz="900" b="1" i="0" baseline="0"/>
              <a:t>توقعات رؤساء مقاولات الصناعة٬ النسبة ب %</a:t>
            </a:r>
            <a:endParaRPr lang="fr-FR" sz="900" b="1" i="0" baseline="0"/>
          </a:p>
          <a:p>
            <a:pPr algn="ctr">
              <a:defRPr sz="800"/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9855577458"/>
          <c:y val="1.7962030835083843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8379"/>
          <c:h val="0.45460920438380331"/>
        </c:manualLayout>
      </c:layout>
      <c:barChart>
        <c:barDir val="col"/>
        <c:grouping val="clustered"/>
        <c:ser>
          <c:idx val="0"/>
          <c:order val="0"/>
          <c:tx>
            <c:strRef>
              <c:f>'Feuil1'!$B$1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'Feuil1'!$B$2:$B$5</c:f>
              <c:numCache>
                <c:formatCode>0</c:formatCode>
                <c:ptCount val="4"/>
                <c:pt idx="0">
                  <c:v>40.849999999999994</c:v>
                </c:pt>
                <c:pt idx="1">
                  <c:v>92.86</c:v>
                </c:pt>
                <c:pt idx="2">
                  <c:v>0</c:v>
                </c:pt>
                <c:pt idx="3">
                  <c:v>7.94</c:v>
                </c:pt>
              </c:numCache>
            </c:numRef>
          </c:val>
        </c:ser>
        <c:ser>
          <c:idx val="1"/>
          <c:order val="1"/>
          <c:tx>
            <c:strRef>
              <c:f>'Feuil1'!$C$1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'Feuil1'!$C$2:$C$5</c:f>
              <c:numCache>
                <c:formatCode>0</c:formatCode>
                <c:ptCount val="4"/>
                <c:pt idx="0">
                  <c:v>34.42</c:v>
                </c:pt>
                <c:pt idx="1">
                  <c:v>4.37</c:v>
                </c:pt>
                <c:pt idx="2">
                  <c:v>5.8199999999999985</c:v>
                </c:pt>
                <c:pt idx="3">
                  <c:v>3.03</c:v>
                </c:pt>
              </c:numCache>
            </c:numRef>
          </c:val>
        </c:ser>
        <c:ser>
          <c:idx val="2"/>
          <c:order val="2"/>
          <c:tx>
            <c:strRef>
              <c:f>'Feuil1'!$D$1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'Feuil1'!$D$2:$D$5</c:f>
              <c:numCache>
                <c:formatCode>0</c:formatCode>
                <c:ptCount val="4"/>
                <c:pt idx="0">
                  <c:v>24.73</c:v>
                </c:pt>
                <c:pt idx="1">
                  <c:v>2.7600000000000002</c:v>
                </c:pt>
                <c:pt idx="2">
                  <c:v>94.179999999999978</c:v>
                </c:pt>
                <c:pt idx="3">
                  <c:v>89.03</c:v>
                </c:pt>
              </c:numCache>
            </c:numRef>
          </c:val>
        </c:ser>
        <c:ser>
          <c:idx val="3"/>
          <c:order val="3"/>
          <c:tx>
            <c:strRef>
              <c:f>'Feuil1'!$E$1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'Feuil1'!$A$2:$A$5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'Feuil1'!$E$2:$E$5</c:f>
              <c:numCache>
                <c:formatCode>0</c:formatCode>
                <c:ptCount val="4"/>
                <c:pt idx="0">
                  <c:v>16.130000000000031</c:v>
                </c:pt>
                <c:pt idx="1">
                  <c:v>90.1</c:v>
                </c:pt>
                <c:pt idx="2">
                  <c:v>-94.179999999999978</c:v>
                </c:pt>
                <c:pt idx="3">
                  <c:v>-81.08</c:v>
                </c:pt>
              </c:numCache>
            </c:numRef>
          </c:val>
        </c:ser>
        <c:axId val="135918720"/>
        <c:axId val="135920256"/>
      </c:barChart>
      <c:catAx>
        <c:axId val="135918720"/>
        <c:scaling>
          <c:orientation val="minMax"/>
        </c:scaling>
        <c:axPos val="b"/>
        <c:majorGridlines/>
        <c:majorTickMark val="none"/>
        <c:tickLblPos val="low"/>
        <c:txPr>
          <a:bodyPr rot="5400000" vert="horz" anchor="ctr" anchorCtr="1"/>
          <a:lstStyle/>
          <a:p>
            <a:pPr>
              <a:defRPr sz="900" b="1"/>
            </a:pPr>
            <a:endParaRPr lang="fr-FR"/>
          </a:p>
        </c:txPr>
        <c:crossAx val="135920256"/>
        <c:crosses val="autoZero"/>
        <c:auto val="1"/>
        <c:lblAlgn val="ctr"/>
        <c:lblOffset val="100"/>
        <c:tickLblSkip val="1"/>
      </c:catAx>
      <c:valAx>
        <c:axId val="13592025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591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53640903483"/>
          <c:y val="0.22219043230283309"/>
          <c:w val="0.18000246359096897"/>
          <c:h val="0.2989033347575739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9.4692244351809521E-2"/>
          <c:y val="0.21631903925678422"/>
          <c:w val="0.66833088829675769"/>
          <c:h val="0.60499216374931553"/>
        </c:manualLayout>
      </c:layout>
      <c:barChart>
        <c:barDir val="col"/>
        <c:grouping val="clustered"/>
        <c:ser>
          <c:idx val="0"/>
          <c:order val="0"/>
          <c:tx>
            <c:strRef>
              <c:f>'Tableau 12 Ens'!$B$89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'Tableau 12 Ens'!$B$90:$B$93</c:f>
              <c:numCache>
                <c:formatCode>0</c:formatCode>
                <c:ptCount val="4"/>
                <c:pt idx="0">
                  <c:v>28.256188771884435</c:v>
                </c:pt>
                <c:pt idx="1">
                  <c:v>33.091004000000005</c:v>
                </c:pt>
                <c:pt idx="2">
                  <c:v>18.764668999999987</c:v>
                </c:pt>
                <c:pt idx="3">
                  <c:v>33.966254000000006</c:v>
                </c:pt>
              </c:numCache>
            </c:numRef>
          </c:val>
        </c:ser>
        <c:ser>
          <c:idx val="1"/>
          <c:order val="1"/>
          <c:tx>
            <c:strRef>
              <c:f>'Tableau 12 Ens'!$C$89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'Tableau 12 Ens'!$C$90:$C$93</c:f>
              <c:numCache>
                <c:formatCode>0</c:formatCode>
                <c:ptCount val="4"/>
                <c:pt idx="0">
                  <c:v>60.896766566474007</c:v>
                </c:pt>
                <c:pt idx="1">
                  <c:v>58.214716000000003</c:v>
                </c:pt>
                <c:pt idx="2">
                  <c:v>75.774473</c:v>
                </c:pt>
                <c:pt idx="3">
                  <c:v>47.914500999999994</c:v>
                </c:pt>
              </c:numCache>
            </c:numRef>
          </c:val>
        </c:ser>
        <c:ser>
          <c:idx val="2"/>
          <c:order val="2"/>
          <c:tx>
            <c:strRef>
              <c:f>'Tableau 12 Ens'!$D$89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'Tableau 12 Ens'!$D$90:$D$93</c:f>
              <c:numCache>
                <c:formatCode>0</c:formatCode>
                <c:ptCount val="4"/>
                <c:pt idx="0">
                  <c:v>10.847041951628412</c:v>
                </c:pt>
                <c:pt idx="1">
                  <c:v>8.6942779999999971</c:v>
                </c:pt>
                <c:pt idx="2">
                  <c:v>5.4608549999999854</c:v>
                </c:pt>
                <c:pt idx="3">
                  <c:v>18.119242</c:v>
                </c:pt>
              </c:numCache>
            </c:numRef>
          </c:val>
        </c:ser>
        <c:ser>
          <c:idx val="3"/>
          <c:order val="3"/>
          <c:tx>
            <c:strRef>
              <c:f>'Tableau 12 Ens'!$E$89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'Tableau 12 Ens'!$A$90:$A$93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'Tableau 12 Ens'!$E$90:$E$93</c:f>
              <c:numCache>
                <c:formatCode>0</c:formatCode>
                <c:ptCount val="4"/>
                <c:pt idx="0">
                  <c:v>17.409146820255916</c:v>
                </c:pt>
                <c:pt idx="1">
                  <c:v>24.396725999999987</c:v>
                </c:pt>
                <c:pt idx="2">
                  <c:v>13.303814000000004</c:v>
                </c:pt>
                <c:pt idx="3">
                  <c:v>15.847011999999999</c:v>
                </c:pt>
              </c:numCache>
            </c:numRef>
          </c:val>
        </c:ser>
        <c:axId val="135660288"/>
        <c:axId val="135661824"/>
      </c:barChart>
      <c:catAx>
        <c:axId val="135660288"/>
        <c:scaling>
          <c:orientation val="minMax"/>
        </c:scaling>
        <c:axPos val="b"/>
        <c:majorGridlines/>
        <c:tickLblPos val="low"/>
        <c:txPr>
          <a:bodyPr/>
          <a:lstStyle/>
          <a:p>
            <a:pPr>
              <a:defRPr sz="700" b="1"/>
            </a:pPr>
            <a:endParaRPr lang="fr-FR"/>
          </a:p>
        </c:txPr>
        <c:crossAx val="135661824"/>
        <c:crosses val="autoZero"/>
        <c:auto val="1"/>
        <c:lblAlgn val="ctr"/>
        <c:lblOffset val="100"/>
      </c:catAx>
      <c:valAx>
        <c:axId val="135661824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bg1">
                      <a:lumMod val="8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0" sourceLinked="1"/>
        <c:tickLblPos val="nextTo"/>
        <c:crossAx val="1356602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1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2"/>
        <c:txPr>
          <a:bodyPr/>
          <a:lstStyle/>
          <a:p>
            <a:pPr>
              <a:defRPr sz="800" b="1"/>
            </a:pPr>
            <a:endParaRPr lang="fr-FR"/>
          </a:p>
        </c:txPr>
      </c:legendEntry>
      <c:legendEntry>
        <c:idx val="3"/>
        <c:txPr>
          <a:bodyPr/>
          <a:lstStyle/>
          <a:p>
            <a:pPr>
              <a:defRPr sz="800" b="1"/>
            </a:pPr>
            <a:endParaRPr lang="fr-FR"/>
          </a:p>
        </c:txPr>
      </c:legendEntry>
      <c:layout>
        <c:manualLayout>
          <c:xMode val="edge"/>
          <c:yMode val="edge"/>
          <c:x val="0.78194465235572086"/>
          <c:y val="0.37345071449402301"/>
          <c:w val="0.19305529774557648"/>
          <c:h val="0.27161708953047536"/>
        </c:manualLayout>
      </c:layout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0.1821</cdr:x>
      <cdr:y>0.0261</cdr:y>
    </cdr:from>
    <cdr:to>
      <cdr:x>0.7963</cdr:x>
      <cdr:y>0.15393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561973" y="76570"/>
          <a:ext cx="1895475" cy="375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1" eaLnBrk="1" fontAlgn="auto" latinLnBrk="0" hangingPunct="1"/>
          <a:r>
            <a:rPr lang="ar-MA" sz="1100" b="1" i="0" baseline="0">
              <a:latin typeface="Calibri"/>
              <a:ea typeface="+mn-ea"/>
              <a:cs typeface="+mn-cs"/>
            </a:rPr>
            <a:t>آراء رؤساء مقاولات قطاع البناء (النسبة ب %)</a:t>
          </a:r>
          <a:endParaRPr lang="fr-FR" sz="800" b="1" i="0" baseline="0">
            <a:latin typeface="Calibri"/>
          </a:endParaRPr>
        </a:p>
        <a:p xmlns:a="http://schemas.openxmlformats.org/drawingml/2006/main">
          <a:pPr algn="ctr"/>
          <a:endParaRPr lang="fr-FR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0.04306</cdr:x>
      <cdr:y>0.0261</cdr:y>
    </cdr:from>
    <cdr:to>
      <cdr:x>0.79938</cdr:x>
      <cdr:y>0.15393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132872" y="76570"/>
          <a:ext cx="2334102" cy="375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 rtl="1"/>
          <a:r>
            <a:rPr lang="ar-MA" sz="1100" b="1" i="0" baseline="0">
              <a:latin typeface="Calibri"/>
              <a:ea typeface="+mn-ea"/>
              <a:cs typeface="+mn-cs"/>
            </a:rPr>
            <a:t>توقعات رؤساء المقاولات لأنشطة قطاع البناء  (النسبة ب %)</a:t>
          </a:r>
          <a:endParaRPr lang="fr-FR" sz="800"/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fr-FR" sz="800" b="1" i="0" baseline="0">
            <a:latin typeface="Calibri"/>
          </a:endParaRPr>
        </a:p>
        <a:p xmlns:a="http://schemas.openxmlformats.org/drawingml/2006/main">
          <a:pPr algn="ctr"/>
          <a:endParaRPr lang="fr-FR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3D7CF-F306-450C-971B-F597574A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 </cp:lastModifiedBy>
  <cp:revision>2</cp:revision>
  <cp:lastPrinted>2015-09-23T09:56:00Z</cp:lastPrinted>
  <dcterms:created xsi:type="dcterms:W3CDTF">2015-12-28T19:09:00Z</dcterms:created>
  <dcterms:modified xsi:type="dcterms:W3CDTF">2015-12-28T19:09:00Z</dcterms:modified>
</cp:coreProperties>
</file>