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132CC7" w:rsidRDefault="00132CC7" w:rsidP="00FE10A9">
      <w:pPr>
        <w:pStyle w:val="Titre"/>
      </w:pPr>
    </w:p>
    <w:p w:rsidR="00FE10A9" w:rsidRDefault="00FE10A9" w:rsidP="00FE10A9">
      <w:pPr>
        <w:pStyle w:val="Titre"/>
      </w:pPr>
      <w:r>
        <w:t xml:space="preserve">                  </w:t>
      </w:r>
    </w:p>
    <w:p w:rsidR="00093022" w:rsidRPr="004214C6" w:rsidRDefault="00093022" w:rsidP="00843851">
      <w:pPr>
        <w:jc w:val="center"/>
        <w:rPr>
          <w:rFonts w:ascii="Book Antiqua" w:hAnsi="Book Antiqua"/>
          <w:b/>
          <w:bCs/>
          <w:shadow/>
          <w:sz w:val="28"/>
          <w:szCs w:val="28"/>
        </w:rPr>
      </w:pPr>
      <w:r w:rsidRPr="004214C6">
        <w:rPr>
          <w:rFonts w:ascii="Book Antiqua" w:hAnsi="Book Antiqua"/>
          <w:b/>
          <w:bCs/>
          <w:shadow/>
          <w:sz w:val="28"/>
          <w:szCs w:val="28"/>
        </w:rPr>
        <w:t xml:space="preserve">Note d’information </w:t>
      </w:r>
    </w:p>
    <w:p w:rsidR="00093022" w:rsidRPr="004214C6" w:rsidRDefault="00843851" w:rsidP="008B3DBA">
      <w:pPr>
        <w:jc w:val="center"/>
        <w:rPr>
          <w:rFonts w:ascii="Book Antiqua" w:hAnsi="Book Antiqua"/>
          <w:b/>
          <w:bCs/>
          <w:shadow/>
          <w:sz w:val="28"/>
          <w:szCs w:val="28"/>
        </w:rPr>
      </w:pPr>
      <w:r>
        <w:rPr>
          <w:rFonts w:ascii="Book Antiqua" w:hAnsi="Book Antiqua"/>
          <w:b/>
          <w:bCs/>
          <w:shadow/>
          <w:sz w:val="28"/>
          <w:szCs w:val="28"/>
        </w:rPr>
        <w:t>C</w:t>
      </w:r>
      <w:r w:rsidR="00093022" w:rsidRPr="004214C6">
        <w:rPr>
          <w:rFonts w:ascii="Book Antiqua" w:hAnsi="Book Antiqua"/>
          <w:b/>
          <w:bCs/>
          <w:shadow/>
          <w:sz w:val="28"/>
          <w:szCs w:val="28"/>
        </w:rPr>
        <w:t xml:space="preserve">ompte satellite de tourisme de </w:t>
      </w:r>
      <w:r w:rsidR="008B3DBA" w:rsidRPr="004214C6">
        <w:rPr>
          <w:rFonts w:ascii="Book Antiqua" w:hAnsi="Book Antiqua"/>
          <w:b/>
          <w:bCs/>
          <w:shadow/>
          <w:sz w:val="28"/>
          <w:szCs w:val="28"/>
        </w:rPr>
        <w:t>2014</w:t>
      </w:r>
    </w:p>
    <w:p w:rsidR="00093022" w:rsidRDefault="00093022" w:rsidP="00093022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843851" w:rsidRPr="004214C6" w:rsidRDefault="00843851" w:rsidP="00093022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:rsidR="00843851" w:rsidRDefault="00843851" w:rsidP="00F4214F">
      <w:pPr>
        <w:rPr>
          <w:rFonts w:ascii="Book Antiqua" w:hAnsi="Book Antiqua"/>
          <w:b/>
          <w:bCs/>
          <w:i/>
          <w:iCs/>
        </w:rPr>
      </w:pPr>
    </w:p>
    <w:p w:rsidR="006C21ED" w:rsidRPr="004214C6" w:rsidRDefault="00F4214F" w:rsidP="00A561B3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843851">
        <w:rPr>
          <w:rFonts w:ascii="Book Antiqua" w:hAnsi="Book Antiqua"/>
          <w:b/>
          <w:bCs/>
          <w:i/>
          <w:iCs/>
        </w:rPr>
        <w:t>L</w:t>
      </w:r>
      <w:r w:rsidR="008E2FC5">
        <w:rPr>
          <w:rFonts w:ascii="Book Antiqua" w:hAnsi="Book Antiqua"/>
          <w:b/>
          <w:bCs/>
          <w:i/>
          <w:iCs/>
        </w:rPr>
        <w:t xml:space="preserve">e  </w:t>
      </w:r>
      <w:r w:rsidR="00843851" w:rsidRPr="004214C6">
        <w:rPr>
          <w:rFonts w:ascii="Book Antiqua" w:hAnsi="Book Antiqua"/>
          <w:b/>
          <w:bCs/>
          <w:i/>
          <w:iCs/>
        </w:rPr>
        <w:t xml:space="preserve">compte </w:t>
      </w:r>
      <w:r w:rsidR="008E2FC5">
        <w:rPr>
          <w:rFonts w:ascii="Book Antiqua" w:hAnsi="Book Antiqua"/>
          <w:b/>
          <w:bCs/>
          <w:i/>
          <w:iCs/>
        </w:rPr>
        <w:t xml:space="preserve"> </w:t>
      </w:r>
      <w:r w:rsidR="00843851" w:rsidRPr="004214C6">
        <w:rPr>
          <w:rFonts w:ascii="Book Antiqua" w:hAnsi="Book Antiqua"/>
          <w:b/>
          <w:bCs/>
          <w:i/>
          <w:iCs/>
        </w:rPr>
        <w:t>satellite du tourisme</w:t>
      </w:r>
      <w:r w:rsidR="00843851">
        <w:rPr>
          <w:rFonts w:ascii="Book Antiqua" w:hAnsi="Book Antiqua"/>
          <w:b/>
          <w:bCs/>
          <w:i/>
          <w:iCs/>
        </w:rPr>
        <w:t xml:space="preserve"> des années 2013 et 2014 est</w:t>
      </w:r>
      <w:r w:rsidR="008E2FC5">
        <w:rPr>
          <w:rFonts w:ascii="Book Antiqua" w:hAnsi="Book Antiqua"/>
          <w:b/>
          <w:bCs/>
          <w:i/>
          <w:iCs/>
        </w:rPr>
        <w:t xml:space="preserve"> établi </w:t>
      </w:r>
      <w:r w:rsidR="00843851">
        <w:rPr>
          <w:rFonts w:ascii="Book Antiqua" w:hAnsi="Book Antiqua"/>
          <w:b/>
          <w:bCs/>
          <w:i/>
          <w:iCs/>
        </w:rPr>
        <w:t>selon la nouvelle année de base 2007 au lieu de 1998.</w:t>
      </w:r>
    </w:p>
    <w:p w:rsidR="00093022" w:rsidRPr="004214C6" w:rsidRDefault="00843851" w:rsidP="00974948">
      <w:pPr>
        <w:pStyle w:val="Corpsdetexte2"/>
        <w:spacing w:before="120" w:after="0" w:line="340" w:lineRule="exact"/>
        <w:jc w:val="both"/>
        <w:rPr>
          <w:rFonts w:ascii="Book Antiqua" w:hAnsi="Book Antiqua"/>
          <w:b/>
          <w:bCs/>
          <w:i/>
          <w:iCs/>
        </w:rPr>
      </w:pPr>
      <w:r>
        <w:rPr>
          <w:rFonts w:ascii="Book Antiqua" w:hAnsi="Book Antiqua"/>
          <w:b/>
          <w:bCs/>
          <w:i/>
          <w:iCs/>
        </w:rPr>
        <w:t>L’arrêté de</w:t>
      </w:r>
      <w:r w:rsidR="00093022" w:rsidRPr="004214C6">
        <w:rPr>
          <w:rFonts w:ascii="Book Antiqua" w:hAnsi="Book Antiqua"/>
          <w:b/>
          <w:bCs/>
          <w:i/>
          <w:iCs/>
        </w:rPr>
        <w:t xml:space="preserve"> </w:t>
      </w:r>
      <w:r>
        <w:rPr>
          <w:rFonts w:ascii="Book Antiqua" w:hAnsi="Book Antiqua"/>
          <w:b/>
          <w:bCs/>
          <w:i/>
          <w:iCs/>
        </w:rPr>
        <w:t xml:space="preserve">ce </w:t>
      </w:r>
      <w:r w:rsidR="00093022" w:rsidRPr="004214C6">
        <w:rPr>
          <w:rFonts w:ascii="Book Antiqua" w:hAnsi="Book Antiqua"/>
          <w:b/>
          <w:bCs/>
          <w:i/>
          <w:iCs/>
        </w:rPr>
        <w:t xml:space="preserve">compte pour l’année </w:t>
      </w:r>
      <w:r w:rsidR="008B3DBA" w:rsidRPr="004214C6">
        <w:rPr>
          <w:rFonts w:ascii="Book Antiqua" w:hAnsi="Book Antiqua"/>
          <w:b/>
          <w:bCs/>
          <w:i/>
          <w:iCs/>
        </w:rPr>
        <w:t xml:space="preserve">2014 </w:t>
      </w:r>
      <w:r w:rsidR="004214C6">
        <w:rPr>
          <w:rFonts w:ascii="Book Antiqua" w:hAnsi="Book Antiqua"/>
          <w:b/>
          <w:bCs/>
          <w:i/>
          <w:iCs/>
        </w:rPr>
        <w:t xml:space="preserve">fait ressortir </w:t>
      </w:r>
      <w:r w:rsidR="004214C6" w:rsidRPr="004214C6">
        <w:rPr>
          <w:rFonts w:ascii="Book Antiqua" w:hAnsi="Book Antiqua"/>
          <w:b/>
          <w:bCs/>
          <w:i/>
          <w:iCs/>
        </w:rPr>
        <w:t xml:space="preserve">une </w:t>
      </w:r>
      <w:r w:rsidR="008B3DBA" w:rsidRPr="004214C6">
        <w:rPr>
          <w:rFonts w:ascii="Book Antiqua" w:hAnsi="Book Antiqua"/>
          <w:b/>
          <w:bCs/>
          <w:i/>
          <w:iCs/>
        </w:rPr>
        <w:t>augmentation</w:t>
      </w:r>
      <w:r w:rsidR="00093022" w:rsidRPr="004214C6">
        <w:rPr>
          <w:rFonts w:ascii="Book Antiqua" w:hAnsi="Book Antiqua"/>
          <w:b/>
          <w:bCs/>
          <w:i/>
          <w:iCs/>
        </w:rPr>
        <w:t xml:space="preserve"> du Produit Intérieur Brut (PIB) dégagé par l’activité du secteur du tourisme, de l’ordre de 4</w:t>
      </w:r>
      <w:r w:rsidR="00252ADC">
        <w:rPr>
          <w:rFonts w:ascii="Book Antiqua" w:hAnsi="Book Antiqua"/>
          <w:b/>
          <w:bCs/>
          <w:i/>
          <w:iCs/>
        </w:rPr>
        <w:t>,7</w:t>
      </w:r>
      <w:r w:rsidR="00093022" w:rsidRPr="004214C6">
        <w:rPr>
          <w:rFonts w:ascii="Book Antiqua" w:hAnsi="Book Antiqua"/>
          <w:b/>
          <w:bCs/>
          <w:i/>
          <w:iCs/>
        </w:rPr>
        <w:t xml:space="preserve">% </w:t>
      </w:r>
      <w:r w:rsidR="008B3DBA" w:rsidRPr="004214C6">
        <w:rPr>
          <w:rFonts w:ascii="Book Antiqua" w:hAnsi="Book Antiqua"/>
          <w:b/>
          <w:bCs/>
          <w:i/>
          <w:iCs/>
        </w:rPr>
        <w:t>par rapport à 2013.</w:t>
      </w:r>
      <w:r w:rsidR="006C1381">
        <w:rPr>
          <w:rFonts w:ascii="Book Antiqua" w:hAnsi="Book Antiqua"/>
          <w:b/>
          <w:bCs/>
          <w:i/>
          <w:iCs/>
        </w:rPr>
        <w:t xml:space="preserve"> </w:t>
      </w:r>
    </w:p>
    <w:p w:rsidR="00093022" w:rsidRDefault="00093022" w:rsidP="00905C15">
      <w:pPr>
        <w:pStyle w:val="Notedebasdepage"/>
        <w:spacing w:after="0" w:line="200" w:lineRule="exact"/>
        <w:ind w:firstLine="709"/>
        <w:jc w:val="both"/>
        <w:rPr>
          <w:rFonts w:ascii="Book Antiqua" w:hAnsi="Book Antiqua"/>
          <w:sz w:val="24"/>
        </w:rPr>
      </w:pPr>
    </w:p>
    <w:p w:rsidR="00843851" w:rsidRDefault="00843851" w:rsidP="00905C15">
      <w:pPr>
        <w:pStyle w:val="Notedebasdepage"/>
        <w:spacing w:after="0" w:line="200" w:lineRule="exact"/>
        <w:ind w:firstLine="709"/>
        <w:jc w:val="both"/>
        <w:rPr>
          <w:rFonts w:ascii="Book Antiqua" w:hAnsi="Book Antiqua"/>
          <w:sz w:val="24"/>
        </w:rPr>
      </w:pPr>
    </w:p>
    <w:p w:rsidR="00132CC7" w:rsidRPr="004214C6" w:rsidRDefault="00132CC7" w:rsidP="00905C15">
      <w:pPr>
        <w:pStyle w:val="Notedebasdepage"/>
        <w:spacing w:after="0" w:line="200" w:lineRule="exact"/>
        <w:ind w:firstLine="709"/>
        <w:jc w:val="both"/>
        <w:rPr>
          <w:rFonts w:ascii="Book Antiqua" w:hAnsi="Book Antiqua"/>
          <w:sz w:val="24"/>
        </w:rPr>
      </w:pPr>
    </w:p>
    <w:p w:rsidR="003279D6" w:rsidRDefault="003279D6" w:rsidP="003279D6">
      <w:pPr>
        <w:pStyle w:val="Notedebasdepage"/>
        <w:spacing w:before="240" w:after="360" w:line="360" w:lineRule="auto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sz w:val="24"/>
          <w:szCs w:val="24"/>
        </w:rPr>
        <w:t>L</w:t>
      </w:r>
      <w:r w:rsidRPr="003279D6">
        <w:rPr>
          <w:rFonts w:ascii="Book Antiqua" w:hAnsi="Book Antiqua"/>
          <w:color w:val="000000"/>
          <w:sz w:val="24"/>
          <w:szCs w:val="24"/>
        </w:rPr>
        <w:t>a consommation intérieure du tourisme</w:t>
      </w:r>
      <w:r w:rsidRPr="003279D6">
        <w:rPr>
          <w:rFonts w:ascii="Book Antiqua" w:hAnsi="Book Antiqua"/>
          <w:color w:val="000000"/>
          <w:sz w:val="24"/>
          <w:szCs w:val="24"/>
          <w:vertAlign w:val="superscript"/>
        </w:rPr>
        <w:footnoteReference w:id="1"/>
      </w:r>
      <w:r w:rsidRPr="003279D6">
        <w:rPr>
          <w:rFonts w:ascii="Book Antiqua" w:hAnsi="Book Antiqua"/>
          <w:color w:val="000000"/>
          <w:sz w:val="24"/>
          <w:szCs w:val="24"/>
          <w:vertAlign w:val="superscript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 xml:space="preserve">en valeur </w:t>
      </w:r>
      <w:r w:rsidRPr="003279D6">
        <w:rPr>
          <w:rFonts w:ascii="Book Antiqua" w:hAnsi="Book Antiqua"/>
          <w:color w:val="000000"/>
          <w:sz w:val="24"/>
          <w:szCs w:val="24"/>
        </w:rPr>
        <w:t>a atteint  107,6  milliards de dirhams en 2014 au lieu de 102,1 milliards en 2013</w:t>
      </w:r>
      <w:r>
        <w:rPr>
          <w:rFonts w:ascii="Book Antiqua" w:hAnsi="Book Antiqua"/>
          <w:color w:val="000000"/>
          <w:sz w:val="24"/>
          <w:szCs w:val="24"/>
        </w:rPr>
        <w:t>,</w:t>
      </w:r>
      <w:r w:rsidRPr="003279D6">
        <w:rPr>
          <w:rFonts w:ascii="Book Antiqua" w:hAnsi="Book Antiqua"/>
          <w:color w:val="000000"/>
          <w:sz w:val="24"/>
          <w:szCs w:val="24"/>
        </w:rPr>
        <w:t xml:space="preserve"> affichant une augmentation de 5,4%.</w:t>
      </w:r>
      <w:r w:rsidRPr="00843851">
        <w:rPr>
          <w:rFonts w:ascii="Book Antiqua" w:hAnsi="Book Antiqua"/>
          <w:color w:val="000000"/>
        </w:rPr>
        <w:t xml:space="preserve"> </w:t>
      </w:r>
    </w:p>
    <w:p w:rsidR="00093022" w:rsidRDefault="003279D6" w:rsidP="003279D6">
      <w:pPr>
        <w:pStyle w:val="Notedebasdepage"/>
        <w:spacing w:before="240" w:after="360" w:line="36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Dans ce cadre, </w:t>
      </w:r>
      <w:r w:rsidR="00093022" w:rsidRPr="004214C6">
        <w:rPr>
          <w:rFonts w:ascii="Book Antiqua" w:hAnsi="Book Antiqua"/>
          <w:color w:val="000000"/>
          <w:sz w:val="24"/>
          <w:szCs w:val="24"/>
        </w:rPr>
        <w:t xml:space="preserve">la consommation intérieure du </w:t>
      </w:r>
      <w:r w:rsidR="00093022" w:rsidRPr="00843851">
        <w:rPr>
          <w:rFonts w:ascii="Book Antiqua" w:hAnsi="Book Antiqua"/>
          <w:b/>
          <w:bCs/>
          <w:color w:val="000000"/>
          <w:sz w:val="24"/>
          <w:szCs w:val="24"/>
        </w:rPr>
        <w:t>tourisme récepteur</w:t>
      </w:r>
      <w:r w:rsidR="00093022" w:rsidRPr="004214C6">
        <w:rPr>
          <w:rFonts w:ascii="Book Antiqua" w:hAnsi="Book Antiqua"/>
          <w:color w:val="000000"/>
          <w:sz w:val="24"/>
          <w:szCs w:val="24"/>
        </w:rPr>
        <w:t xml:space="preserve"> </w:t>
      </w:r>
      <w:r w:rsidR="00093022" w:rsidRPr="00843851">
        <w:rPr>
          <w:rFonts w:ascii="Book Antiqua" w:hAnsi="Book Antiqua"/>
          <w:color w:val="000000"/>
          <w:sz w:val="24"/>
          <w:szCs w:val="24"/>
        </w:rPr>
        <w:t>a atteint 7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>4,9</w:t>
      </w:r>
      <w:r w:rsidR="00093022" w:rsidRPr="00843851">
        <w:rPr>
          <w:rFonts w:ascii="Book Antiqua" w:hAnsi="Book Antiqua"/>
          <w:color w:val="000000"/>
          <w:sz w:val="24"/>
          <w:szCs w:val="24"/>
        </w:rPr>
        <w:t xml:space="preserve"> milliards de dirhams en 201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>4 contre 71</w:t>
      </w:r>
      <w:r w:rsidR="00093022" w:rsidRPr="00843851">
        <w:rPr>
          <w:rFonts w:ascii="Book Antiqua" w:hAnsi="Book Antiqua"/>
          <w:color w:val="000000"/>
          <w:sz w:val="24"/>
          <w:szCs w:val="24"/>
        </w:rPr>
        <w:t>,5 milliards en 201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 xml:space="preserve">3, </w:t>
      </w:r>
      <w:r w:rsidR="0000371A">
        <w:rPr>
          <w:rFonts w:ascii="Book Antiqua" w:hAnsi="Book Antiqua"/>
          <w:color w:val="000000"/>
          <w:sz w:val="24"/>
          <w:szCs w:val="24"/>
        </w:rPr>
        <w:t xml:space="preserve">en 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>progress</w:t>
      </w:r>
      <w:r w:rsidR="0000371A">
        <w:rPr>
          <w:rFonts w:ascii="Book Antiqua" w:hAnsi="Book Antiqua"/>
          <w:color w:val="000000"/>
          <w:sz w:val="24"/>
          <w:szCs w:val="24"/>
        </w:rPr>
        <w:t>ion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 xml:space="preserve"> </w:t>
      </w:r>
      <w:r w:rsidR="0000371A">
        <w:rPr>
          <w:rFonts w:ascii="Book Antiqua" w:hAnsi="Book Antiqua"/>
          <w:color w:val="000000"/>
          <w:sz w:val="24"/>
          <w:szCs w:val="24"/>
        </w:rPr>
        <w:t>de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 xml:space="preserve"> 4,7</w:t>
      </w:r>
      <w:r w:rsidR="006F0A43" w:rsidRPr="00843851">
        <w:rPr>
          <w:rFonts w:ascii="Book Antiqua" w:hAnsi="Book Antiqua"/>
          <w:color w:val="000000"/>
          <w:sz w:val="24"/>
          <w:szCs w:val="24"/>
        </w:rPr>
        <w:t>%</w:t>
      </w:r>
      <w:r w:rsidR="008B3DBA" w:rsidRPr="00843851">
        <w:rPr>
          <w:rFonts w:ascii="Book Antiqua" w:hAnsi="Book Antiqua"/>
          <w:color w:val="000000"/>
          <w:sz w:val="24"/>
          <w:szCs w:val="24"/>
        </w:rPr>
        <w:t>.</w:t>
      </w:r>
      <w:r w:rsidR="00093022" w:rsidRPr="00843851">
        <w:rPr>
          <w:rFonts w:ascii="Book Antiqua" w:hAnsi="Book Antiqua"/>
          <w:color w:val="000000"/>
          <w:sz w:val="24"/>
          <w:szCs w:val="24"/>
        </w:rPr>
        <w:t xml:space="preserve"> </w:t>
      </w:r>
    </w:p>
    <w:p w:rsidR="006C1381" w:rsidRPr="003279D6" w:rsidRDefault="003279D6" w:rsidP="003279D6">
      <w:pPr>
        <w:pStyle w:val="Notedebasdepage"/>
        <w:spacing w:before="240" w:after="360" w:line="36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 w:rsidRPr="003279D6">
        <w:rPr>
          <w:rFonts w:ascii="Book Antiqua" w:hAnsi="Book Antiqua"/>
          <w:color w:val="000000"/>
          <w:sz w:val="24"/>
          <w:szCs w:val="24"/>
        </w:rPr>
        <w:t>De son côté, l</w:t>
      </w:r>
      <w:r w:rsidR="00093022" w:rsidRPr="003279D6">
        <w:rPr>
          <w:rFonts w:ascii="Book Antiqua" w:hAnsi="Book Antiqua"/>
          <w:color w:val="000000"/>
          <w:sz w:val="24"/>
          <w:szCs w:val="24"/>
        </w:rPr>
        <w:t>a consommation du tourisme interne et émetteur</w:t>
      </w:r>
      <w:r w:rsidR="00093022" w:rsidRPr="003279D6">
        <w:rPr>
          <w:rFonts w:ascii="Book Antiqua" w:hAnsi="Book Antiqua"/>
          <w:color w:val="000000"/>
          <w:sz w:val="24"/>
          <w:szCs w:val="24"/>
          <w:vertAlign w:val="superscript"/>
        </w:rPr>
        <w:footnoteReference w:id="2"/>
      </w:r>
      <w:r w:rsidR="006C1381" w:rsidRPr="003279D6">
        <w:rPr>
          <w:rFonts w:ascii="Book Antiqua" w:hAnsi="Book Antiqua"/>
          <w:color w:val="000000"/>
          <w:sz w:val="24"/>
          <w:szCs w:val="24"/>
        </w:rPr>
        <w:t>,</w:t>
      </w:r>
      <w:r w:rsidR="00945878" w:rsidRPr="003279D6">
        <w:rPr>
          <w:rFonts w:ascii="Book Antiqua" w:hAnsi="Book Antiqua"/>
          <w:color w:val="000000"/>
          <w:sz w:val="24"/>
          <w:szCs w:val="24"/>
        </w:rPr>
        <w:t xml:space="preserve"> </w:t>
      </w:r>
      <w:r w:rsidR="00093022" w:rsidRPr="003279D6">
        <w:rPr>
          <w:rFonts w:ascii="Book Antiqua" w:hAnsi="Book Antiqua"/>
          <w:color w:val="000000"/>
          <w:sz w:val="24"/>
          <w:szCs w:val="24"/>
        </w:rPr>
        <w:t xml:space="preserve">a enregistré une hausse de </w:t>
      </w:r>
      <w:r w:rsidR="008B3DBA" w:rsidRPr="003279D6">
        <w:rPr>
          <w:rFonts w:ascii="Book Antiqua" w:hAnsi="Book Antiqua"/>
          <w:color w:val="000000"/>
          <w:sz w:val="24"/>
          <w:szCs w:val="24"/>
        </w:rPr>
        <w:t>6,9</w:t>
      </w:r>
      <w:r w:rsidR="00093022" w:rsidRPr="003279D6">
        <w:rPr>
          <w:rFonts w:ascii="Book Antiqua" w:hAnsi="Book Antiqua"/>
          <w:color w:val="000000"/>
          <w:sz w:val="24"/>
          <w:szCs w:val="24"/>
        </w:rPr>
        <w:t>%  pour atteindre 3</w:t>
      </w:r>
      <w:r w:rsidR="008B3DBA" w:rsidRPr="003279D6">
        <w:rPr>
          <w:rFonts w:ascii="Book Antiqua" w:hAnsi="Book Antiqua"/>
          <w:color w:val="000000"/>
          <w:sz w:val="24"/>
          <w:szCs w:val="24"/>
        </w:rPr>
        <w:t>2,7</w:t>
      </w:r>
      <w:r w:rsidR="00093022" w:rsidRPr="003279D6">
        <w:rPr>
          <w:rFonts w:ascii="Book Antiqua" w:hAnsi="Book Antiqua"/>
          <w:color w:val="000000"/>
          <w:sz w:val="24"/>
          <w:szCs w:val="24"/>
        </w:rPr>
        <w:t xml:space="preserve"> milliards de dirhams en 201</w:t>
      </w:r>
      <w:r w:rsidR="008B3DBA" w:rsidRPr="003279D6">
        <w:rPr>
          <w:rFonts w:ascii="Book Antiqua" w:hAnsi="Book Antiqua"/>
          <w:color w:val="000000"/>
          <w:sz w:val="24"/>
          <w:szCs w:val="24"/>
        </w:rPr>
        <w:t>4</w:t>
      </w:r>
      <w:r w:rsidR="00993978" w:rsidRPr="003279D6">
        <w:rPr>
          <w:rFonts w:ascii="Book Antiqua" w:hAnsi="Book Antiqua"/>
          <w:color w:val="000000"/>
          <w:sz w:val="24"/>
          <w:szCs w:val="24"/>
        </w:rPr>
        <w:t xml:space="preserve"> au lieu de 30,5 milliards de dirhams en 2013</w:t>
      </w:r>
      <w:r w:rsidR="00093022" w:rsidRPr="003279D6">
        <w:rPr>
          <w:rFonts w:ascii="Book Antiqua" w:hAnsi="Book Antiqua"/>
          <w:color w:val="000000"/>
          <w:sz w:val="24"/>
          <w:szCs w:val="24"/>
        </w:rPr>
        <w:t>.</w:t>
      </w:r>
      <w:r w:rsidR="00C7289A" w:rsidRPr="003279D6">
        <w:rPr>
          <w:rFonts w:ascii="Book Antiqua" w:hAnsi="Book Antiqua"/>
          <w:color w:val="000000"/>
          <w:sz w:val="24"/>
          <w:szCs w:val="24"/>
        </w:rPr>
        <w:t xml:space="preserve"> </w:t>
      </w:r>
      <w:r w:rsidRPr="003279D6">
        <w:rPr>
          <w:rFonts w:ascii="Book Antiqua" w:hAnsi="Book Antiqua"/>
          <w:color w:val="000000"/>
          <w:sz w:val="24"/>
          <w:szCs w:val="24"/>
        </w:rPr>
        <w:t>Sa</w:t>
      </w:r>
      <w:r w:rsidR="00826BE1" w:rsidRPr="003279D6">
        <w:rPr>
          <w:rFonts w:ascii="Book Antiqua" w:hAnsi="Book Antiqua"/>
          <w:color w:val="000000"/>
          <w:sz w:val="24"/>
          <w:szCs w:val="24"/>
        </w:rPr>
        <w:t xml:space="preserve"> part dans la consommation intérieure du tourisme est en augmentation, passant de 29,9% en 2013 à 30,4% en 2014.</w:t>
      </w:r>
    </w:p>
    <w:p w:rsidR="00132CC7" w:rsidRPr="003279D6" w:rsidRDefault="005D2E6C" w:rsidP="003279D6">
      <w:pPr>
        <w:pStyle w:val="Notedebasdepage"/>
        <w:spacing w:before="240" w:after="360" w:line="360" w:lineRule="auto"/>
        <w:ind w:firstLine="709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Globalement</w:t>
      </w:r>
      <w:r w:rsidR="00132CC7" w:rsidRPr="003279D6">
        <w:rPr>
          <w:rFonts w:ascii="Book Antiqua" w:hAnsi="Book Antiqua"/>
          <w:color w:val="000000"/>
          <w:sz w:val="24"/>
          <w:szCs w:val="24"/>
        </w:rPr>
        <w:t xml:space="preserve">, </w:t>
      </w:r>
      <w:r w:rsidR="00EF6FB3" w:rsidRPr="003279D6">
        <w:rPr>
          <w:rFonts w:ascii="Book Antiqua" w:hAnsi="Book Antiqua"/>
          <w:color w:val="000000"/>
          <w:sz w:val="24"/>
          <w:szCs w:val="24"/>
        </w:rPr>
        <w:t>l</w:t>
      </w:r>
      <w:r w:rsidR="00863E70" w:rsidRPr="003279D6">
        <w:rPr>
          <w:rFonts w:ascii="Book Antiqua" w:hAnsi="Book Antiqua"/>
          <w:color w:val="000000"/>
          <w:sz w:val="24"/>
          <w:szCs w:val="24"/>
        </w:rPr>
        <w:t>a valeur  ajoutée</w:t>
      </w:r>
      <w:r w:rsidR="00132CC7" w:rsidRPr="003279D6">
        <w:rPr>
          <w:rFonts w:ascii="Book Antiqua" w:hAnsi="Book Antiqua"/>
          <w:color w:val="000000"/>
          <w:sz w:val="24"/>
          <w:szCs w:val="24"/>
        </w:rPr>
        <w:t xml:space="preserve"> </w:t>
      </w:r>
      <w:r w:rsidR="00EF6FB3" w:rsidRPr="003279D6">
        <w:rPr>
          <w:rFonts w:ascii="Book Antiqua" w:hAnsi="Book Antiqua"/>
          <w:color w:val="000000"/>
          <w:sz w:val="24"/>
          <w:szCs w:val="24"/>
        </w:rPr>
        <w:t>réalisée par le</w:t>
      </w:r>
      <w:r w:rsidR="00863E70" w:rsidRPr="003279D6">
        <w:rPr>
          <w:rFonts w:ascii="Book Antiqua" w:hAnsi="Book Antiqua"/>
          <w:color w:val="000000"/>
          <w:sz w:val="24"/>
          <w:szCs w:val="24"/>
        </w:rPr>
        <w:t xml:space="preserve"> secteur du  tourisme </w:t>
      </w:r>
      <w:r w:rsidR="00EF6FB3" w:rsidRPr="003279D6">
        <w:rPr>
          <w:rFonts w:ascii="Book Antiqua" w:hAnsi="Book Antiqua"/>
          <w:color w:val="000000"/>
          <w:sz w:val="24"/>
          <w:szCs w:val="24"/>
        </w:rPr>
        <w:t>s’est accrue</w:t>
      </w:r>
      <w:r w:rsidR="00863E70" w:rsidRPr="003279D6">
        <w:rPr>
          <w:rFonts w:ascii="Book Antiqua" w:hAnsi="Book Antiqua"/>
          <w:color w:val="000000"/>
          <w:sz w:val="24"/>
          <w:szCs w:val="24"/>
        </w:rPr>
        <w:t xml:space="preserve"> </w:t>
      </w:r>
      <w:r w:rsidR="009C74B7" w:rsidRPr="003279D6">
        <w:rPr>
          <w:rFonts w:ascii="Book Antiqua" w:hAnsi="Book Antiqua"/>
          <w:color w:val="000000"/>
          <w:sz w:val="24"/>
          <w:szCs w:val="24"/>
        </w:rPr>
        <w:t xml:space="preserve">de </w:t>
      </w:r>
      <w:r w:rsidR="00252ADC" w:rsidRPr="003279D6">
        <w:rPr>
          <w:rFonts w:ascii="Book Antiqua" w:hAnsi="Book Antiqua"/>
          <w:color w:val="000000"/>
          <w:sz w:val="24"/>
          <w:szCs w:val="24"/>
        </w:rPr>
        <w:t>3,3</w:t>
      </w:r>
      <w:r w:rsidR="009C74B7" w:rsidRPr="003279D6">
        <w:rPr>
          <w:rFonts w:ascii="Book Antiqua" w:hAnsi="Book Antiqua"/>
          <w:color w:val="000000"/>
          <w:sz w:val="24"/>
          <w:szCs w:val="24"/>
        </w:rPr>
        <w:t>%</w:t>
      </w:r>
      <w:r w:rsidR="00844616" w:rsidRPr="003279D6">
        <w:rPr>
          <w:rFonts w:ascii="Book Antiqua" w:hAnsi="Book Antiqua"/>
          <w:color w:val="000000"/>
          <w:sz w:val="24"/>
          <w:szCs w:val="24"/>
        </w:rPr>
        <w:t>,</w:t>
      </w:r>
      <w:r w:rsidR="009C74B7" w:rsidRPr="003279D6">
        <w:rPr>
          <w:rFonts w:ascii="Book Antiqua" w:hAnsi="Book Antiqua"/>
          <w:color w:val="000000"/>
          <w:sz w:val="24"/>
          <w:szCs w:val="24"/>
        </w:rPr>
        <w:t xml:space="preserve"> passant de </w:t>
      </w:r>
      <w:r w:rsidR="00252ADC" w:rsidRPr="003279D6">
        <w:rPr>
          <w:rFonts w:ascii="Book Antiqua" w:hAnsi="Book Antiqua"/>
          <w:color w:val="000000"/>
          <w:sz w:val="24"/>
          <w:szCs w:val="24"/>
        </w:rPr>
        <w:t>47,7</w:t>
      </w:r>
      <w:r w:rsidR="00863E70" w:rsidRPr="003279D6">
        <w:rPr>
          <w:rFonts w:ascii="Book Antiqua" w:hAnsi="Book Antiqua"/>
          <w:color w:val="000000"/>
          <w:sz w:val="24"/>
          <w:szCs w:val="24"/>
        </w:rPr>
        <w:t xml:space="preserve"> milliards de dirhams en 2013 à </w:t>
      </w:r>
      <w:r w:rsidR="00252ADC" w:rsidRPr="003279D6">
        <w:rPr>
          <w:rFonts w:ascii="Book Antiqua" w:hAnsi="Book Antiqua"/>
          <w:color w:val="000000"/>
          <w:sz w:val="24"/>
          <w:szCs w:val="24"/>
        </w:rPr>
        <w:t>49,3</w:t>
      </w:r>
      <w:r w:rsidR="00863E70" w:rsidRPr="003279D6">
        <w:rPr>
          <w:rFonts w:ascii="Book Antiqua" w:hAnsi="Book Antiqua"/>
          <w:color w:val="000000"/>
          <w:sz w:val="24"/>
          <w:szCs w:val="24"/>
        </w:rPr>
        <w:t xml:space="preserve"> milliards en 2014. </w:t>
      </w:r>
    </w:p>
    <w:p w:rsidR="008E2FC5" w:rsidRDefault="008E2FC5" w:rsidP="00843851">
      <w:pPr>
        <w:spacing w:line="360" w:lineRule="auto"/>
        <w:ind w:firstLine="708"/>
        <w:jc w:val="both"/>
        <w:rPr>
          <w:rFonts w:ascii="Book Antiqua" w:eastAsia="Calibri" w:hAnsi="Book Antiqua" w:cs="Arial"/>
          <w:color w:val="000000"/>
          <w:lang w:eastAsia="en-US"/>
        </w:rPr>
      </w:pPr>
    </w:p>
    <w:p w:rsidR="00D409D4" w:rsidRDefault="00D409D4" w:rsidP="00844616">
      <w:pPr>
        <w:spacing w:line="360" w:lineRule="auto"/>
        <w:ind w:firstLine="708"/>
        <w:jc w:val="both"/>
        <w:rPr>
          <w:rFonts w:ascii="Book Antiqua" w:eastAsia="Calibri" w:hAnsi="Book Antiqua" w:cs="Arial"/>
          <w:color w:val="000000"/>
          <w:lang w:eastAsia="en-US"/>
        </w:rPr>
      </w:pPr>
    </w:p>
    <w:p w:rsidR="00844616" w:rsidRDefault="00246281" w:rsidP="00844616">
      <w:pPr>
        <w:spacing w:line="360" w:lineRule="auto"/>
        <w:ind w:firstLine="708"/>
        <w:jc w:val="both"/>
        <w:rPr>
          <w:rFonts w:ascii="Book Antiqua" w:eastAsia="Calibri" w:hAnsi="Book Antiqua" w:cs="Arial"/>
          <w:color w:val="000000"/>
          <w:lang w:eastAsia="en-US"/>
        </w:rPr>
      </w:pPr>
      <w:r>
        <w:rPr>
          <w:rFonts w:ascii="Book Antiqua" w:eastAsia="Calibri" w:hAnsi="Book Antiqua" w:cs="Arial"/>
          <w:color w:val="000000"/>
          <w:lang w:eastAsia="en-US"/>
        </w:rPr>
        <w:lastRenderedPageBreak/>
        <w:t>Ainsi</w:t>
      </w:r>
      <w:r w:rsidR="00843851">
        <w:rPr>
          <w:rFonts w:ascii="Book Antiqua" w:eastAsia="Calibri" w:hAnsi="Book Antiqua" w:cs="Arial"/>
          <w:color w:val="000000"/>
          <w:lang w:eastAsia="en-US"/>
        </w:rPr>
        <w:t xml:space="preserve">, </w:t>
      </w:r>
      <w:r w:rsidR="00844616">
        <w:rPr>
          <w:rFonts w:ascii="Book Antiqua" w:eastAsia="Calibri" w:hAnsi="Book Antiqua" w:cs="Arial"/>
          <w:color w:val="000000"/>
          <w:lang w:eastAsia="en-US"/>
        </w:rPr>
        <w:t xml:space="preserve">et </w:t>
      </w:r>
      <w:r w:rsidR="00844616" w:rsidRPr="00843851">
        <w:rPr>
          <w:rFonts w:ascii="Book Antiqua" w:eastAsia="Calibri" w:hAnsi="Book Antiqua" w:cs="Arial"/>
          <w:color w:val="000000"/>
          <w:lang w:eastAsia="en-US"/>
        </w:rPr>
        <w:t xml:space="preserve">compte </w:t>
      </w:r>
      <w:r w:rsidR="00844616">
        <w:rPr>
          <w:rFonts w:ascii="Book Antiqua" w:eastAsia="Calibri" w:hAnsi="Book Antiqua" w:cs="Arial"/>
          <w:color w:val="000000"/>
          <w:lang w:eastAsia="en-US"/>
        </w:rPr>
        <w:t xml:space="preserve">tenu </w:t>
      </w:r>
      <w:r w:rsidR="00844616" w:rsidRPr="00843851">
        <w:rPr>
          <w:rFonts w:ascii="Book Antiqua" w:eastAsia="Calibri" w:hAnsi="Book Antiqua" w:cs="Arial"/>
          <w:color w:val="000000"/>
          <w:lang w:eastAsia="en-US"/>
        </w:rPr>
        <w:t>de l’augmentation des impôts nets de subventions sur les produits touristiques de 10,3%,</w:t>
      </w:r>
      <w:r w:rsidR="00844616">
        <w:rPr>
          <w:rFonts w:ascii="Book Antiqua" w:eastAsia="Calibri" w:hAnsi="Book Antiqua" w:cs="Arial"/>
          <w:color w:val="000000"/>
          <w:lang w:eastAsia="en-US"/>
        </w:rPr>
        <w:t xml:space="preserve"> </w:t>
      </w:r>
      <w:r w:rsidR="00843851" w:rsidRPr="00681189">
        <w:rPr>
          <w:rFonts w:ascii="Book Antiqua" w:eastAsia="Calibri" w:hAnsi="Book Antiqua" w:cs="Arial"/>
          <w:b/>
          <w:bCs/>
          <w:color w:val="000000"/>
          <w:lang w:eastAsia="en-US"/>
        </w:rPr>
        <w:t>le PIB du tourisme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 xml:space="preserve"> a atteint 6</w:t>
      </w:r>
      <w:r w:rsidR="00252ADC">
        <w:rPr>
          <w:rFonts w:ascii="Book Antiqua" w:eastAsia="Calibri" w:hAnsi="Book Antiqua" w:cs="Arial"/>
          <w:color w:val="000000"/>
          <w:lang w:eastAsia="en-US"/>
        </w:rPr>
        <w:t>1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 xml:space="preserve">,9 milliards de dirhams au lieu de  </w:t>
      </w:r>
      <w:r w:rsidR="00252ADC">
        <w:rPr>
          <w:rFonts w:ascii="Book Antiqua" w:eastAsia="Calibri" w:hAnsi="Book Antiqua" w:cs="Arial"/>
          <w:color w:val="000000"/>
          <w:lang w:eastAsia="en-US"/>
        </w:rPr>
        <w:t>59,2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 xml:space="preserve"> milliards en 2013</w:t>
      </w:r>
      <w:r w:rsidR="00844616">
        <w:rPr>
          <w:rFonts w:ascii="Book Antiqua" w:eastAsia="Calibri" w:hAnsi="Book Antiqua" w:cs="Arial"/>
          <w:color w:val="000000"/>
          <w:lang w:eastAsia="en-US"/>
        </w:rPr>
        <w:t xml:space="preserve">, 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 xml:space="preserve"> soit une </w:t>
      </w:r>
      <w:r w:rsidR="00844616">
        <w:rPr>
          <w:rFonts w:ascii="Book Antiqua" w:eastAsia="Calibri" w:hAnsi="Book Antiqua" w:cs="Arial"/>
          <w:color w:val="000000"/>
          <w:lang w:eastAsia="en-US"/>
        </w:rPr>
        <w:t xml:space="preserve">amélioration 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>de 4,</w:t>
      </w:r>
      <w:r w:rsidR="00252ADC">
        <w:rPr>
          <w:rFonts w:ascii="Book Antiqua" w:eastAsia="Calibri" w:hAnsi="Book Antiqua" w:cs="Arial"/>
          <w:color w:val="000000"/>
          <w:lang w:eastAsia="en-US"/>
        </w:rPr>
        <w:t>7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>%</w:t>
      </w:r>
      <w:r w:rsidR="00132CC7" w:rsidRPr="00843851">
        <w:rPr>
          <w:rFonts w:ascii="Book Antiqua" w:eastAsia="Calibri" w:hAnsi="Book Antiqua" w:cs="Arial"/>
          <w:color w:val="000000"/>
          <w:lang w:eastAsia="en-US"/>
        </w:rPr>
        <w:t xml:space="preserve">. </w:t>
      </w:r>
    </w:p>
    <w:p w:rsidR="00844616" w:rsidRDefault="00844616" w:rsidP="00844616">
      <w:pPr>
        <w:spacing w:line="360" w:lineRule="auto"/>
        <w:ind w:firstLine="708"/>
        <w:jc w:val="both"/>
        <w:rPr>
          <w:rFonts w:ascii="Book Antiqua" w:eastAsia="Calibri" w:hAnsi="Book Antiqua" w:cs="Arial"/>
          <w:color w:val="000000"/>
          <w:lang w:eastAsia="en-US"/>
        </w:rPr>
      </w:pPr>
    </w:p>
    <w:p w:rsidR="00093022" w:rsidRPr="00843851" w:rsidRDefault="006F6E97" w:rsidP="003279D6">
      <w:pPr>
        <w:spacing w:line="360" w:lineRule="auto"/>
        <w:ind w:firstLine="708"/>
        <w:jc w:val="both"/>
        <w:rPr>
          <w:rFonts w:ascii="Book Antiqua" w:eastAsia="Calibri" w:hAnsi="Book Antiqua" w:cs="Arial"/>
          <w:color w:val="000000"/>
          <w:lang w:eastAsia="en-US"/>
        </w:rPr>
      </w:pPr>
      <w:r>
        <w:rPr>
          <w:rFonts w:ascii="Book Antiqua" w:eastAsia="Calibri" w:hAnsi="Book Antiqua" w:cs="Arial"/>
          <w:color w:val="000000"/>
          <w:lang w:eastAsia="en-US"/>
        </w:rPr>
        <w:t>De ce fait</w:t>
      </w:r>
      <w:r w:rsidR="003279D6">
        <w:rPr>
          <w:rFonts w:ascii="Book Antiqua" w:eastAsia="Calibri" w:hAnsi="Book Antiqua" w:cs="Arial"/>
          <w:color w:val="000000"/>
          <w:lang w:eastAsia="en-US"/>
        </w:rPr>
        <w:t>, l</w:t>
      </w:r>
      <w:r w:rsidR="00843851">
        <w:rPr>
          <w:rFonts w:ascii="Book Antiqua" w:eastAsia="Calibri" w:hAnsi="Book Antiqua" w:cs="Arial"/>
          <w:color w:val="000000"/>
          <w:lang w:eastAsia="en-US"/>
        </w:rPr>
        <w:t>a</w:t>
      </w:r>
      <w:r w:rsidR="005B2989" w:rsidRPr="00843851">
        <w:rPr>
          <w:rFonts w:ascii="Book Antiqua" w:eastAsia="Calibri" w:hAnsi="Book Antiqua" w:cs="Arial"/>
          <w:color w:val="000000"/>
          <w:lang w:eastAsia="en-US"/>
        </w:rPr>
        <w:t xml:space="preserve"> contribution </w:t>
      </w:r>
      <w:r w:rsidR="008E2FC5">
        <w:rPr>
          <w:rFonts w:ascii="Book Antiqua" w:eastAsia="Calibri" w:hAnsi="Book Antiqua" w:cs="Arial"/>
          <w:color w:val="000000"/>
          <w:lang w:eastAsia="en-US"/>
        </w:rPr>
        <w:t xml:space="preserve">du </w:t>
      </w:r>
      <w:r w:rsidR="00843851" w:rsidRPr="00843851">
        <w:rPr>
          <w:rFonts w:ascii="Book Antiqua" w:eastAsia="Calibri" w:hAnsi="Book Antiqua" w:cs="Arial"/>
          <w:color w:val="000000"/>
          <w:lang w:eastAsia="en-US"/>
        </w:rPr>
        <w:t xml:space="preserve">PIB du tourisme </w:t>
      </w:r>
      <w:r w:rsidR="008E2FC5">
        <w:rPr>
          <w:rFonts w:ascii="Book Antiqua" w:eastAsia="Calibri" w:hAnsi="Book Antiqua" w:cs="Arial"/>
          <w:color w:val="000000"/>
          <w:lang w:eastAsia="en-US"/>
        </w:rPr>
        <w:t>au</w:t>
      </w:r>
      <w:r w:rsidR="005B2989" w:rsidRPr="00843851">
        <w:rPr>
          <w:rFonts w:ascii="Book Antiqua" w:eastAsia="Calibri" w:hAnsi="Book Antiqua" w:cs="Arial"/>
          <w:color w:val="000000"/>
          <w:lang w:eastAsia="en-US"/>
        </w:rPr>
        <w:t xml:space="preserve"> PIB </w:t>
      </w:r>
      <w:r w:rsidR="00843851">
        <w:rPr>
          <w:rFonts w:ascii="Book Antiqua" w:eastAsia="Calibri" w:hAnsi="Book Antiqua" w:cs="Arial"/>
          <w:color w:val="000000"/>
          <w:lang w:eastAsia="en-US"/>
        </w:rPr>
        <w:t xml:space="preserve">national </w:t>
      </w:r>
      <w:r w:rsidR="005B2989" w:rsidRPr="00843851">
        <w:rPr>
          <w:rFonts w:ascii="Book Antiqua" w:eastAsia="Calibri" w:hAnsi="Book Antiqua" w:cs="Arial"/>
          <w:color w:val="000000"/>
          <w:lang w:eastAsia="en-US"/>
        </w:rPr>
        <w:t xml:space="preserve">s’est établie </w:t>
      </w:r>
      <w:r w:rsidR="00D272F2" w:rsidRPr="00843851">
        <w:rPr>
          <w:rFonts w:ascii="Book Antiqua" w:eastAsia="Calibri" w:hAnsi="Book Antiqua" w:cs="Arial"/>
          <w:color w:val="000000"/>
          <w:lang w:eastAsia="en-US"/>
        </w:rPr>
        <w:t xml:space="preserve">à </w:t>
      </w:r>
      <w:r w:rsidR="005B2989" w:rsidRPr="00843851">
        <w:rPr>
          <w:rFonts w:ascii="Book Antiqua" w:eastAsia="Calibri" w:hAnsi="Book Antiqua" w:cs="Arial"/>
          <w:color w:val="000000"/>
          <w:lang w:eastAsia="en-US"/>
        </w:rPr>
        <w:t>6,</w:t>
      </w:r>
      <w:r w:rsidR="00252ADC">
        <w:rPr>
          <w:rFonts w:ascii="Book Antiqua" w:eastAsia="Calibri" w:hAnsi="Book Antiqua" w:cs="Arial"/>
          <w:color w:val="000000"/>
          <w:lang w:eastAsia="en-US"/>
        </w:rPr>
        <w:t>7</w:t>
      </w:r>
      <w:r w:rsidR="005B2989" w:rsidRPr="00843851">
        <w:rPr>
          <w:rFonts w:ascii="Book Antiqua" w:eastAsia="Calibri" w:hAnsi="Book Antiqua" w:cs="Arial"/>
          <w:color w:val="000000"/>
          <w:lang w:eastAsia="en-US"/>
        </w:rPr>
        <w:t>% en 2014</w:t>
      </w:r>
      <w:r w:rsidR="00D272F2" w:rsidRPr="00843851">
        <w:rPr>
          <w:rFonts w:ascii="Book Antiqua" w:eastAsia="Calibri" w:hAnsi="Book Antiqua" w:cs="Arial"/>
          <w:color w:val="000000"/>
          <w:lang w:eastAsia="en-US"/>
        </w:rPr>
        <w:t xml:space="preserve"> au lieu de 6,</w:t>
      </w:r>
      <w:r w:rsidR="00252ADC">
        <w:rPr>
          <w:rFonts w:ascii="Book Antiqua" w:eastAsia="Calibri" w:hAnsi="Book Antiqua" w:cs="Arial"/>
          <w:color w:val="000000"/>
          <w:lang w:eastAsia="en-US"/>
        </w:rPr>
        <w:t>6</w:t>
      </w:r>
      <w:r w:rsidR="00D272F2" w:rsidRPr="00843851">
        <w:rPr>
          <w:rFonts w:ascii="Book Antiqua" w:eastAsia="Calibri" w:hAnsi="Book Antiqua" w:cs="Arial"/>
          <w:color w:val="000000"/>
          <w:lang w:eastAsia="en-US"/>
        </w:rPr>
        <w:t>% une année auparavant.</w:t>
      </w:r>
      <w:r w:rsidR="005903DB" w:rsidRPr="00843851">
        <w:rPr>
          <w:rFonts w:ascii="Book Antiqua" w:eastAsia="Calibri" w:hAnsi="Book Antiqua" w:cs="Arial"/>
          <w:color w:val="000000"/>
          <w:lang w:eastAsia="en-US"/>
        </w:rPr>
        <w:t xml:space="preserve"> </w:t>
      </w:r>
    </w:p>
    <w:p w:rsidR="00093022" w:rsidRPr="00843851" w:rsidRDefault="00093022" w:rsidP="00093022">
      <w:pPr>
        <w:spacing w:line="360" w:lineRule="auto"/>
        <w:ind w:firstLine="708"/>
        <w:jc w:val="both"/>
        <w:rPr>
          <w:rFonts w:ascii="Book Antiqua" w:eastAsia="Calibri" w:hAnsi="Book Antiqua" w:cs="Arial"/>
          <w:color w:val="000000"/>
          <w:lang w:eastAsia="en-US"/>
        </w:rPr>
      </w:pPr>
    </w:p>
    <w:p w:rsidR="00093022" w:rsidRPr="004214C6" w:rsidRDefault="00093022" w:rsidP="00093022">
      <w:pPr>
        <w:pStyle w:val="Titre1"/>
        <w:rPr>
          <w:rFonts w:ascii="Book Antiqua" w:hAnsi="Book Antiqua"/>
          <w:b w:val="0"/>
          <w:bCs w:val="0"/>
        </w:rPr>
      </w:pPr>
    </w:p>
    <w:p w:rsidR="00093022" w:rsidRDefault="00093022" w:rsidP="00093022"/>
    <w:p w:rsidR="00863E70" w:rsidRDefault="00863E70" w:rsidP="00863E70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905C15" w:rsidRDefault="00905C15" w:rsidP="00093022"/>
    <w:p w:rsidR="00093022" w:rsidRDefault="00093022" w:rsidP="00093022"/>
    <w:p w:rsidR="00905C15" w:rsidRDefault="00905C15" w:rsidP="00093022"/>
    <w:p w:rsidR="00093022" w:rsidRDefault="00093022" w:rsidP="00093022"/>
    <w:p w:rsidR="00093022" w:rsidRDefault="00093022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9C74B7" w:rsidRDefault="009C74B7" w:rsidP="00093022"/>
    <w:p w:rsidR="009C74B7" w:rsidRDefault="009C74B7" w:rsidP="00093022"/>
    <w:p w:rsidR="009C74B7" w:rsidRDefault="009C74B7" w:rsidP="00093022"/>
    <w:p w:rsidR="009C74B7" w:rsidRDefault="009C74B7" w:rsidP="00093022"/>
    <w:p w:rsidR="009C74B7" w:rsidRDefault="009C74B7" w:rsidP="00093022"/>
    <w:p w:rsidR="005B2989" w:rsidRDefault="005B2989" w:rsidP="00093022"/>
    <w:p w:rsidR="005B2989" w:rsidRDefault="005B2989" w:rsidP="00093022"/>
    <w:p w:rsidR="005B2989" w:rsidRDefault="005B2989" w:rsidP="00093022"/>
    <w:p w:rsidR="00093022" w:rsidRDefault="00093022" w:rsidP="00093022"/>
    <w:p w:rsidR="00093022" w:rsidRDefault="00093022" w:rsidP="00093022"/>
    <w:p w:rsidR="00093022" w:rsidRPr="00473B49" w:rsidRDefault="00093022" w:rsidP="00093022">
      <w:pPr>
        <w:pStyle w:val="Titre1"/>
        <w:jc w:val="center"/>
        <w:rPr>
          <w:sz w:val="36"/>
          <w:szCs w:val="36"/>
        </w:rPr>
      </w:pPr>
      <w:r w:rsidRPr="00473B49">
        <w:rPr>
          <w:sz w:val="36"/>
          <w:szCs w:val="36"/>
        </w:rPr>
        <w:t>Consommation intérieure du tourisme</w:t>
      </w:r>
    </w:p>
    <w:p w:rsidR="00093022" w:rsidRDefault="00093022" w:rsidP="00093022">
      <w:pPr>
        <w:pStyle w:val="Titr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70B6E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</w:t>
      </w:r>
      <w:r w:rsidRPr="00E70B6E">
        <w:rPr>
          <w:sz w:val="24"/>
          <w:szCs w:val="24"/>
        </w:rPr>
        <w:t>En  millions de DH</w:t>
      </w:r>
    </w:p>
    <w:tbl>
      <w:tblPr>
        <w:tblW w:w="9468" w:type="dxa"/>
        <w:jc w:val="center"/>
        <w:tblBorders>
          <w:top w:val="thinThickSmallGap" w:sz="24" w:space="0" w:color="auto"/>
          <w:bottom w:val="thinThickSmallGap" w:sz="2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79"/>
        <w:gridCol w:w="1530"/>
        <w:gridCol w:w="1260"/>
        <w:gridCol w:w="2199"/>
      </w:tblGrid>
      <w:tr w:rsidR="005B2989" w:rsidRPr="00E70B6E" w:rsidTr="005B2989">
        <w:trPr>
          <w:trHeight w:val="592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CA75DE">
            <w:pPr>
              <w:spacing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Types de consommation touristique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Variation en %</w:t>
            </w:r>
          </w:p>
        </w:tc>
      </w:tr>
      <w:tr w:rsidR="005B2989" w:rsidRPr="00E70B6E" w:rsidTr="005B2989">
        <w:trPr>
          <w:trHeight w:val="454"/>
          <w:jc w:val="center"/>
        </w:trPr>
        <w:tc>
          <w:tcPr>
            <w:tcW w:w="44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CA75DE">
            <w:pPr>
              <w:spacing w:before="120" w:line="360" w:lineRule="auto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 xml:space="preserve">Consommation  intérieure du tourisme 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102132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107626</w:t>
            </w:r>
          </w:p>
        </w:tc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Pr="00E70B6E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4</w:t>
            </w:r>
          </w:p>
        </w:tc>
      </w:tr>
      <w:tr w:rsidR="005B2989" w:rsidRPr="00E70B6E" w:rsidTr="005B2989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CA75DE">
            <w:pPr>
              <w:spacing w:before="120" w:line="360" w:lineRule="auto"/>
              <w:ind w:left="708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- Tourisme récepteur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71551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74946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4,7</w:t>
            </w:r>
          </w:p>
        </w:tc>
      </w:tr>
      <w:tr w:rsidR="005B2989" w:rsidRPr="00E70B6E" w:rsidTr="005B2989">
        <w:trPr>
          <w:trHeight w:val="454"/>
          <w:jc w:val="center"/>
        </w:trPr>
        <w:tc>
          <w:tcPr>
            <w:tcW w:w="44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CA75DE">
            <w:pPr>
              <w:spacing w:before="120" w:line="360" w:lineRule="auto"/>
              <w:ind w:left="708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- Tourisme interne et émetteur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30581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32680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6,9</w:t>
            </w:r>
          </w:p>
        </w:tc>
      </w:tr>
    </w:tbl>
    <w:p w:rsidR="00093022" w:rsidRPr="00E70B6E" w:rsidRDefault="00093022" w:rsidP="00093022">
      <w:pPr>
        <w:spacing w:line="360" w:lineRule="auto"/>
        <w:ind w:firstLine="708"/>
        <w:jc w:val="both"/>
        <w:rPr>
          <w:rFonts w:ascii="Arial" w:hAnsi="Arial"/>
        </w:rPr>
      </w:pPr>
    </w:p>
    <w:p w:rsidR="00093022" w:rsidRPr="00473B49" w:rsidRDefault="00093022" w:rsidP="00093022">
      <w:pPr>
        <w:pStyle w:val="Titre1"/>
        <w:jc w:val="center"/>
        <w:rPr>
          <w:sz w:val="36"/>
          <w:szCs w:val="36"/>
        </w:rPr>
      </w:pPr>
      <w:r w:rsidRPr="00473B49">
        <w:rPr>
          <w:sz w:val="36"/>
          <w:szCs w:val="36"/>
        </w:rPr>
        <w:t>Valeur ajoutée  et PIB du tourisme</w:t>
      </w:r>
    </w:p>
    <w:p w:rsidR="00093022" w:rsidRPr="00B140D2" w:rsidRDefault="00AF7084" w:rsidP="00093022"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                     </w:t>
      </w:r>
      <w:r w:rsidRPr="00E70B6E">
        <w:rPr>
          <w:rFonts w:ascii="Arial" w:hAnsi="Arial"/>
          <w:b/>
          <w:bCs/>
        </w:rPr>
        <w:t>En  millions de DH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487"/>
        <w:gridCol w:w="1276"/>
        <w:gridCol w:w="2268"/>
      </w:tblGrid>
      <w:tr w:rsidR="005B2989" w:rsidRPr="00E70B6E" w:rsidTr="00D409D4">
        <w:trPr>
          <w:trHeight w:val="496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CA75DE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AF7084">
            <w:pPr>
              <w:spacing w:line="360" w:lineRule="auto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AF7084">
            <w:pPr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Variation en %</w:t>
            </w:r>
          </w:p>
        </w:tc>
      </w:tr>
      <w:tr w:rsidR="005B2989" w:rsidRPr="00E70B6E" w:rsidTr="00D409D4">
        <w:trPr>
          <w:trHeight w:val="503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(VAT)</w:t>
            </w:r>
          </w:p>
        </w:tc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989" w:rsidRPr="00E70B6E" w:rsidRDefault="00252ADC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47690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B2989" w:rsidRPr="00E70B6E" w:rsidRDefault="00252ADC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49270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252ADC" w:rsidP="00AF708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3,3</w:t>
            </w:r>
          </w:p>
        </w:tc>
      </w:tr>
      <w:tr w:rsidR="005B2989" w:rsidRPr="00E70B6E" w:rsidTr="00D409D4">
        <w:trPr>
          <w:trHeight w:val="819"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Impôts nets de subventions sur les produits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989" w:rsidRPr="00E70B6E" w:rsidRDefault="00457A41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11461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B2989" w:rsidRPr="00E70B6E" w:rsidRDefault="00457A41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12641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AF708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10,</w:t>
            </w:r>
            <w:r w:rsidR="00457A41">
              <w:rPr>
                <w:rFonts w:ascii="Arial" w:hAnsi="Arial"/>
              </w:rPr>
              <w:t>3</w:t>
            </w:r>
          </w:p>
        </w:tc>
      </w:tr>
      <w:tr w:rsidR="005B2989" w:rsidRPr="00E70B6E" w:rsidTr="00D409D4">
        <w:trPr>
          <w:trHeight w:val="547"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CA75DE">
            <w:pPr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PIB du tourisme (PIBT)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252ADC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59151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457A41" w:rsidP="00AF708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252ADC">
              <w:rPr>
                <w:rFonts w:ascii="Arial" w:hAnsi="Arial"/>
              </w:rPr>
              <w:t>1911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89" w:rsidRPr="00E70B6E" w:rsidRDefault="005B2989" w:rsidP="00AF7084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4,</w:t>
            </w:r>
            <w:r w:rsidR="00252ADC">
              <w:rPr>
                <w:rFonts w:ascii="Arial" w:hAnsi="Arial"/>
              </w:rPr>
              <w:t>7</w:t>
            </w:r>
          </w:p>
        </w:tc>
      </w:tr>
    </w:tbl>
    <w:p w:rsidR="00093022" w:rsidRPr="00E70B6E" w:rsidRDefault="00093022" w:rsidP="00093022">
      <w:pPr>
        <w:rPr>
          <w:rFonts w:ascii="Arial" w:hAnsi="Arial"/>
        </w:rPr>
      </w:pPr>
    </w:p>
    <w:p w:rsidR="00093022" w:rsidRPr="00473B49" w:rsidRDefault="00093022" w:rsidP="00093022">
      <w:pPr>
        <w:pStyle w:val="Titre1"/>
        <w:jc w:val="center"/>
        <w:rPr>
          <w:sz w:val="36"/>
          <w:szCs w:val="36"/>
        </w:rPr>
      </w:pPr>
      <w:r w:rsidRPr="00473B49">
        <w:rPr>
          <w:sz w:val="36"/>
          <w:szCs w:val="36"/>
        </w:rPr>
        <w:t>Part du tourisme dans le PIB</w:t>
      </w:r>
    </w:p>
    <w:p w:rsidR="00093022" w:rsidRPr="00B140D2" w:rsidRDefault="00AF7084" w:rsidP="00093022">
      <w:r>
        <w:rPr>
          <w:rFonts w:ascii="Arial" w:hAnsi="Arial" w:hint="cs"/>
          <w:b/>
          <w:bCs/>
          <w:rtl/>
        </w:rPr>
        <w:t xml:space="preserve">                                                                                                                                               </w:t>
      </w:r>
      <w:r w:rsidRPr="00E70B6E">
        <w:rPr>
          <w:rFonts w:ascii="Arial" w:hAnsi="Arial"/>
          <w:b/>
          <w:bCs/>
        </w:rPr>
        <w:t>En %</w:t>
      </w:r>
    </w:p>
    <w:tbl>
      <w:tblPr>
        <w:tblW w:w="9568" w:type="dxa"/>
        <w:tblBorders>
          <w:top w:val="thinThickSmallGap" w:sz="24" w:space="0" w:color="auto"/>
          <w:bottom w:val="thinThickSmallGap" w:sz="2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84"/>
        <w:gridCol w:w="2532"/>
        <w:gridCol w:w="2552"/>
      </w:tblGrid>
      <w:tr w:rsidR="005B2989" w:rsidRPr="00E70B6E" w:rsidTr="00D409D4">
        <w:trPr>
          <w:trHeight w:val="725"/>
        </w:trPr>
        <w:tc>
          <w:tcPr>
            <w:tcW w:w="4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before="240" w:line="360" w:lineRule="auto"/>
              <w:ind w:left="-189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line="360" w:lineRule="auto"/>
              <w:ind w:left="-189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line="360" w:lineRule="auto"/>
              <w:ind w:left="-189"/>
              <w:jc w:val="center"/>
              <w:rPr>
                <w:rFonts w:ascii="Arial" w:hAnsi="Arial"/>
                <w:b/>
                <w:bCs/>
              </w:rPr>
            </w:pPr>
            <w:r w:rsidRPr="00E70B6E">
              <w:rPr>
                <w:rFonts w:ascii="Arial" w:hAnsi="Arial"/>
                <w:b/>
                <w:bCs/>
              </w:rPr>
              <w:t>201</w:t>
            </w:r>
            <w:r>
              <w:rPr>
                <w:rFonts w:ascii="Arial" w:hAnsi="Arial"/>
                <w:b/>
                <w:bCs/>
              </w:rPr>
              <w:t>4</w:t>
            </w:r>
          </w:p>
        </w:tc>
      </w:tr>
      <w:tr w:rsidR="005B2989" w:rsidRPr="00E70B6E" w:rsidTr="00D409D4">
        <w:trPr>
          <w:trHeight w:val="860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before="120" w:line="360" w:lineRule="auto"/>
              <w:ind w:left="-189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/ valeur ajoutée de l’économie totale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252ADC" w:rsidP="00D409D4">
            <w:pPr>
              <w:ind w:left="-18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989" w:rsidRPr="00E70B6E" w:rsidRDefault="00252ADC" w:rsidP="00D409D4">
            <w:pPr>
              <w:spacing w:line="640" w:lineRule="exact"/>
              <w:ind w:left="-18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5,9</w:t>
            </w:r>
          </w:p>
        </w:tc>
      </w:tr>
      <w:tr w:rsidR="005B2989" w:rsidRPr="00E70B6E" w:rsidTr="00D409D4">
        <w:trPr>
          <w:trHeight w:val="454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before="120" w:line="360" w:lineRule="auto"/>
              <w:ind w:left="-189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Valeur ajoutée du tourisme /PIB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before="120"/>
              <w:ind w:left="-189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5,</w:t>
            </w:r>
            <w:r w:rsidR="00252ADC">
              <w:rPr>
                <w:rFonts w:ascii="Arial" w:hAnsi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2989" w:rsidRPr="00E70B6E" w:rsidRDefault="005B2989" w:rsidP="00D409D4">
            <w:pPr>
              <w:spacing w:before="120" w:line="360" w:lineRule="auto"/>
              <w:ind w:left="-189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5,</w:t>
            </w:r>
            <w:r w:rsidR="00252ADC">
              <w:rPr>
                <w:rFonts w:ascii="Arial" w:hAnsi="Arial"/>
              </w:rPr>
              <w:t>3</w:t>
            </w:r>
          </w:p>
        </w:tc>
      </w:tr>
      <w:tr w:rsidR="005B2989" w:rsidRPr="00E70B6E" w:rsidTr="00D409D4">
        <w:trPr>
          <w:trHeight w:val="454"/>
        </w:trPr>
        <w:tc>
          <w:tcPr>
            <w:tcW w:w="4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before="120" w:line="360" w:lineRule="auto"/>
              <w:ind w:left="-189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PIB du tourisme / PIB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2989" w:rsidRPr="00E70B6E" w:rsidRDefault="005B2989" w:rsidP="00D409D4">
            <w:pPr>
              <w:spacing w:before="120"/>
              <w:ind w:left="-189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6,</w:t>
            </w:r>
            <w:r w:rsidR="00252ADC">
              <w:rPr>
                <w:rFonts w:ascii="Arial" w:hAnsi="Arial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2989" w:rsidRPr="00E70B6E" w:rsidRDefault="005B2989" w:rsidP="00D409D4">
            <w:pPr>
              <w:spacing w:before="120" w:line="360" w:lineRule="auto"/>
              <w:ind w:left="-189"/>
              <w:jc w:val="center"/>
              <w:rPr>
                <w:rFonts w:ascii="Arial" w:hAnsi="Arial"/>
              </w:rPr>
            </w:pPr>
            <w:r w:rsidRPr="00E70B6E">
              <w:rPr>
                <w:rFonts w:ascii="Arial" w:hAnsi="Arial"/>
              </w:rPr>
              <w:t>6,</w:t>
            </w:r>
            <w:r w:rsidR="00252ADC">
              <w:rPr>
                <w:rFonts w:ascii="Arial" w:hAnsi="Arial"/>
              </w:rPr>
              <w:t>7</w:t>
            </w:r>
          </w:p>
        </w:tc>
      </w:tr>
    </w:tbl>
    <w:p w:rsidR="00093022" w:rsidRDefault="00093022" w:rsidP="00093022">
      <w:pPr>
        <w:pStyle w:val="Titre1"/>
        <w:rPr>
          <w:b w:val="0"/>
          <w:bCs w:val="0"/>
        </w:rPr>
      </w:pPr>
    </w:p>
    <w:p w:rsidR="00093022" w:rsidRDefault="00093022" w:rsidP="00093022">
      <w:pPr>
        <w:pStyle w:val="Titre1"/>
        <w:spacing w:before="0" w:after="0" w:line="240" w:lineRule="auto"/>
        <w:jc w:val="center"/>
        <w:rPr>
          <w:bCs w:val="0"/>
          <w:sz w:val="28"/>
        </w:rPr>
      </w:pPr>
    </w:p>
    <w:tbl>
      <w:tblPr>
        <w:tblW w:w="1056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46"/>
        <w:gridCol w:w="10420"/>
      </w:tblGrid>
      <w:tr w:rsidR="00005F85" w:rsidRPr="00BC3A34">
        <w:trPr>
          <w:trHeight w:val="360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5F85" w:rsidRPr="00627A37" w:rsidRDefault="00005F85" w:rsidP="004154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05F85" w:rsidRPr="00BC3A34">
        <w:trPr>
          <w:trHeight w:val="315"/>
        </w:trPr>
        <w:tc>
          <w:tcPr>
            <w:tcW w:w="10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237" w:rsidRPr="00627A37" w:rsidRDefault="00393237" w:rsidP="004E037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F3C88" w:rsidRPr="00BC3A34">
        <w:trPr>
          <w:gridAfter w:val="1"/>
          <w:wAfter w:w="10420" w:type="dxa"/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C88" w:rsidRPr="00BC3A34" w:rsidRDefault="001F3C88" w:rsidP="004154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03309" w:rsidRDefault="00E03309" w:rsidP="00AD03D4"/>
    <w:sectPr w:rsidR="00E03309" w:rsidSect="00DB293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036" w:rsidRDefault="00552036">
      <w:r>
        <w:separator/>
      </w:r>
    </w:p>
  </w:endnote>
  <w:endnote w:type="continuationSeparator" w:id="0">
    <w:p w:rsidR="00552036" w:rsidRDefault="0055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B32A0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B32A0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457A41" w:rsidRPr="00C10BDD" w:rsidRDefault="00457A4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036" w:rsidRDefault="00552036">
      <w:r>
        <w:separator/>
      </w:r>
    </w:p>
  </w:footnote>
  <w:footnote w:type="continuationSeparator" w:id="0">
    <w:p w:rsidR="00552036" w:rsidRDefault="00552036">
      <w:r>
        <w:continuationSeparator/>
      </w:r>
    </w:p>
  </w:footnote>
  <w:footnote w:id="1">
    <w:p w:rsidR="003279D6" w:rsidRPr="00843851" w:rsidRDefault="003279D6" w:rsidP="003279D6">
      <w:pPr>
        <w:jc w:val="both"/>
        <w:rPr>
          <w:rFonts w:ascii="Arial" w:hAnsi="Arial"/>
          <w:sz w:val="18"/>
          <w:szCs w:val="18"/>
        </w:rPr>
      </w:pPr>
      <w:r w:rsidRPr="009F41E6">
        <w:rPr>
          <w:rStyle w:val="Appelnotedebasdep"/>
          <w:sz w:val="20"/>
          <w:szCs w:val="20"/>
        </w:rPr>
        <w:footnoteRef/>
      </w:r>
      <w:r w:rsidRPr="009F41E6">
        <w:rPr>
          <w:sz w:val="20"/>
          <w:szCs w:val="20"/>
        </w:rPr>
        <w:t xml:space="preserve"> </w:t>
      </w:r>
      <w:r>
        <w:rPr>
          <w:sz w:val="20"/>
          <w:szCs w:val="20"/>
        </w:rPr>
        <w:t>Consommation totale du tourisme interne et émetteur et du tourisme récepteur</w:t>
      </w:r>
      <w:r w:rsidRPr="00843851">
        <w:rPr>
          <w:rFonts w:ascii="Arial" w:hAnsi="Arial"/>
          <w:sz w:val="18"/>
          <w:szCs w:val="18"/>
        </w:rPr>
        <w:t>.</w:t>
      </w:r>
    </w:p>
    <w:p w:rsidR="003279D6" w:rsidRPr="00843851" w:rsidRDefault="003279D6" w:rsidP="006A494F">
      <w:pPr>
        <w:pStyle w:val="Notedebasdepage"/>
        <w:spacing w:after="0" w:line="240" w:lineRule="auto"/>
        <w:rPr>
          <w:sz w:val="18"/>
          <w:szCs w:val="18"/>
        </w:rPr>
      </w:pPr>
    </w:p>
  </w:footnote>
  <w:footnote w:id="2">
    <w:p w:rsidR="00457A41" w:rsidRPr="00843851" w:rsidRDefault="00457A41" w:rsidP="00026B2F">
      <w:pPr>
        <w:spacing w:line="240" w:lineRule="exact"/>
        <w:jc w:val="both"/>
        <w:rPr>
          <w:rFonts w:ascii="Arial" w:hAnsi="Arial"/>
          <w:sz w:val="18"/>
          <w:szCs w:val="18"/>
        </w:rPr>
      </w:pPr>
      <w:r w:rsidRPr="009F41E6">
        <w:rPr>
          <w:rStyle w:val="Appelnotedebasdep"/>
          <w:sz w:val="20"/>
          <w:szCs w:val="20"/>
        </w:rPr>
        <w:footnoteRef/>
      </w:r>
      <w:r w:rsidRPr="009F41E6">
        <w:rPr>
          <w:sz w:val="20"/>
          <w:szCs w:val="20"/>
        </w:rPr>
        <w:t xml:space="preserve"> </w:t>
      </w:r>
      <w:r w:rsidR="001C24B1">
        <w:rPr>
          <w:sz w:val="20"/>
          <w:szCs w:val="20"/>
        </w:rPr>
        <w:t xml:space="preserve">Elle concerne les </w:t>
      </w:r>
      <w:r w:rsidRPr="00843851">
        <w:rPr>
          <w:rFonts w:ascii="Arial" w:hAnsi="Arial"/>
          <w:color w:val="000000"/>
          <w:sz w:val="18"/>
          <w:szCs w:val="18"/>
        </w:rPr>
        <w:t xml:space="preserve">dépenses touristiques </w:t>
      </w:r>
      <w:r w:rsidR="001C24B1">
        <w:rPr>
          <w:rFonts w:ascii="Arial" w:hAnsi="Arial"/>
          <w:color w:val="000000"/>
          <w:sz w:val="18"/>
          <w:szCs w:val="18"/>
        </w:rPr>
        <w:t>effectuées par les résidents à l’intérieur du territoire national</w:t>
      </w:r>
      <w:r w:rsidRPr="00843851">
        <w:rPr>
          <w:rFonts w:ascii="Arial" w:hAnsi="Arial"/>
          <w:sz w:val="18"/>
          <w:szCs w:val="18"/>
        </w:rPr>
        <w:t>.</w:t>
      </w:r>
    </w:p>
    <w:p w:rsidR="00457A41" w:rsidRPr="00843851" w:rsidRDefault="00457A41" w:rsidP="00026B2F">
      <w:pPr>
        <w:pStyle w:val="Notedebasdepage"/>
        <w:spacing w:after="0" w:line="240" w:lineRule="exact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14C2"/>
    <w:rsid w:val="000025B3"/>
    <w:rsid w:val="0000371A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2AB4"/>
    <w:rsid w:val="00024095"/>
    <w:rsid w:val="0002581F"/>
    <w:rsid w:val="00026B2F"/>
    <w:rsid w:val="0002783F"/>
    <w:rsid w:val="00027850"/>
    <w:rsid w:val="00040202"/>
    <w:rsid w:val="00040F0F"/>
    <w:rsid w:val="00050A6E"/>
    <w:rsid w:val="000554EE"/>
    <w:rsid w:val="00060321"/>
    <w:rsid w:val="00063606"/>
    <w:rsid w:val="00063C51"/>
    <w:rsid w:val="00064386"/>
    <w:rsid w:val="0006553F"/>
    <w:rsid w:val="00070037"/>
    <w:rsid w:val="00081BE5"/>
    <w:rsid w:val="00082A28"/>
    <w:rsid w:val="00085E86"/>
    <w:rsid w:val="00093022"/>
    <w:rsid w:val="000A3BE9"/>
    <w:rsid w:val="000A4F68"/>
    <w:rsid w:val="000B2A3E"/>
    <w:rsid w:val="000B3D51"/>
    <w:rsid w:val="000C5E54"/>
    <w:rsid w:val="000C5EEF"/>
    <w:rsid w:val="000C7682"/>
    <w:rsid w:val="000D25AF"/>
    <w:rsid w:val="000E21D3"/>
    <w:rsid w:val="000E7503"/>
    <w:rsid w:val="00100AF5"/>
    <w:rsid w:val="00102905"/>
    <w:rsid w:val="001063C7"/>
    <w:rsid w:val="00107113"/>
    <w:rsid w:val="00114C7E"/>
    <w:rsid w:val="00116B4A"/>
    <w:rsid w:val="00120AF1"/>
    <w:rsid w:val="0012265F"/>
    <w:rsid w:val="00132CC7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949CD"/>
    <w:rsid w:val="001A116A"/>
    <w:rsid w:val="001A1A9C"/>
    <w:rsid w:val="001A7093"/>
    <w:rsid w:val="001B3A93"/>
    <w:rsid w:val="001B5762"/>
    <w:rsid w:val="001C24B1"/>
    <w:rsid w:val="001C3920"/>
    <w:rsid w:val="001C4BE1"/>
    <w:rsid w:val="001D07F7"/>
    <w:rsid w:val="001D0B13"/>
    <w:rsid w:val="001D34E6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4D58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3043F"/>
    <w:rsid w:val="00232ABC"/>
    <w:rsid w:val="00242C76"/>
    <w:rsid w:val="00242CBE"/>
    <w:rsid w:val="00243363"/>
    <w:rsid w:val="002443AA"/>
    <w:rsid w:val="0024586A"/>
    <w:rsid w:val="00246281"/>
    <w:rsid w:val="00252ADC"/>
    <w:rsid w:val="002541FE"/>
    <w:rsid w:val="00256291"/>
    <w:rsid w:val="002603C8"/>
    <w:rsid w:val="00262AA7"/>
    <w:rsid w:val="00264343"/>
    <w:rsid w:val="002648C4"/>
    <w:rsid w:val="00264D30"/>
    <w:rsid w:val="00271922"/>
    <w:rsid w:val="00282981"/>
    <w:rsid w:val="0028585A"/>
    <w:rsid w:val="00286F23"/>
    <w:rsid w:val="00287D06"/>
    <w:rsid w:val="00290B88"/>
    <w:rsid w:val="0029496E"/>
    <w:rsid w:val="00295997"/>
    <w:rsid w:val="002A1CE9"/>
    <w:rsid w:val="002A281B"/>
    <w:rsid w:val="002A5A7C"/>
    <w:rsid w:val="002A688F"/>
    <w:rsid w:val="002A739B"/>
    <w:rsid w:val="002B5535"/>
    <w:rsid w:val="002C02CC"/>
    <w:rsid w:val="002C09B2"/>
    <w:rsid w:val="002C6433"/>
    <w:rsid w:val="002D022C"/>
    <w:rsid w:val="002D3BD2"/>
    <w:rsid w:val="002D49EF"/>
    <w:rsid w:val="002E7DC6"/>
    <w:rsid w:val="002F3B72"/>
    <w:rsid w:val="002F7256"/>
    <w:rsid w:val="0030605C"/>
    <w:rsid w:val="003121A0"/>
    <w:rsid w:val="00314191"/>
    <w:rsid w:val="00316A57"/>
    <w:rsid w:val="0031735D"/>
    <w:rsid w:val="003243B5"/>
    <w:rsid w:val="00326824"/>
    <w:rsid w:val="00327972"/>
    <w:rsid w:val="003279D6"/>
    <w:rsid w:val="003347C0"/>
    <w:rsid w:val="0033724B"/>
    <w:rsid w:val="00341BE6"/>
    <w:rsid w:val="00346F33"/>
    <w:rsid w:val="00351D4C"/>
    <w:rsid w:val="003557D2"/>
    <w:rsid w:val="003671BE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7C9A"/>
    <w:rsid w:val="003C357A"/>
    <w:rsid w:val="003E5DDB"/>
    <w:rsid w:val="003F28EA"/>
    <w:rsid w:val="003F445E"/>
    <w:rsid w:val="00401D3E"/>
    <w:rsid w:val="0040201B"/>
    <w:rsid w:val="00403A20"/>
    <w:rsid w:val="00407B06"/>
    <w:rsid w:val="00415408"/>
    <w:rsid w:val="00420A48"/>
    <w:rsid w:val="004214C6"/>
    <w:rsid w:val="004275D6"/>
    <w:rsid w:val="004278FD"/>
    <w:rsid w:val="00430246"/>
    <w:rsid w:val="004457C2"/>
    <w:rsid w:val="00446DB7"/>
    <w:rsid w:val="00447FBC"/>
    <w:rsid w:val="00452774"/>
    <w:rsid w:val="00457A41"/>
    <w:rsid w:val="00460388"/>
    <w:rsid w:val="00464561"/>
    <w:rsid w:val="00466581"/>
    <w:rsid w:val="00473B49"/>
    <w:rsid w:val="004744FF"/>
    <w:rsid w:val="00481E24"/>
    <w:rsid w:val="00484E8D"/>
    <w:rsid w:val="004A0209"/>
    <w:rsid w:val="004A09A1"/>
    <w:rsid w:val="004A1173"/>
    <w:rsid w:val="004A225B"/>
    <w:rsid w:val="004A2E6B"/>
    <w:rsid w:val="004A73C5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1A5D"/>
    <w:rsid w:val="004C43FD"/>
    <w:rsid w:val="004E0373"/>
    <w:rsid w:val="004E17D0"/>
    <w:rsid w:val="004E36E2"/>
    <w:rsid w:val="004E67F8"/>
    <w:rsid w:val="004F445D"/>
    <w:rsid w:val="004F505B"/>
    <w:rsid w:val="004F5172"/>
    <w:rsid w:val="004F572F"/>
    <w:rsid w:val="004F57F8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56D9"/>
    <w:rsid w:val="0052635A"/>
    <w:rsid w:val="00531787"/>
    <w:rsid w:val="00537897"/>
    <w:rsid w:val="00541A80"/>
    <w:rsid w:val="00541C46"/>
    <w:rsid w:val="00542043"/>
    <w:rsid w:val="00542E3A"/>
    <w:rsid w:val="00545624"/>
    <w:rsid w:val="00547ECD"/>
    <w:rsid w:val="00550169"/>
    <w:rsid w:val="00552036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2403"/>
    <w:rsid w:val="00585A9E"/>
    <w:rsid w:val="005903DB"/>
    <w:rsid w:val="00590E1B"/>
    <w:rsid w:val="00594250"/>
    <w:rsid w:val="00594D60"/>
    <w:rsid w:val="00595235"/>
    <w:rsid w:val="005B0675"/>
    <w:rsid w:val="005B0A04"/>
    <w:rsid w:val="005B2989"/>
    <w:rsid w:val="005B3582"/>
    <w:rsid w:val="005B48EA"/>
    <w:rsid w:val="005C28E5"/>
    <w:rsid w:val="005C707A"/>
    <w:rsid w:val="005C7D21"/>
    <w:rsid w:val="005D0550"/>
    <w:rsid w:val="005D14CD"/>
    <w:rsid w:val="005D2E6C"/>
    <w:rsid w:val="005D4AE3"/>
    <w:rsid w:val="005D5022"/>
    <w:rsid w:val="005D71A1"/>
    <w:rsid w:val="005D72D0"/>
    <w:rsid w:val="005E3BDC"/>
    <w:rsid w:val="005E4938"/>
    <w:rsid w:val="00604836"/>
    <w:rsid w:val="00610ADF"/>
    <w:rsid w:val="00611B94"/>
    <w:rsid w:val="006139DE"/>
    <w:rsid w:val="0061442D"/>
    <w:rsid w:val="00621C69"/>
    <w:rsid w:val="00621F5D"/>
    <w:rsid w:val="00627A37"/>
    <w:rsid w:val="00630E13"/>
    <w:rsid w:val="0063123E"/>
    <w:rsid w:val="00633846"/>
    <w:rsid w:val="00633BBA"/>
    <w:rsid w:val="00635AEC"/>
    <w:rsid w:val="0064092C"/>
    <w:rsid w:val="006418B5"/>
    <w:rsid w:val="00643699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32B3"/>
    <w:rsid w:val="00681189"/>
    <w:rsid w:val="00682878"/>
    <w:rsid w:val="0068506D"/>
    <w:rsid w:val="00687A8F"/>
    <w:rsid w:val="00690CED"/>
    <w:rsid w:val="00692552"/>
    <w:rsid w:val="00692EA7"/>
    <w:rsid w:val="00694FF6"/>
    <w:rsid w:val="00695BAE"/>
    <w:rsid w:val="006A3883"/>
    <w:rsid w:val="006A494F"/>
    <w:rsid w:val="006A5BF1"/>
    <w:rsid w:val="006A72EC"/>
    <w:rsid w:val="006B2B90"/>
    <w:rsid w:val="006B5F68"/>
    <w:rsid w:val="006C1381"/>
    <w:rsid w:val="006C21ED"/>
    <w:rsid w:val="006D22BC"/>
    <w:rsid w:val="006D4F49"/>
    <w:rsid w:val="006D5BB8"/>
    <w:rsid w:val="006D7AEF"/>
    <w:rsid w:val="006D7BF3"/>
    <w:rsid w:val="006D7FA4"/>
    <w:rsid w:val="006E08AD"/>
    <w:rsid w:val="006E2219"/>
    <w:rsid w:val="006E2C7A"/>
    <w:rsid w:val="006E456F"/>
    <w:rsid w:val="006E5679"/>
    <w:rsid w:val="006E7909"/>
    <w:rsid w:val="006F0A43"/>
    <w:rsid w:val="006F6D7E"/>
    <w:rsid w:val="006F6E1A"/>
    <w:rsid w:val="006F6E97"/>
    <w:rsid w:val="00700E75"/>
    <w:rsid w:val="007206D4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4686"/>
    <w:rsid w:val="007760AE"/>
    <w:rsid w:val="00776F26"/>
    <w:rsid w:val="00782073"/>
    <w:rsid w:val="00783B70"/>
    <w:rsid w:val="00785179"/>
    <w:rsid w:val="00790B01"/>
    <w:rsid w:val="00791486"/>
    <w:rsid w:val="00794363"/>
    <w:rsid w:val="00796547"/>
    <w:rsid w:val="00797E37"/>
    <w:rsid w:val="007A2065"/>
    <w:rsid w:val="007A3834"/>
    <w:rsid w:val="007A49AE"/>
    <w:rsid w:val="007A4BAD"/>
    <w:rsid w:val="007A6298"/>
    <w:rsid w:val="007B0E89"/>
    <w:rsid w:val="007B68AF"/>
    <w:rsid w:val="007C2982"/>
    <w:rsid w:val="007C6380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4010"/>
    <w:rsid w:val="007F475F"/>
    <w:rsid w:val="007F478E"/>
    <w:rsid w:val="007F4A8D"/>
    <w:rsid w:val="00802A9C"/>
    <w:rsid w:val="00803256"/>
    <w:rsid w:val="0080593A"/>
    <w:rsid w:val="00807DC4"/>
    <w:rsid w:val="00811CEF"/>
    <w:rsid w:val="008148E1"/>
    <w:rsid w:val="00816BBF"/>
    <w:rsid w:val="00817D3A"/>
    <w:rsid w:val="00821446"/>
    <w:rsid w:val="00826BE1"/>
    <w:rsid w:val="00827C7E"/>
    <w:rsid w:val="00827D77"/>
    <w:rsid w:val="008373A3"/>
    <w:rsid w:val="0084269C"/>
    <w:rsid w:val="00843851"/>
    <w:rsid w:val="00844616"/>
    <w:rsid w:val="0085237D"/>
    <w:rsid w:val="00852402"/>
    <w:rsid w:val="0086177A"/>
    <w:rsid w:val="00863E70"/>
    <w:rsid w:val="00866410"/>
    <w:rsid w:val="0087042E"/>
    <w:rsid w:val="008712A1"/>
    <w:rsid w:val="0087409F"/>
    <w:rsid w:val="00877E3C"/>
    <w:rsid w:val="0088015C"/>
    <w:rsid w:val="0088199E"/>
    <w:rsid w:val="0088413A"/>
    <w:rsid w:val="00884C20"/>
    <w:rsid w:val="008938AA"/>
    <w:rsid w:val="008946E5"/>
    <w:rsid w:val="00894A15"/>
    <w:rsid w:val="00894C3A"/>
    <w:rsid w:val="008951BF"/>
    <w:rsid w:val="0089579A"/>
    <w:rsid w:val="008A2CAA"/>
    <w:rsid w:val="008A4CF7"/>
    <w:rsid w:val="008A6A9C"/>
    <w:rsid w:val="008B05BA"/>
    <w:rsid w:val="008B32BE"/>
    <w:rsid w:val="008B3DBA"/>
    <w:rsid w:val="008B41EC"/>
    <w:rsid w:val="008B4A5F"/>
    <w:rsid w:val="008C2B3E"/>
    <w:rsid w:val="008C2C3C"/>
    <w:rsid w:val="008C79BB"/>
    <w:rsid w:val="008D1587"/>
    <w:rsid w:val="008D244F"/>
    <w:rsid w:val="008D38D9"/>
    <w:rsid w:val="008D767F"/>
    <w:rsid w:val="008E279E"/>
    <w:rsid w:val="008E2FC5"/>
    <w:rsid w:val="008E513B"/>
    <w:rsid w:val="008E57C2"/>
    <w:rsid w:val="008F416D"/>
    <w:rsid w:val="008F675B"/>
    <w:rsid w:val="008F6D54"/>
    <w:rsid w:val="00900744"/>
    <w:rsid w:val="00900B2E"/>
    <w:rsid w:val="00905C15"/>
    <w:rsid w:val="00911D8D"/>
    <w:rsid w:val="00930027"/>
    <w:rsid w:val="00930BC1"/>
    <w:rsid w:val="00931126"/>
    <w:rsid w:val="00944B4F"/>
    <w:rsid w:val="00945878"/>
    <w:rsid w:val="009501D7"/>
    <w:rsid w:val="0095153B"/>
    <w:rsid w:val="00953DB4"/>
    <w:rsid w:val="00961216"/>
    <w:rsid w:val="00964ED6"/>
    <w:rsid w:val="00965163"/>
    <w:rsid w:val="00970294"/>
    <w:rsid w:val="00970EB5"/>
    <w:rsid w:val="00974948"/>
    <w:rsid w:val="009750B7"/>
    <w:rsid w:val="009801E4"/>
    <w:rsid w:val="00984C53"/>
    <w:rsid w:val="00990C6F"/>
    <w:rsid w:val="00993978"/>
    <w:rsid w:val="00996F92"/>
    <w:rsid w:val="009A049E"/>
    <w:rsid w:val="009A205F"/>
    <w:rsid w:val="009A3A8A"/>
    <w:rsid w:val="009A62AA"/>
    <w:rsid w:val="009B2B2B"/>
    <w:rsid w:val="009B2BE5"/>
    <w:rsid w:val="009B42C1"/>
    <w:rsid w:val="009B68BD"/>
    <w:rsid w:val="009C0E61"/>
    <w:rsid w:val="009C72C4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7E32"/>
    <w:rsid w:val="00A11972"/>
    <w:rsid w:val="00A1335E"/>
    <w:rsid w:val="00A16299"/>
    <w:rsid w:val="00A17CEA"/>
    <w:rsid w:val="00A250DB"/>
    <w:rsid w:val="00A30D62"/>
    <w:rsid w:val="00A322D1"/>
    <w:rsid w:val="00A3434A"/>
    <w:rsid w:val="00A37370"/>
    <w:rsid w:val="00A37E02"/>
    <w:rsid w:val="00A37E64"/>
    <w:rsid w:val="00A37F6E"/>
    <w:rsid w:val="00A44584"/>
    <w:rsid w:val="00A5496C"/>
    <w:rsid w:val="00A55F75"/>
    <w:rsid w:val="00A561B3"/>
    <w:rsid w:val="00A610E0"/>
    <w:rsid w:val="00A6210F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7B84"/>
    <w:rsid w:val="00A925A2"/>
    <w:rsid w:val="00AA3E6A"/>
    <w:rsid w:val="00AA48F7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3BF1"/>
    <w:rsid w:val="00AE4320"/>
    <w:rsid w:val="00AE61E0"/>
    <w:rsid w:val="00AF442C"/>
    <w:rsid w:val="00AF7084"/>
    <w:rsid w:val="00AF74CA"/>
    <w:rsid w:val="00B03647"/>
    <w:rsid w:val="00B03879"/>
    <w:rsid w:val="00B065DA"/>
    <w:rsid w:val="00B10250"/>
    <w:rsid w:val="00B12082"/>
    <w:rsid w:val="00B20C66"/>
    <w:rsid w:val="00B247B4"/>
    <w:rsid w:val="00B24B25"/>
    <w:rsid w:val="00B317EB"/>
    <w:rsid w:val="00B31D24"/>
    <w:rsid w:val="00B32A09"/>
    <w:rsid w:val="00B34CFD"/>
    <w:rsid w:val="00B35A48"/>
    <w:rsid w:val="00B37707"/>
    <w:rsid w:val="00B37B1B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FCF"/>
    <w:rsid w:val="00B8450C"/>
    <w:rsid w:val="00B8462E"/>
    <w:rsid w:val="00B84D1B"/>
    <w:rsid w:val="00B855EA"/>
    <w:rsid w:val="00BA5F9D"/>
    <w:rsid w:val="00BB27CA"/>
    <w:rsid w:val="00BC2E39"/>
    <w:rsid w:val="00BC2EE7"/>
    <w:rsid w:val="00BC49B4"/>
    <w:rsid w:val="00BD05AA"/>
    <w:rsid w:val="00BD3618"/>
    <w:rsid w:val="00BD611F"/>
    <w:rsid w:val="00BD7B29"/>
    <w:rsid w:val="00BE0266"/>
    <w:rsid w:val="00BE12C8"/>
    <w:rsid w:val="00C005F2"/>
    <w:rsid w:val="00C02BDF"/>
    <w:rsid w:val="00C03E14"/>
    <w:rsid w:val="00C10731"/>
    <w:rsid w:val="00C10BDD"/>
    <w:rsid w:val="00C14DCE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6CD1"/>
    <w:rsid w:val="00C57DE2"/>
    <w:rsid w:val="00C6558A"/>
    <w:rsid w:val="00C700B7"/>
    <w:rsid w:val="00C7289A"/>
    <w:rsid w:val="00C77AA4"/>
    <w:rsid w:val="00C83E7A"/>
    <w:rsid w:val="00C91573"/>
    <w:rsid w:val="00C92504"/>
    <w:rsid w:val="00C92E38"/>
    <w:rsid w:val="00CA2232"/>
    <w:rsid w:val="00CA75DE"/>
    <w:rsid w:val="00CA7AEC"/>
    <w:rsid w:val="00CB05C8"/>
    <w:rsid w:val="00CB3A44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3217"/>
    <w:rsid w:val="00D0012D"/>
    <w:rsid w:val="00D005D1"/>
    <w:rsid w:val="00D01031"/>
    <w:rsid w:val="00D07E75"/>
    <w:rsid w:val="00D12FA1"/>
    <w:rsid w:val="00D14C8B"/>
    <w:rsid w:val="00D15EC7"/>
    <w:rsid w:val="00D224CC"/>
    <w:rsid w:val="00D272F2"/>
    <w:rsid w:val="00D30672"/>
    <w:rsid w:val="00D30B74"/>
    <w:rsid w:val="00D409D4"/>
    <w:rsid w:val="00D40AE4"/>
    <w:rsid w:val="00D4135D"/>
    <w:rsid w:val="00D46A93"/>
    <w:rsid w:val="00D4763E"/>
    <w:rsid w:val="00D60382"/>
    <w:rsid w:val="00D71FF6"/>
    <w:rsid w:val="00D820EB"/>
    <w:rsid w:val="00D82174"/>
    <w:rsid w:val="00D82E00"/>
    <w:rsid w:val="00DA3A4B"/>
    <w:rsid w:val="00DB27A9"/>
    <w:rsid w:val="00DB293A"/>
    <w:rsid w:val="00DB41D2"/>
    <w:rsid w:val="00DB5B3F"/>
    <w:rsid w:val="00DC0C38"/>
    <w:rsid w:val="00DC5172"/>
    <w:rsid w:val="00DD01F2"/>
    <w:rsid w:val="00DD1685"/>
    <w:rsid w:val="00DD4344"/>
    <w:rsid w:val="00DD4AEF"/>
    <w:rsid w:val="00DD5A2F"/>
    <w:rsid w:val="00DE1986"/>
    <w:rsid w:val="00DE635A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15201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E39"/>
    <w:rsid w:val="00E65927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B537F"/>
    <w:rsid w:val="00EB5AC5"/>
    <w:rsid w:val="00EB7741"/>
    <w:rsid w:val="00EC2DCE"/>
    <w:rsid w:val="00EC6140"/>
    <w:rsid w:val="00ED61AD"/>
    <w:rsid w:val="00EE0046"/>
    <w:rsid w:val="00EE549F"/>
    <w:rsid w:val="00EE5D39"/>
    <w:rsid w:val="00EF0AA8"/>
    <w:rsid w:val="00EF13CA"/>
    <w:rsid w:val="00EF6FB3"/>
    <w:rsid w:val="00F04237"/>
    <w:rsid w:val="00F1016F"/>
    <w:rsid w:val="00F11331"/>
    <w:rsid w:val="00F13493"/>
    <w:rsid w:val="00F14900"/>
    <w:rsid w:val="00F15891"/>
    <w:rsid w:val="00F16832"/>
    <w:rsid w:val="00F24784"/>
    <w:rsid w:val="00F2657B"/>
    <w:rsid w:val="00F30486"/>
    <w:rsid w:val="00F30675"/>
    <w:rsid w:val="00F317B3"/>
    <w:rsid w:val="00F35B0B"/>
    <w:rsid w:val="00F35C32"/>
    <w:rsid w:val="00F41603"/>
    <w:rsid w:val="00F4214F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6045"/>
    <w:rsid w:val="00F86144"/>
    <w:rsid w:val="00F90EB4"/>
    <w:rsid w:val="00F92A08"/>
    <w:rsid w:val="00F94487"/>
    <w:rsid w:val="00F94BFA"/>
    <w:rsid w:val="00F96170"/>
    <w:rsid w:val="00FA1FD9"/>
    <w:rsid w:val="00FA2B84"/>
    <w:rsid w:val="00FA701C"/>
    <w:rsid w:val="00FB00B3"/>
    <w:rsid w:val="00FB15D1"/>
    <w:rsid w:val="00FB4688"/>
    <w:rsid w:val="00FB5979"/>
    <w:rsid w:val="00FB69A5"/>
    <w:rsid w:val="00FB7387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E10A9"/>
    <w:rsid w:val="00FE18C9"/>
    <w:rsid w:val="00FE1FC9"/>
    <w:rsid w:val="00FE274D"/>
    <w:rsid w:val="00FE5DD9"/>
    <w:rsid w:val="00FE619F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nhideWhenUsed/>
    <w:rsid w:val="00093022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214C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214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2015-10-08T17:16:00Z</cp:lastPrinted>
  <dcterms:created xsi:type="dcterms:W3CDTF">2015-10-08T20:02:00Z</dcterms:created>
  <dcterms:modified xsi:type="dcterms:W3CDTF">2015-10-08T20:02:00Z</dcterms:modified>
</cp:coreProperties>
</file>