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      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5A074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0D4077" w:rsidRPr="00C706A5" w:rsidRDefault="00A064C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F430E6" w:rsidP="00301913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Deuxième trimestre</w:t>
      </w:r>
      <w:r w:rsidR="00301913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2015</w:t>
      </w:r>
    </w:p>
    <w:p w:rsidR="004105E0" w:rsidRPr="00C706A5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6031AF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montrent </w:t>
      </w:r>
      <w:r w:rsidR="003658EF" w:rsidRPr="00C706A5">
        <w:rPr>
          <w:rFonts w:ascii="Times New Roman" w:hAnsi="Times New Roman" w:cs="Times New Roman"/>
          <w:b/>
          <w:color w:val="000000" w:themeColor="text1"/>
        </w:rPr>
        <w:t>qu</w:t>
      </w:r>
      <w:r w:rsidR="003658EF">
        <w:rPr>
          <w:rFonts w:ascii="Times New Roman" w:hAnsi="Times New Roman" w:cs="Times New Roman"/>
          <w:b/>
          <w:color w:val="000000" w:themeColor="text1"/>
        </w:rPr>
        <w:t>’au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 deuxième trimestre de 2015, 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l’Indice de </w:t>
      </w:r>
      <w:r w:rsidR="00A45128" w:rsidRPr="00BD713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Confiance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 des Ménages (ICM) </w:t>
      </w:r>
      <w:r w:rsidR="001424D2">
        <w:rPr>
          <w:rFonts w:ascii="Times New Roman" w:hAnsi="Times New Roman" w:cs="Times New Roman"/>
          <w:b/>
          <w:color w:val="000000" w:themeColor="text1"/>
        </w:rPr>
        <w:t xml:space="preserve">continue sa tendance haussière entamée depuis le quatrième trimestre de 2014. Il </w:t>
      </w:r>
      <w:r w:rsidR="003658EF">
        <w:rPr>
          <w:rFonts w:ascii="Times New Roman" w:hAnsi="Times New Roman" w:cs="Times New Roman"/>
          <w:b/>
          <w:bCs/>
          <w:color w:val="000000" w:themeColor="text1"/>
        </w:rPr>
        <w:t xml:space="preserve">aura enregistré 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une hausse </w:t>
      </w:r>
      <w:r w:rsidR="00825C9C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825C9C" w:rsidRPr="008E7F17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EB4313"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825C9C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 points 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par rapport au </w:t>
      </w:r>
      <w:r w:rsidR="00F430E6">
        <w:rPr>
          <w:rFonts w:ascii="Times New Roman" w:hAnsi="Times New Roman" w:cs="Times New Roman"/>
          <w:b/>
          <w:bCs/>
          <w:color w:val="000000" w:themeColor="text1"/>
        </w:rPr>
        <w:t xml:space="preserve">premier </w:t>
      </w:r>
      <w:r w:rsidR="00F430E6" w:rsidRPr="00E56675">
        <w:rPr>
          <w:rFonts w:ascii="Times New Roman" w:hAnsi="Times New Roman" w:cs="Times New Roman"/>
          <w:b/>
          <w:bCs/>
          <w:color w:val="000000" w:themeColor="text1"/>
        </w:rPr>
        <w:t>trimestre</w:t>
      </w:r>
      <w:r w:rsidR="00741BD7" w:rsidRPr="00E56675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r w:rsidR="006031AF" w:rsidRPr="00E56675">
        <w:rPr>
          <w:rFonts w:ascii="Times New Roman" w:hAnsi="Times New Roman" w:cs="Times New Roman" w:hint="cs"/>
          <w:b/>
          <w:bCs/>
          <w:color w:val="000000" w:themeColor="text1"/>
          <w:rtl/>
        </w:rPr>
        <w:t>2015</w:t>
      </w:r>
      <w:r w:rsidR="00741BD7" w:rsidRPr="00E5667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E5779" w:rsidRPr="00E56675">
        <w:rPr>
          <w:rFonts w:ascii="Times New Roman" w:hAnsi="Times New Roman" w:cs="Times New Roman"/>
          <w:b/>
          <w:color w:val="000000" w:themeColor="text1"/>
        </w:rPr>
        <w:t>et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53EB0">
        <w:rPr>
          <w:rFonts w:ascii="Times New Roman" w:hAnsi="Times New Roman" w:cs="Times New Roman"/>
          <w:b/>
          <w:bCs/>
          <w:color w:val="000000" w:themeColor="text1"/>
        </w:rPr>
        <w:t>de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430E6">
        <w:rPr>
          <w:rFonts w:ascii="Times New Roman" w:hAnsi="Times New Roman" w:cs="Times New Roman"/>
          <w:b/>
          <w:bCs/>
          <w:color w:val="000000" w:themeColor="text1"/>
        </w:rPr>
        <w:t>2,1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 point</w:t>
      </w:r>
      <w:r w:rsidR="00EB4313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25C9C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par rapport au 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même trimestre de l’année 2014. </w:t>
      </w:r>
    </w:p>
    <w:p w:rsidR="00F80F35" w:rsidRPr="00C706A5" w:rsidRDefault="00A45128" w:rsidP="00717A0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A45128" w:rsidRPr="00C706A5" w:rsidRDefault="00CF09A5" w:rsidP="00F430E6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C’est ainsi qu’a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u </w:t>
      </w:r>
      <w:r w:rsidR="00F430E6">
        <w:rPr>
          <w:rFonts w:ascii="Times New Roman" w:hAnsi="Times New Roman" w:cs="Times New Roman"/>
          <w:color w:val="000000" w:themeColor="text1"/>
        </w:rPr>
        <w:t>deuxième trimestre</w:t>
      </w:r>
      <w:r w:rsidR="00CB09C6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301913">
        <w:rPr>
          <w:rFonts w:ascii="Times New Roman" w:hAnsi="Times New Roman" w:cs="Times New Roman"/>
          <w:color w:val="000000" w:themeColor="text1"/>
        </w:rPr>
        <w:t>5</w:t>
      </w:r>
      <w:r w:rsidR="001347D2">
        <w:rPr>
          <w:rFonts w:ascii="Times New Roman" w:hAnsi="Times New Roman" w:cs="Times New Roman"/>
          <w:color w:val="000000" w:themeColor="text1"/>
        </w:rPr>
        <w:t xml:space="preserve">, l'ICM s’établit à </w:t>
      </w:r>
      <w:r w:rsidR="00301913">
        <w:rPr>
          <w:rFonts w:ascii="Times New Roman" w:hAnsi="Times New Roman" w:cs="Times New Roman"/>
          <w:color w:val="000000" w:themeColor="text1"/>
        </w:rPr>
        <w:t>7</w:t>
      </w:r>
      <w:r w:rsidR="00F430E6">
        <w:rPr>
          <w:rFonts w:ascii="Times New Roman" w:hAnsi="Times New Roman" w:cs="Times New Roman"/>
          <w:color w:val="000000" w:themeColor="text1"/>
        </w:rPr>
        <w:t>6</w:t>
      </w:r>
      <w:r w:rsidR="00301913">
        <w:rPr>
          <w:rFonts w:ascii="Times New Roman" w:hAnsi="Times New Roman" w:cs="Times New Roman"/>
          <w:color w:val="000000" w:themeColor="text1"/>
        </w:rPr>
        <w:t>,</w:t>
      </w:r>
      <w:r w:rsidR="00F430E6">
        <w:rPr>
          <w:rFonts w:ascii="Times New Roman" w:hAnsi="Times New Roman" w:cs="Times New Roman"/>
          <w:color w:val="000000" w:themeColor="text1"/>
        </w:rPr>
        <w:t>1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</w:t>
      </w:r>
      <w:r w:rsidR="007C4CD5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301913">
        <w:rPr>
          <w:rFonts w:ascii="Times New Roman" w:hAnsi="Times New Roman" w:cs="Times New Roman"/>
          <w:color w:val="000000" w:themeColor="text1"/>
        </w:rPr>
        <w:t>7</w:t>
      </w:r>
      <w:r w:rsidR="00F430E6">
        <w:rPr>
          <w:rFonts w:ascii="Times New Roman" w:hAnsi="Times New Roman" w:cs="Times New Roman"/>
          <w:color w:val="000000" w:themeColor="text1"/>
        </w:rPr>
        <w:t>3</w:t>
      </w:r>
      <w:r w:rsidR="00301913">
        <w:rPr>
          <w:rFonts w:ascii="Times New Roman" w:hAnsi="Times New Roman" w:cs="Times New Roman"/>
          <w:color w:val="000000" w:themeColor="text1"/>
        </w:rPr>
        <w:t>,</w:t>
      </w:r>
      <w:r w:rsidR="00F430E6">
        <w:rPr>
          <w:rFonts w:ascii="Times New Roman" w:hAnsi="Times New Roman" w:cs="Times New Roman"/>
          <w:color w:val="000000" w:themeColor="text1"/>
        </w:rPr>
        <w:t>7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 un trimestre auparavant</w:t>
      </w:r>
      <w:r w:rsidR="005A7C0B" w:rsidRPr="00C706A5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A7C0B" w:rsidRPr="00C706A5">
        <w:rPr>
          <w:rFonts w:ascii="Times New Roman" w:hAnsi="Times New Roman" w:cs="Times New Roman"/>
          <w:color w:val="000000" w:themeColor="text1"/>
        </w:rPr>
        <w:t xml:space="preserve"> et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4F4A05">
        <w:rPr>
          <w:rFonts w:ascii="Times New Roman" w:hAnsi="Times New Roman" w:cs="Times New Roman"/>
          <w:color w:val="000000" w:themeColor="text1"/>
        </w:rPr>
        <w:t>7</w:t>
      </w:r>
      <w:r w:rsidR="000F2B60">
        <w:rPr>
          <w:rFonts w:ascii="Times New Roman" w:hAnsi="Times New Roman" w:cs="Times New Roman"/>
          <w:color w:val="000000" w:themeColor="text1"/>
        </w:rPr>
        <w:t>4</w:t>
      </w:r>
      <w:r w:rsidR="004F4A05">
        <w:rPr>
          <w:rFonts w:ascii="Times New Roman" w:hAnsi="Times New Roman" w:cs="Times New Roman"/>
          <w:color w:val="000000" w:themeColor="text1"/>
        </w:rPr>
        <w:t>,</w:t>
      </w:r>
      <w:r w:rsidR="00F430E6">
        <w:rPr>
          <w:rFonts w:ascii="Times New Roman" w:hAnsi="Times New Roman" w:cs="Times New Roman"/>
          <w:color w:val="000000" w:themeColor="text1"/>
        </w:rPr>
        <w:t>0</w:t>
      </w:r>
      <w:r w:rsidR="004F4A05">
        <w:rPr>
          <w:rFonts w:ascii="Times New Roman" w:hAnsi="Times New Roman" w:cs="Times New Roman"/>
          <w:color w:val="000000" w:themeColor="text1"/>
        </w:rPr>
        <w:t xml:space="preserve"> 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points le m</w:t>
      </w:r>
      <w:r w:rsidR="004834BC">
        <w:rPr>
          <w:rFonts w:ascii="Times New Roman" w:hAnsi="Times New Roman" w:cs="Times New Roman"/>
          <w:color w:val="000000" w:themeColor="text1"/>
        </w:rPr>
        <w:t xml:space="preserve">ême trimestre de l’année </w:t>
      </w:r>
      <w:r w:rsidR="004834BC" w:rsidRPr="004834BC">
        <w:rPr>
          <w:rFonts w:ascii="Times New Roman" w:hAnsi="Times New Roman" w:cs="Times New Roman"/>
          <w:color w:val="000000" w:themeColor="text1"/>
        </w:rPr>
        <w:t>passée</w:t>
      </w:r>
      <w:r w:rsidR="00CB09C6">
        <w:rPr>
          <w:rFonts w:ascii="Times New Roman" w:hAnsi="Times New Roman" w:cs="Times New Roman"/>
          <w:color w:val="000000" w:themeColor="text1"/>
        </w:rPr>
        <w:t>.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430234" w:rsidRDefault="00430234" w:rsidP="00BE269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A18ED" w:rsidRPr="00C706A5" w:rsidRDefault="008E7C4D" w:rsidP="00BE269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  <w:rtl/>
        </w:rPr>
      </w:pPr>
      <w:r w:rsidRPr="008E7C4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419850" cy="3019425"/>
            <wp:effectExtent l="19050" t="0" r="19050" b="0"/>
            <wp:docPr id="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224B" w:rsidRPr="00C706A5" w:rsidRDefault="00E5224B" w:rsidP="001347D2">
      <w:pPr>
        <w:widowControl/>
        <w:tabs>
          <w:tab w:val="left" w:pos="567"/>
          <w:tab w:val="left" w:pos="709"/>
        </w:tabs>
        <w:spacing w:line="276" w:lineRule="auto"/>
        <w:jc w:val="center"/>
        <w:rPr>
          <w:rFonts w:ascii="Book Antiqua" w:hAnsi="Book Antiqua" w:cs="Times New Roman"/>
          <w:color w:val="000000" w:themeColor="text1"/>
        </w:rPr>
      </w:pPr>
    </w:p>
    <w:p w:rsidR="002F5E6A" w:rsidRPr="00C706A5" w:rsidRDefault="00D26D39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13767"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636540" w:rsidRPr="003A3FCF" w:rsidRDefault="00636540" w:rsidP="00636540">
      <w:pPr>
        <w:pStyle w:val="Paragraphedeliste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2C03" w:rsidRPr="00EF2C03" w:rsidRDefault="00600D95" w:rsidP="000A5F4A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EF2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Niveau de vie : </w:t>
      </w:r>
      <w:r w:rsidR="00126B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 ressenti en </w:t>
      </w:r>
      <w:r w:rsidR="00133687" w:rsidRPr="00EF2C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amélioration </w:t>
      </w:r>
    </w:p>
    <w:p w:rsidR="00111470" w:rsidRPr="00EF2C03" w:rsidRDefault="002C2BED" w:rsidP="00EF2C03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EF2C03">
        <w:rPr>
          <w:rFonts w:ascii="Times New Roman" w:hAnsi="Times New Roman" w:cs="Times New Roman"/>
          <w:color w:val="000000" w:themeColor="text1"/>
        </w:rPr>
        <w:t xml:space="preserve">Au deuxième trimestre de 2015, </w:t>
      </w:r>
      <w:r w:rsidR="00BA05AF" w:rsidRPr="00EF2C03">
        <w:rPr>
          <w:rFonts w:ascii="Times New Roman" w:hAnsi="Times New Roman" w:cs="Times New Roman"/>
          <w:color w:val="000000" w:themeColor="text1"/>
        </w:rPr>
        <w:t xml:space="preserve">l’opinion des ménages sur l’évolution passée du niveau de vie s'est améliorée et a atteint son plus haut niveau depuis près de </w:t>
      </w:r>
      <w:r w:rsidR="00111470" w:rsidRPr="00EF2C03">
        <w:rPr>
          <w:rFonts w:ascii="Times New Roman" w:hAnsi="Times New Roman" w:cs="Times New Roman"/>
          <w:color w:val="000000" w:themeColor="text1"/>
        </w:rPr>
        <w:t>sept</w:t>
      </w:r>
      <w:r w:rsidR="00BA05AF" w:rsidRPr="00EF2C03">
        <w:rPr>
          <w:rFonts w:ascii="Times New Roman" w:hAnsi="Times New Roman" w:cs="Times New Roman"/>
          <w:color w:val="000000" w:themeColor="text1"/>
        </w:rPr>
        <w:t xml:space="preserve"> ans. Le solde qui la synthétise gagne 1</w:t>
      </w:r>
      <w:r w:rsidR="00111470" w:rsidRPr="00EF2C03">
        <w:rPr>
          <w:rFonts w:ascii="Times New Roman" w:hAnsi="Times New Roman" w:cs="Times New Roman"/>
          <w:color w:val="000000" w:themeColor="text1"/>
        </w:rPr>
        <w:t>,3</w:t>
      </w:r>
      <w:r w:rsidR="00BA05AF" w:rsidRPr="00EF2C03">
        <w:rPr>
          <w:rFonts w:ascii="Times New Roman" w:hAnsi="Times New Roman" w:cs="Times New Roman"/>
          <w:color w:val="000000" w:themeColor="text1"/>
        </w:rPr>
        <w:t xml:space="preserve"> point</w:t>
      </w:r>
      <w:r w:rsidR="007A0E66" w:rsidRPr="00EF2C03">
        <w:rPr>
          <w:rFonts w:ascii="Times New Roman" w:hAnsi="Times New Roman" w:cs="Times New Roman"/>
          <w:color w:val="000000" w:themeColor="text1"/>
        </w:rPr>
        <w:t xml:space="preserve"> par rapport au trimestre précédent et </w:t>
      </w:r>
      <w:r w:rsidR="00D11897" w:rsidRPr="00EF2C03">
        <w:rPr>
          <w:rFonts w:ascii="Times New Roman" w:hAnsi="Times New Roman" w:cs="Times New Roman"/>
          <w:color w:val="000000" w:themeColor="text1"/>
        </w:rPr>
        <w:t>4,9</w:t>
      </w:r>
      <w:r w:rsidR="00111470" w:rsidRPr="00EF2C03">
        <w:rPr>
          <w:rFonts w:ascii="Times New Roman" w:hAnsi="Times New Roman" w:cs="Times New Roman"/>
          <w:color w:val="000000" w:themeColor="text1"/>
        </w:rPr>
        <w:t xml:space="preserve"> points par rapport au même trimestre de l’année précédente.</w:t>
      </w:r>
    </w:p>
    <w:p w:rsidR="00111470" w:rsidRDefault="001E78BD" w:rsidP="009D6BE7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L</w:t>
      </w:r>
      <w:r w:rsidR="00111470">
        <w:rPr>
          <w:rFonts w:ascii="Times New Roman" w:hAnsi="Times New Roman" w:cs="Times New Roman"/>
          <w:color w:val="000000" w:themeColor="text1"/>
        </w:rPr>
        <w:t xml:space="preserve">es perceptions par les ménages de l’évolution future </w:t>
      </w:r>
      <w:r w:rsidR="00111470" w:rsidRPr="00C706A5">
        <w:rPr>
          <w:rFonts w:ascii="Times New Roman" w:hAnsi="Times New Roman" w:cs="Times New Roman"/>
          <w:color w:val="000000" w:themeColor="text1"/>
        </w:rPr>
        <w:t>d</w:t>
      </w:r>
      <w:r w:rsidR="00265566">
        <w:rPr>
          <w:rFonts w:ascii="Times New Roman" w:hAnsi="Times New Roman" w:cs="Times New Roman"/>
          <w:color w:val="000000" w:themeColor="text1"/>
        </w:rPr>
        <w:t>u</w:t>
      </w:r>
      <w:r w:rsidR="00111470" w:rsidRPr="00C706A5">
        <w:rPr>
          <w:rFonts w:ascii="Times New Roman" w:hAnsi="Times New Roman" w:cs="Times New Roman"/>
          <w:color w:val="000000" w:themeColor="text1"/>
        </w:rPr>
        <w:t xml:space="preserve"> niveau de vie</w:t>
      </w:r>
      <w:r w:rsidR="00111470">
        <w:rPr>
          <w:rFonts w:ascii="Times New Roman" w:hAnsi="Times New Roman" w:cs="Times New Roman"/>
          <w:color w:val="000000" w:themeColor="text1"/>
        </w:rPr>
        <w:t xml:space="preserve"> ont connu </w:t>
      </w:r>
      <w:r w:rsidR="00126B26">
        <w:rPr>
          <w:rFonts w:ascii="Times New Roman" w:hAnsi="Times New Roman" w:cs="Times New Roman"/>
          <w:color w:val="000000" w:themeColor="text1"/>
        </w:rPr>
        <w:t xml:space="preserve">la même tendance, enregistrant </w:t>
      </w:r>
      <w:r w:rsidR="00111470">
        <w:rPr>
          <w:rFonts w:ascii="Times New Roman" w:hAnsi="Times New Roman" w:cs="Times New Roman"/>
          <w:color w:val="000000" w:themeColor="text1"/>
        </w:rPr>
        <w:t>une amélioration de 1,</w:t>
      </w:r>
      <w:r w:rsidR="009D6BE7">
        <w:rPr>
          <w:rFonts w:ascii="Times New Roman" w:hAnsi="Times New Roman" w:cs="Times New Roman"/>
          <w:color w:val="000000" w:themeColor="text1"/>
        </w:rPr>
        <w:t>5</w:t>
      </w:r>
      <w:r w:rsidR="00111470">
        <w:rPr>
          <w:rFonts w:ascii="Times New Roman" w:hAnsi="Times New Roman" w:cs="Times New Roman"/>
          <w:color w:val="000000" w:themeColor="text1"/>
        </w:rPr>
        <w:t xml:space="preserve"> point par rapport au trimestre précédent et de 5,8 points par rapport au même trimestre de l’année précédente.</w:t>
      </w:r>
    </w:p>
    <w:p w:rsidR="0092695A" w:rsidRDefault="0092695A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</w:rPr>
      </w:pPr>
    </w:p>
    <w:p w:rsidR="00B06E0C" w:rsidRDefault="00B06E0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</w:rPr>
      </w:pPr>
      <w:r w:rsidRPr="00B06E0C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6429375" cy="2752725"/>
            <wp:effectExtent l="19050" t="0" r="9525" b="0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6E0C" w:rsidRDefault="00B06E0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</w:rPr>
      </w:pPr>
    </w:p>
    <w:p w:rsidR="00B06E0C" w:rsidRPr="00C706A5" w:rsidRDefault="00B06E0C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rtl/>
        </w:rPr>
      </w:pPr>
    </w:p>
    <w:p w:rsidR="002C5954" w:rsidRPr="00C706A5" w:rsidRDefault="002C5954" w:rsidP="0092082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2C03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FC7C7F" w:rsidRPr="00EF2C0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A5F4A">
        <w:rPr>
          <w:rFonts w:ascii="Times New Roman" w:hAnsi="Times New Roman" w:cs="Times New Roman"/>
          <w:b/>
          <w:bCs/>
          <w:color w:val="000000" w:themeColor="text1"/>
        </w:rPr>
        <w:t>Evolution du c</w:t>
      </w:r>
      <w:r w:rsidR="003B7237" w:rsidRPr="00EF2C03">
        <w:rPr>
          <w:rFonts w:ascii="Times New Roman" w:hAnsi="Times New Roman" w:cs="Times New Roman"/>
          <w:b/>
          <w:bCs/>
          <w:color w:val="000000" w:themeColor="text1"/>
        </w:rPr>
        <w:t xml:space="preserve">hômage : </w:t>
      </w:r>
      <w:r w:rsidR="00920825">
        <w:rPr>
          <w:rFonts w:ascii="Times New Roman" w:hAnsi="Times New Roman" w:cs="Times New Roman"/>
          <w:b/>
          <w:bCs/>
          <w:color w:val="000000" w:themeColor="text1"/>
        </w:rPr>
        <w:t xml:space="preserve">un pessimisme persistant </w:t>
      </w:r>
      <w:r w:rsidR="003E657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D8421B" w:rsidRPr="00B117F6" w:rsidRDefault="00C553B5" w:rsidP="006B14FF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F430E6">
        <w:rPr>
          <w:rFonts w:ascii="Times New Roman" w:hAnsi="Times New Roman" w:cs="Times New Roman"/>
          <w:color w:val="000000" w:themeColor="text1"/>
        </w:rPr>
        <w:t>deuxième trimestre</w:t>
      </w:r>
      <w:r w:rsidR="0055426F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E163A1">
        <w:rPr>
          <w:rFonts w:ascii="Times New Roman" w:hAnsi="Times New Roman" w:cs="Times New Roman"/>
          <w:color w:val="000000" w:themeColor="text1"/>
        </w:rPr>
        <w:t>5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A3172A">
        <w:rPr>
          <w:rFonts w:ascii="Times New Roman" w:hAnsi="Times New Roman" w:cs="Times New Roman"/>
          <w:color w:val="000000" w:themeColor="text1"/>
        </w:rPr>
        <w:t>74,9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% des ménages </w:t>
      </w:r>
      <w:r w:rsidR="00A3172A">
        <w:rPr>
          <w:rFonts w:ascii="Times New Roman" w:hAnsi="Times New Roman" w:cs="Times New Roman"/>
          <w:color w:val="000000" w:themeColor="text1"/>
        </w:rPr>
        <w:t>s’attendent à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 une hausse du nombre de chômeurs pour les 12 mois à venir contre </w:t>
      </w:r>
      <w:r w:rsidR="00A3172A">
        <w:rPr>
          <w:rFonts w:ascii="Times New Roman" w:hAnsi="Times New Roman" w:cs="Times New Roman"/>
          <w:color w:val="000000" w:themeColor="text1"/>
        </w:rPr>
        <w:t>7,8</w:t>
      </w:r>
      <w:r w:rsidR="00A3172A" w:rsidRPr="00C706A5">
        <w:rPr>
          <w:rFonts w:ascii="Times New Roman" w:hAnsi="Times New Roman" w:cs="Times New Roman"/>
          <w:color w:val="000000" w:themeColor="text1"/>
        </w:rPr>
        <w:t>%</w:t>
      </w:r>
      <w:r w:rsidR="00A3172A">
        <w:rPr>
          <w:rFonts w:ascii="Times New Roman" w:hAnsi="Times New Roman" w:cs="Times New Roman"/>
          <w:color w:val="000000" w:themeColor="text1"/>
        </w:rPr>
        <w:t xml:space="preserve"> qui pensent le contraire. 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3172A">
        <w:rPr>
          <w:rFonts w:ascii="Times New Roman" w:hAnsi="Times New Roman" w:cs="Times New Roman"/>
          <w:color w:val="000000" w:themeColor="text1"/>
        </w:rPr>
        <w:t>Avec un niveau négatif de -67,1</w:t>
      </w:r>
      <w:r w:rsidR="00A3172A"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A3172A">
        <w:rPr>
          <w:rFonts w:ascii="Times New Roman" w:hAnsi="Times New Roman" w:cs="Times New Roman"/>
          <w:color w:val="000000" w:themeColor="text1"/>
        </w:rPr>
        <w:t>, l</w:t>
      </w:r>
      <w:r w:rsidR="00A3172A" w:rsidRPr="00C706A5">
        <w:rPr>
          <w:rFonts w:ascii="Times New Roman" w:hAnsi="Times New Roman" w:cs="Times New Roman"/>
          <w:color w:val="000000" w:themeColor="text1"/>
        </w:rPr>
        <w:t>e solde de cet indicateur</w:t>
      </w:r>
      <w:r w:rsidR="00A3172A">
        <w:rPr>
          <w:rFonts w:ascii="Times New Roman" w:hAnsi="Times New Roman" w:cs="Times New Roman"/>
          <w:color w:val="000000" w:themeColor="text1"/>
        </w:rPr>
        <w:t xml:space="preserve"> </w:t>
      </w:r>
      <w:r w:rsidR="00D8421B" w:rsidRPr="00B117F6">
        <w:rPr>
          <w:rFonts w:ascii="Times New Roman" w:hAnsi="Times New Roman" w:cs="Times New Roman"/>
          <w:color w:val="000000" w:themeColor="text1"/>
        </w:rPr>
        <w:t xml:space="preserve">recule de </w:t>
      </w:r>
      <w:r w:rsidR="007B4F7A">
        <w:rPr>
          <w:rFonts w:ascii="Times New Roman" w:hAnsi="Times New Roman" w:cs="Times New Roman"/>
          <w:color w:val="000000" w:themeColor="text1"/>
        </w:rPr>
        <w:t>1</w:t>
      </w:r>
      <w:r w:rsidR="00BB0D2B">
        <w:rPr>
          <w:rFonts w:ascii="Times New Roman" w:hAnsi="Times New Roman" w:cs="Times New Roman"/>
          <w:color w:val="000000" w:themeColor="text1"/>
        </w:rPr>
        <w:t>,</w:t>
      </w:r>
      <w:r w:rsidR="007B4F7A">
        <w:rPr>
          <w:rFonts w:ascii="Times New Roman" w:hAnsi="Times New Roman" w:cs="Times New Roman"/>
          <w:color w:val="000000" w:themeColor="text1"/>
        </w:rPr>
        <w:t>9</w:t>
      </w:r>
      <w:r w:rsidR="00BB0D2B">
        <w:rPr>
          <w:rFonts w:ascii="Times New Roman" w:hAnsi="Times New Roman" w:cs="Times New Roman"/>
          <w:color w:val="000000" w:themeColor="text1"/>
        </w:rPr>
        <w:t xml:space="preserve"> point </w:t>
      </w:r>
      <w:r w:rsidR="000C39F9">
        <w:rPr>
          <w:rFonts w:ascii="Times New Roman" w:hAnsi="Times New Roman" w:cs="Times New Roman"/>
          <w:color w:val="000000" w:themeColor="text1"/>
        </w:rPr>
        <w:t xml:space="preserve">par rapport au trimestre précédent </w:t>
      </w:r>
      <w:r w:rsidR="00BB0D2B">
        <w:rPr>
          <w:rFonts w:ascii="Times New Roman" w:hAnsi="Times New Roman" w:cs="Times New Roman"/>
          <w:color w:val="000000" w:themeColor="text1"/>
        </w:rPr>
        <w:t xml:space="preserve">et de </w:t>
      </w:r>
      <w:r w:rsidR="007B4F7A">
        <w:rPr>
          <w:rFonts w:ascii="Times New Roman" w:hAnsi="Times New Roman" w:cs="Times New Roman"/>
          <w:color w:val="000000" w:themeColor="text1"/>
        </w:rPr>
        <w:t>0</w:t>
      </w:r>
      <w:r w:rsidR="00BB0D2B">
        <w:rPr>
          <w:rFonts w:ascii="Times New Roman" w:hAnsi="Times New Roman" w:cs="Times New Roman"/>
          <w:color w:val="000000" w:themeColor="text1"/>
        </w:rPr>
        <w:t>,</w:t>
      </w:r>
      <w:r w:rsidR="007B4F7A">
        <w:rPr>
          <w:rFonts w:ascii="Times New Roman" w:hAnsi="Times New Roman" w:cs="Times New Roman"/>
          <w:color w:val="000000" w:themeColor="text1"/>
        </w:rPr>
        <w:t>6</w:t>
      </w:r>
      <w:r w:rsidR="00BB0D2B">
        <w:rPr>
          <w:rFonts w:ascii="Times New Roman" w:hAnsi="Times New Roman" w:cs="Times New Roman"/>
          <w:color w:val="000000" w:themeColor="text1"/>
        </w:rPr>
        <w:t xml:space="preserve"> point par rapport </w:t>
      </w:r>
      <w:r w:rsidR="000C39F9">
        <w:rPr>
          <w:rFonts w:ascii="Times New Roman" w:hAnsi="Times New Roman" w:cs="Times New Roman"/>
          <w:color w:val="000000" w:themeColor="text1"/>
        </w:rPr>
        <w:t>au même trimestre de l’année précédente</w:t>
      </w:r>
      <w:r w:rsidR="00BB0D2B">
        <w:rPr>
          <w:rFonts w:ascii="Times New Roman" w:hAnsi="Times New Roman" w:cs="Times New Roman"/>
          <w:color w:val="000000" w:themeColor="text1"/>
        </w:rPr>
        <w:t>.</w:t>
      </w:r>
      <w:r w:rsidR="00D8421B" w:rsidRPr="00B117F6">
        <w:rPr>
          <w:rFonts w:ascii="Times New Roman" w:hAnsi="Times New Roman" w:cs="Times New Roman"/>
          <w:color w:val="000000" w:themeColor="text1"/>
        </w:rPr>
        <w:t xml:space="preserve"> </w:t>
      </w:r>
    </w:p>
    <w:p w:rsidR="00D04DAB" w:rsidRDefault="00D04DAB" w:rsidP="00C968C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04DAB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467475" cy="2838450"/>
            <wp:effectExtent l="19050" t="0" r="9525" b="0"/>
            <wp:docPr id="9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4DAB" w:rsidRDefault="00D04DAB" w:rsidP="00C968C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04DAB" w:rsidRDefault="00D04DAB" w:rsidP="00C968C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F2C03" w:rsidRDefault="00EF2C03" w:rsidP="00C968C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33531" w:rsidRPr="00EF2C03" w:rsidRDefault="003849A2" w:rsidP="00091D64">
      <w:pPr>
        <w:pStyle w:val="Paragraphedeliste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F6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920825">
        <w:rPr>
          <w:rFonts w:asciiTheme="majorBidi" w:hAnsiTheme="majorBidi" w:cstheme="majorBidi"/>
          <w:b/>
          <w:bCs/>
          <w:color w:val="000000"/>
          <w:sz w:val="24"/>
          <w:szCs w:val="24"/>
        </w:rPr>
        <w:t>R</w:t>
      </w:r>
      <w:r w:rsidR="00965AF2">
        <w:rPr>
          <w:rFonts w:asciiTheme="majorBidi" w:hAnsiTheme="majorBidi" w:cstheme="majorBidi"/>
          <w:b/>
          <w:bCs/>
          <w:color w:val="000000"/>
          <w:sz w:val="24"/>
          <w:szCs w:val="24"/>
        </w:rPr>
        <w:t>éserv</w:t>
      </w:r>
      <w:r w:rsidR="00091D6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es </w:t>
      </w:r>
      <w:r w:rsidR="00126B26">
        <w:rPr>
          <w:rFonts w:asciiTheme="majorBidi" w:hAnsiTheme="majorBidi" w:cstheme="majorBidi"/>
          <w:b/>
          <w:bCs/>
          <w:color w:val="000000"/>
          <w:sz w:val="24"/>
          <w:szCs w:val="24"/>
        </w:rPr>
        <w:t>sur l’opportunité d</w:t>
      </w:r>
      <w:r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</w:t>
      </w:r>
      <w:r w:rsidR="00600D95"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achat d</w:t>
      </w:r>
      <w:r w:rsidR="00C42BDE"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es </w:t>
      </w:r>
      <w:r w:rsidR="002A18ED"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biens durables  </w:t>
      </w:r>
    </w:p>
    <w:p w:rsidR="00FD2441" w:rsidRDefault="002226A1" w:rsidP="006B14FF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5</w:t>
      </w:r>
      <w:r w:rsidR="00633F5E">
        <w:rPr>
          <w:rFonts w:ascii="Times New Roman" w:hAnsi="Times New Roman" w:cs="Times New Roman"/>
          <w:color w:val="000000" w:themeColor="text1"/>
        </w:rPr>
        <w:t>6</w:t>
      </w:r>
      <w:r w:rsidR="00DE552A">
        <w:rPr>
          <w:rFonts w:ascii="Times New Roman" w:hAnsi="Times New Roman" w:cs="Times New Roman"/>
          <w:color w:val="000000" w:themeColor="text1"/>
        </w:rPr>
        <w:t>,</w:t>
      </w:r>
      <w:r w:rsidR="00633F5E">
        <w:rPr>
          <w:rFonts w:ascii="Times New Roman" w:hAnsi="Times New Roman" w:cs="Times New Roman"/>
          <w:color w:val="000000" w:themeColor="text1"/>
        </w:rPr>
        <w:t>2</w:t>
      </w:r>
      <w:r w:rsidRPr="00C706A5">
        <w:rPr>
          <w:rFonts w:ascii="Times New Roman" w:hAnsi="Times New Roman" w:cs="Times New Roman"/>
          <w:color w:val="000000" w:themeColor="text1"/>
        </w:rPr>
        <w:t>% d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es ménages marocains </w:t>
      </w:r>
      <w:r w:rsidR="00E265E4" w:rsidRPr="00C706A5">
        <w:rPr>
          <w:rFonts w:ascii="Times New Roman" w:hAnsi="Times New Roman" w:cs="Times New Roman"/>
          <w:color w:val="000000" w:themeColor="text1"/>
        </w:rPr>
        <w:t>considèrent</w:t>
      </w:r>
      <w:r w:rsidR="002D2970" w:rsidRPr="00C706A5">
        <w:rPr>
          <w:rFonts w:ascii="Times New Roman" w:hAnsi="Times New Roman" w:cs="Times New Roman"/>
          <w:color w:val="000000" w:themeColor="text1"/>
        </w:rPr>
        <w:t>,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F430E6">
        <w:rPr>
          <w:rFonts w:ascii="Times New Roman" w:hAnsi="Times New Roman" w:cs="Times New Roman"/>
          <w:color w:val="000000" w:themeColor="text1"/>
        </w:rPr>
        <w:t>deuxième trimestre</w:t>
      </w:r>
      <w:r w:rsidR="00A161A9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DE552A">
        <w:rPr>
          <w:rFonts w:ascii="Times New Roman" w:hAnsi="Times New Roman" w:cs="Times New Roman"/>
          <w:color w:val="000000" w:themeColor="text1"/>
        </w:rPr>
        <w:t>5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0F6CE8" w:rsidRPr="00C706A5">
        <w:rPr>
          <w:rFonts w:ascii="Times New Roman" w:hAnsi="Times New Roman" w:cs="Times New Roman"/>
          <w:color w:val="000000" w:themeColor="text1"/>
        </w:rPr>
        <w:t xml:space="preserve">que </w:t>
      </w:r>
      <w:r w:rsidR="0019435A" w:rsidRPr="00C706A5">
        <w:rPr>
          <w:rFonts w:ascii="Times New Roman" w:hAnsi="Times New Roman" w:cs="Times New Roman"/>
          <w:color w:val="000000" w:themeColor="text1"/>
        </w:rPr>
        <w:t xml:space="preserve">le moment 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n’est pas 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opportun </w:t>
      </w:r>
      <w:r w:rsidR="00A7325E" w:rsidRPr="00C706A5">
        <w:rPr>
          <w:rFonts w:ascii="Times New Roman" w:hAnsi="Times New Roman" w:cs="Times New Roman"/>
          <w:color w:val="000000" w:themeColor="text1"/>
        </w:rPr>
        <w:t>pour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 faire des achats </w:t>
      </w:r>
      <w:r w:rsidR="0019435A" w:rsidRPr="00C706A5">
        <w:rPr>
          <w:rFonts w:ascii="Times New Roman" w:hAnsi="Times New Roman" w:cs="Times New Roman"/>
          <w:color w:val="000000" w:themeColor="text1"/>
        </w:rPr>
        <w:t>de biens durables</w:t>
      </w:r>
      <w:r w:rsidR="0009730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A2085" w:rsidRPr="00C706A5">
        <w:rPr>
          <w:rFonts w:ascii="Times New Roman" w:hAnsi="Times New Roman" w:cs="Times New Roman"/>
          <w:color w:val="000000" w:themeColor="text1"/>
        </w:rPr>
        <w:t>alors que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DE552A">
        <w:rPr>
          <w:rFonts w:ascii="Times New Roman" w:hAnsi="Times New Roman" w:cs="Times New Roman"/>
          <w:color w:val="000000" w:themeColor="text1"/>
        </w:rPr>
        <w:t>2</w:t>
      </w:r>
      <w:r w:rsidR="00633F5E">
        <w:rPr>
          <w:rFonts w:ascii="Times New Roman" w:hAnsi="Times New Roman" w:cs="Times New Roman"/>
          <w:color w:val="000000" w:themeColor="text1"/>
        </w:rPr>
        <w:t>0</w:t>
      </w:r>
      <w:r w:rsidR="00DE552A">
        <w:rPr>
          <w:rFonts w:ascii="Times New Roman" w:hAnsi="Times New Roman" w:cs="Times New Roman"/>
          <w:color w:val="000000" w:themeColor="text1"/>
        </w:rPr>
        <w:t>,</w:t>
      </w:r>
      <w:r w:rsidR="006B14FF">
        <w:rPr>
          <w:rFonts w:ascii="Times New Roman" w:hAnsi="Times New Roman" w:cs="Times New Roman"/>
          <w:color w:val="000000" w:themeColor="text1"/>
        </w:rPr>
        <w:t>2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097300" w:rsidRPr="00C706A5">
        <w:rPr>
          <w:rFonts w:ascii="Times New Roman" w:hAnsi="Times New Roman" w:cs="Times New Roman"/>
          <w:color w:val="000000" w:themeColor="text1"/>
        </w:rPr>
        <w:t>pens</w:t>
      </w:r>
      <w:r w:rsidR="00381490" w:rsidRPr="00C706A5">
        <w:rPr>
          <w:rFonts w:ascii="Times New Roman" w:hAnsi="Times New Roman" w:cs="Times New Roman"/>
          <w:color w:val="000000" w:themeColor="text1"/>
        </w:rPr>
        <w:t>ent le contraire</w:t>
      </w:r>
      <w:r w:rsidR="00BC6D48">
        <w:rPr>
          <w:rFonts w:ascii="Times New Roman" w:hAnsi="Times New Roman" w:cs="Times New Roman"/>
          <w:color w:val="000000" w:themeColor="text1"/>
        </w:rPr>
        <w:t xml:space="preserve">. </w:t>
      </w:r>
      <w:r w:rsidR="00E442A1">
        <w:rPr>
          <w:rFonts w:ascii="Times New Roman" w:hAnsi="Times New Roman" w:cs="Times New Roman"/>
          <w:color w:val="000000" w:themeColor="text1"/>
        </w:rPr>
        <w:t>L</w:t>
      </w:r>
      <w:r w:rsidR="00381490" w:rsidRPr="00C706A5">
        <w:rPr>
          <w:rFonts w:ascii="Times New Roman" w:hAnsi="Times New Roman" w:cs="Times New Roman"/>
          <w:color w:val="000000" w:themeColor="text1"/>
        </w:rPr>
        <w:t>e solde re</w:t>
      </w:r>
      <w:r w:rsidR="003C4254" w:rsidRPr="00C706A5">
        <w:rPr>
          <w:rFonts w:ascii="Times New Roman" w:hAnsi="Times New Roman" w:cs="Times New Roman"/>
          <w:color w:val="000000" w:themeColor="text1"/>
        </w:rPr>
        <w:t xml:space="preserve">latif à cet indicateur </w:t>
      </w:r>
      <w:r w:rsidR="00E442A1">
        <w:rPr>
          <w:rFonts w:ascii="Times New Roman" w:hAnsi="Times New Roman" w:cs="Times New Roman"/>
          <w:color w:val="000000" w:themeColor="text1"/>
        </w:rPr>
        <w:t>s’établit à</w:t>
      </w:r>
      <w:r w:rsidR="00135D83" w:rsidRPr="00C706A5">
        <w:rPr>
          <w:rFonts w:ascii="Times New Roman" w:hAnsi="Times New Roman" w:cs="Times New Roman"/>
          <w:color w:val="000000" w:themeColor="text1"/>
        </w:rPr>
        <w:t xml:space="preserve"> -</w:t>
      </w:r>
      <w:r w:rsidR="002A7E1E">
        <w:rPr>
          <w:rFonts w:ascii="Times New Roman" w:hAnsi="Times New Roman" w:cs="Times New Roman"/>
          <w:color w:val="000000" w:themeColor="text1"/>
        </w:rPr>
        <w:t>3</w:t>
      </w:r>
      <w:r w:rsidR="00633F5E">
        <w:rPr>
          <w:rFonts w:ascii="Times New Roman" w:hAnsi="Times New Roman" w:cs="Times New Roman"/>
          <w:color w:val="000000" w:themeColor="text1"/>
        </w:rPr>
        <w:t>6</w:t>
      </w:r>
      <w:r w:rsidR="00135D83" w:rsidRPr="00C706A5">
        <w:rPr>
          <w:rFonts w:ascii="Times New Roman" w:hAnsi="Times New Roman" w:cs="Times New Roman"/>
          <w:color w:val="000000" w:themeColor="text1"/>
        </w:rPr>
        <w:t xml:space="preserve"> points </w:t>
      </w:r>
      <w:r w:rsidR="00135D83">
        <w:rPr>
          <w:rFonts w:ascii="Times New Roman" w:hAnsi="Times New Roman" w:cs="Times New Roman"/>
          <w:color w:val="000000" w:themeColor="text1"/>
        </w:rPr>
        <w:t>en</w:t>
      </w:r>
      <w:r w:rsidR="007C5542">
        <w:rPr>
          <w:rFonts w:ascii="Times New Roman" w:hAnsi="Times New Roman" w:cs="Times New Roman"/>
          <w:color w:val="000000" w:themeColor="text1"/>
        </w:rPr>
        <w:t xml:space="preserve"> </w:t>
      </w:r>
      <w:r w:rsidR="00D93D3C">
        <w:rPr>
          <w:rFonts w:ascii="Times New Roman" w:hAnsi="Times New Roman" w:cs="Times New Roman"/>
          <w:color w:val="000000" w:themeColor="text1"/>
        </w:rPr>
        <w:t>amélioration</w:t>
      </w:r>
      <w:r w:rsidR="00335081">
        <w:rPr>
          <w:rFonts w:ascii="Times New Roman" w:hAnsi="Times New Roman" w:cs="Times New Roman"/>
          <w:color w:val="000000" w:themeColor="text1"/>
        </w:rPr>
        <w:t xml:space="preserve"> </w:t>
      </w:r>
      <w:r w:rsidR="002A7E1E">
        <w:rPr>
          <w:rFonts w:ascii="Times New Roman" w:hAnsi="Times New Roman" w:cs="Times New Roman"/>
          <w:color w:val="000000" w:themeColor="text1"/>
        </w:rPr>
        <w:t>d</w:t>
      </w:r>
      <w:r w:rsidR="009D6BE7">
        <w:rPr>
          <w:rFonts w:ascii="Times New Roman" w:hAnsi="Times New Roman" w:cs="Times New Roman"/>
          <w:color w:val="000000" w:themeColor="text1"/>
        </w:rPr>
        <w:t>’un</w:t>
      </w:r>
      <w:r w:rsidR="002A7E1E">
        <w:rPr>
          <w:rFonts w:ascii="Times New Roman" w:hAnsi="Times New Roman" w:cs="Times New Roman"/>
          <w:color w:val="000000" w:themeColor="text1"/>
        </w:rPr>
        <w:t xml:space="preserve"> </w:t>
      </w:r>
      <w:r w:rsidR="002A7E1E" w:rsidRPr="00C706A5">
        <w:rPr>
          <w:rFonts w:ascii="Times New Roman" w:hAnsi="Times New Roman" w:cs="Times New Roman"/>
          <w:color w:val="000000" w:themeColor="text1"/>
        </w:rPr>
        <w:t>point</w:t>
      </w:r>
      <w:r w:rsidR="002A7E1E">
        <w:rPr>
          <w:rFonts w:ascii="Times New Roman" w:hAnsi="Times New Roman" w:cs="Times New Roman"/>
          <w:color w:val="000000" w:themeColor="text1"/>
        </w:rPr>
        <w:t xml:space="preserve"> </w:t>
      </w:r>
      <w:r w:rsidR="004E183B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335081">
        <w:rPr>
          <w:rFonts w:ascii="Times New Roman" w:hAnsi="Times New Roman" w:cs="Times New Roman"/>
          <w:color w:val="000000" w:themeColor="text1"/>
        </w:rPr>
        <w:t xml:space="preserve"> </w:t>
      </w:r>
      <w:r w:rsidR="00F766B2">
        <w:rPr>
          <w:rFonts w:ascii="Times New Roman" w:hAnsi="Times New Roman" w:cs="Times New Roman"/>
          <w:color w:val="000000" w:themeColor="text1"/>
        </w:rPr>
        <w:t xml:space="preserve"> </w:t>
      </w:r>
      <w:r w:rsidR="00D93D3C">
        <w:rPr>
          <w:rFonts w:ascii="Times New Roman" w:hAnsi="Times New Roman" w:cs="Times New Roman"/>
          <w:color w:val="000000" w:themeColor="text1"/>
        </w:rPr>
        <w:t xml:space="preserve">et en dégradation </w:t>
      </w:r>
      <w:r w:rsidR="002A7E1E">
        <w:rPr>
          <w:rFonts w:ascii="Times New Roman" w:hAnsi="Times New Roman" w:cs="Times New Roman"/>
          <w:color w:val="000000" w:themeColor="text1"/>
        </w:rPr>
        <w:t xml:space="preserve">de </w:t>
      </w:r>
      <w:r w:rsidR="00633F5E">
        <w:rPr>
          <w:rFonts w:ascii="Times New Roman" w:hAnsi="Times New Roman" w:cs="Times New Roman"/>
          <w:color w:val="000000" w:themeColor="text1"/>
        </w:rPr>
        <w:t>7</w:t>
      </w:r>
      <w:r w:rsidR="002A7E1E">
        <w:rPr>
          <w:rFonts w:ascii="Times New Roman" w:hAnsi="Times New Roman" w:cs="Times New Roman"/>
          <w:color w:val="000000" w:themeColor="text1"/>
        </w:rPr>
        <w:t>,</w:t>
      </w:r>
      <w:r w:rsidR="00633F5E">
        <w:rPr>
          <w:rFonts w:ascii="Times New Roman" w:hAnsi="Times New Roman" w:cs="Times New Roman"/>
          <w:color w:val="000000" w:themeColor="text1"/>
        </w:rPr>
        <w:t>1</w:t>
      </w:r>
      <w:r w:rsidR="002A7E1E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2A7E1E">
        <w:rPr>
          <w:rFonts w:ascii="Times New Roman" w:hAnsi="Times New Roman" w:cs="Times New Roman"/>
          <w:color w:val="000000" w:themeColor="text1"/>
        </w:rPr>
        <w:t>s</w:t>
      </w:r>
      <w:r w:rsidR="002A7E1E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D93D3C">
        <w:rPr>
          <w:rFonts w:ascii="Times New Roman" w:hAnsi="Times New Roman" w:cs="Times New Roman"/>
          <w:color w:val="000000" w:themeColor="text1"/>
        </w:rPr>
        <w:t>par rapport</w:t>
      </w:r>
      <w:r w:rsidR="00335081">
        <w:rPr>
          <w:rFonts w:ascii="Times New Roman" w:hAnsi="Times New Roman" w:cs="Times New Roman"/>
          <w:color w:val="000000" w:themeColor="text1"/>
        </w:rPr>
        <w:t xml:space="preserve"> a</w:t>
      </w:r>
      <w:r w:rsidR="00335081" w:rsidRPr="00C706A5">
        <w:rPr>
          <w:rFonts w:ascii="Times New Roman" w:hAnsi="Times New Roman" w:cs="Times New Roman"/>
          <w:color w:val="000000" w:themeColor="text1"/>
        </w:rPr>
        <w:t>u même trimestre de l’année précédente</w:t>
      </w:r>
      <w:r w:rsidR="002A7E1E">
        <w:rPr>
          <w:rFonts w:ascii="Times New Roman" w:hAnsi="Times New Roman" w:cs="Times New Roman"/>
          <w:color w:val="000000" w:themeColor="text1"/>
        </w:rPr>
        <w:t>.</w:t>
      </w:r>
      <w:r w:rsidR="002A18ED">
        <w:rPr>
          <w:rFonts w:ascii="Times New Roman" w:hAnsi="Times New Roman" w:cs="Times New Roman"/>
          <w:color w:val="000000" w:themeColor="text1"/>
        </w:rPr>
        <w:t xml:space="preserve"> </w:t>
      </w:r>
    </w:p>
    <w:p w:rsidR="009342AC" w:rsidRDefault="009342AC" w:rsidP="00633F5E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E657B" w:rsidRDefault="003E657B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E657B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6153150" cy="2609850"/>
            <wp:effectExtent l="19050" t="0" r="19050" b="0"/>
            <wp:docPr id="10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657B" w:rsidRPr="00C706A5" w:rsidRDefault="003E657B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147DB" w:rsidRPr="00C706A5" w:rsidRDefault="00A147DB" w:rsidP="00B3621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C26D4" w:rsidRPr="00F50CB9" w:rsidRDefault="00222682" w:rsidP="0092082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F2C03">
        <w:rPr>
          <w:rFonts w:ascii="Times New Roman" w:hAnsi="Times New Roman" w:cs="Times New Roman"/>
          <w:b/>
          <w:bCs/>
        </w:rPr>
        <w:t>•</w:t>
      </w:r>
      <w:r w:rsidR="002C1D2E" w:rsidRPr="00EF2C03">
        <w:rPr>
          <w:rFonts w:ascii="Times New Roman" w:hAnsi="Times New Roman" w:cs="Times New Roman"/>
          <w:b/>
          <w:bCs/>
        </w:rPr>
        <w:t xml:space="preserve"> </w:t>
      </w:r>
      <w:r w:rsidR="000A5F4A">
        <w:rPr>
          <w:rFonts w:ascii="Times New Roman" w:hAnsi="Times New Roman" w:cs="Times New Roman"/>
          <w:b/>
          <w:bCs/>
        </w:rPr>
        <w:t>A</w:t>
      </w:r>
      <w:r w:rsidR="00126B26">
        <w:rPr>
          <w:rFonts w:ascii="Times New Roman" w:hAnsi="Times New Roman" w:cs="Times New Roman"/>
          <w:b/>
          <w:bCs/>
        </w:rPr>
        <w:t xml:space="preserve">ttente d’une </w:t>
      </w:r>
      <w:r w:rsidR="00920825">
        <w:rPr>
          <w:rFonts w:ascii="Times New Roman" w:hAnsi="Times New Roman" w:cs="Times New Roman"/>
          <w:b/>
          <w:bCs/>
        </w:rPr>
        <w:t>amélioration des revenus</w:t>
      </w:r>
      <w:r w:rsidR="001F739C" w:rsidRPr="00EF2C03">
        <w:rPr>
          <w:rFonts w:ascii="Times New Roman" w:hAnsi="Times New Roman" w:cs="Times New Roman"/>
          <w:b/>
          <w:bCs/>
        </w:rPr>
        <w:t> </w:t>
      </w:r>
      <w:r w:rsidR="001F739C">
        <w:rPr>
          <w:rFonts w:ascii="Times New Roman" w:hAnsi="Times New Roman" w:cs="Times New Roman"/>
          <w:b/>
          <w:bCs/>
        </w:rPr>
        <w:t xml:space="preserve"> </w:t>
      </w:r>
    </w:p>
    <w:p w:rsidR="00C93EAA" w:rsidRPr="002A18ED" w:rsidRDefault="00CB3616" w:rsidP="00965AF2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Simplified Arabic"/>
          <w:lang w:bidi="ar-MA"/>
        </w:rPr>
        <w:t xml:space="preserve">Au deuxième trimestre de 2015, </w:t>
      </w:r>
      <w:r w:rsidR="00D93D3C">
        <w:rPr>
          <w:rFonts w:ascii="Times New Roman" w:hAnsi="Times New Roman" w:cs="Simplified Arabic"/>
          <w:lang w:bidi="ar-MA"/>
        </w:rPr>
        <w:t>5</w:t>
      </w:r>
      <w:r w:rsidR="00887488">
        <w:rPr>
          <w:rFonts w:ascii="Times New Roman" w:hAnsi="Times New Roman" w:cs="Simplified Arabic"/>
          <w:lang w:bidi="ar-MA"/>
        </w:rPr>
        <w:t>7,</w:t>
      </w:r>
      <w:r w:rsidR="009D6BE7">
        <w:rPr>
          <w:rFonts w:ascii="Times New Roman" w:hAnsi="Times New Roman" w:cs="Simplified Arabic"/>
          <w:lang w:bidi="ar-MA"/>
        </w:rPr>
        <w:t>8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490E21" w:rsidRPr="00C706A5">
        <w:rPr>
          <w:rFonts w:ascii="Times New Roman" w:hAnsi="Times New Roman" w:cs="Times New Roman"/>
          <w:color w:val="000000" w:themeColor="text1"/>
        </w:rPr>
        <w:t>des ménages</w:t>
      </w:r>
      <w:r w:rsidR="00C229EC">
        <w:rPr>
          <w:rFonts w:ascii="Times New Roman" w:hAnsi="Times New Roman" w:cs="Times New Roman"/>
          <w:color w:val="000000" w:themeColor="text1"/>
        </w:rPr>
        <w:t xml:space="preserve"> considèrent que</w:t>
      </w:r>
      <w:r w:rsidR="00490E21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leurs revenus couvrent leurs dépenses, </w:t>
      </w:r>
      <w:r w:rsidR="00EA2018">
        <w:rPr>
          <w:rFonts w:ascii="Times New Roman" w:hAnsi="Times New Roman" w:cs="Times New Roman"/>
          <w:color w:val="000000" w:themeColor="text1"/>
        </w:rPr>
        <w:t>3</w:t>
      </w:r>
      <w:r w:rsidR="00887488">
        <w:rPr>
          <w:rFonts w:ascii="Times New Roman" w:hAnsi="Times New Roman" w:cs="Times New Roman"/>
          <w:color w:val="000000" w:themeColor="text1"/>
        </w:rPr>
        <w:t>5</w:t>
      </w:r>
      <w:r w:rsidR="00EA2018">
        <w:rPr>
          <w:rFonts w:ascii="Times New Roman" w:hAnsi="Times New Roman" w:cs="Times New Roman"/>
          <w:color w:val="000000" w:themeColor="text1"/>
        </w:rPr>
        <w:t>,</w:t>
      </w:r>
      <w:r w:rsidR="00887488">
        <w:rPr>
          <w:rFonts w:ascii="Times New Roman" w:hAnsi="Times New Roman" w:cs="Times New Roman"/>
          <w:color w:val="000000" w:themeColor="text1"/>
        </w:rPr>
        <w:t>1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d’entre eux </w:t>
      </w:r>
      <w:r w:rsidR="00C229EC">
        <w:rPr>
          <w:rFonts w:ascii="Times New Roman" w:hAnsi="Times New Roman" w:cs="Times New Roman"/>
          <w:color w:val="000000" w:themeColor="text1"/>
        </w:rPr>
        <w:t xml:space="preserve">déclarent </w:t>
      </w:r>
      <w:r w:rsidR="001A6BB6" w:rsidRPr="00C706A5">
        <w:rPr>
          <w:rFonts w:ascii="Times New Roman" w:hAnsi="Times New Roman" w:cs="Times New Roman"/>
          <w:color w:val="000000" w:themeColor="text1"/>
        </w:rPr>
        <w:t>s’endette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8D7E8B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>ou puise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dans leur épargne</w:t>
      </w:r>
      <w:r w:rsidR="008941B1">
        <w:rPr>
          <w:rFonts w:ascii="Times New Roman" w:hAnsi="Times New Roman" w:cs="Times New Roman"/>
          <w:color w:val="000000" w:themeColor="text1"/>
        </w:rPr>
        <w:t xml:space="preserve"> et </w:t>
      </w:r>
      <w:r w:rsidR="00887488">
        <w:rPr>
          <w:rFonts w:ascii="Times New Roman" w:hAnsi="Times New Roman" w:cs="Times New Roman"/>
          <w:color w:val="000000" w:themeColor="text1"/>
        </w:rPr>
        <w:t>7</w:t>
      </w:r>
      <w:r w:rsidR="00EA2018">
        <w:rPr>
          <w:rFonts w:ascii="Times New Roman" w:hAnsi="Times New Roman" w:cs="Times New Roman"/>
          <w:color w:val="000000" w:themeColor="text1"/>
        </w:rPr>
        <w:t>,</w:t>
      </w:r>
      <w:r w:rsidR="009D6BE7">
        <w:rPr>
          <w:rFonts w:ascii="Times New Roman" w:hAnsi="Times New Roman" w:cs="Times New Roman"/>
          <w:color w:val="000000" w:themeColor="text1"/>
        </w:rPr>
        <w:t>1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3E7065">
        <w:rPr>
          <w:rFonts w:ascii="Times New Roman" w:hAnsi="Times New Roman" w:cs="Times New Roman"/>
          <w:color w:val="000000" w:themeColor="text1"/>
        </w:rPr>
        <w:t>affirm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ent 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pouvoir </w:t>
      </w:r>
      <w:r w:rsidR="004D3202" w:rsidRPr="00C706A5">
        <w:rPr>
          <w:rFonts w:ascii="Times New Roman" w:hAnsi="Times New Roman" w:cs="Times New Roman"/>
          <w:color w:val="000000" w:themeColor="text1"/>
        </w:rPr>
        <w:t>épargner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 une partie de leur revenu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. Le solde de </w:t>
      </w:r>
      <w:r w:rsidR="001A6BB6" w:rsidRPr="00C706A5">
        <w:rPr>
          <w:rFonts w:ascii="Times New Roman" w:hAnsi="Times New Roman" w:cs="Times New Roman"/>
          <w:color w:val="000000" w:themeColor="text1"/>
        </w:rPr>
        <w:t>l’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indicateur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relatif à la situation financière actuelle des ménages </w:t>
      </w:r>
      <w:r w:rsidR="004D3202" w:rsidRPr="00C706A5">
        <w:rPr>
          <w:rFonts w:ascii="Times New Roman" w:hAnsi="Times New Roman" w:cs="Times New Roman"/>
          <w:color w:val="000000" w:themeColor="text1"/>
        </w:rPr>
        <w:t>s’établit</w:t>
      </w:r>
      <w:r w:rsidR="002B7509">
        <w:rPr>
          <w:rFonts w:ascii="Times New Roman" w:hAnsi="Times New Roman" w:cs="Times New Roman"/>
          <w:color w:val="000000" w:themeColor="text1"/>
        </w:rPr>
        <w:t>,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ainsi</w:t>
      </w:r>
      <w:r w:rsidR="002B7509">
        <w:rPr>
          <w:rFonts w:ascii="Times New Roman" w:hAnsi="Times New Roman" w:cs="Times New Roman"/>
          <w:color w:val="000000" w:themeColor="text1"/>
        </w:rPr>
        <w:t>,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à un niveau négatif de </w:t>
      </w:r>
      <w:r w:rsidR="00857F10" w:rsidRPr="00C706A5">
        <w:rPr>
          <w:rFonts w:ascii="Times New Roman" w:hAnsi="Times New Roman" w:cs="Times New Roman"/>
          <w:color w:val="000000" w:themeColor="text1"/>
        </w:rPr>
        <w:t>-</w:t>
      </w:r>
      <w:r w:rsidR="009D6BE7">
        <w:rPr>
          <w:rFonts w:ascii="Times New Roman" w:hAnsi="Times New Roman" w:cs="Times New Roman"/>
          <w:color w:val="000000" w:themeColor="text1"/>
        </w:rPr>
        <w:t>28</w:t>
      </w:r>
      <w:r w:rsidR="00887488">
        <w:rPr>
          <w:rFonts w:ascii="Times New Roman" w:hAnsi="Times New Roman" w:cs="Times New Roman"/>
          <w:color w:val="000000" w:themeColor="text1"/>
        </w:rPr>
        <w:t>,</w:t>
      </w:r>
      <w:r w:rsidR="009D6BE7">
        <w:rPr>
          <w:rFonts w:ascii="Times New Roman" w:hAnsi="Times New Roman" w:cs="Times New Roman"/>
          <w:color w:val="000000" w:themeColor="text1"/>
        </w:rPr>
        <w:t>0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points, </w:t>
      </w:r>
      <w:r w:rsidR="006A0913" w:rsidRPr="00C706A5">
        <w:rPr>
          <w:rFonts w:ascii="Times New Roman" w:hAnsi="Times New Roman" w:cs="Times New Roman"/>
          <w:color w:val="000000" w:themeColor="text1"/>
        </w:rPr>
        <w:t xml:space="preserve">en </w:t>
      </w:r>
      <w:r w:rsidR="00887488">
        <w:rPr>
          <w:rFonts w:ascii="Times New Roman" w:hAnsi="Times New Roman" w:cs="Times New Roman"/>
          <w:color w:val="000000" w:themeColor="text1"/>
        </w:rPr>
        <w:t>amélioration</w:t>
      </w:r>
      <w:r w:rsidR="003E3A1D">
        <w:rPr>
          <w:rFonts w:ascii="Times New Roman" w:hAnsi="Times New Roman" w:cs="Times New Roman"/>
          <w:color w:val="000000" w:themeColor="text1"/>
        </w:rPr>
        <w:t xml:space="preserve"> </w:t>
      </w:r>
      <w:r w:rsidR="008B1424">
        <w:rPr>
          <w:rFonts w:ascii="Times New Roman" w:hAnsi="Times New Roman" w:cs="Times New Roman"/>
          <w:color w:val="000000" w:themeColor="text1"/>
        </w:rPr>
        <w:t xml:space="preserve">aussi bien </w:t>
      </w:r>
      <w:r w:rsidR="004D3202" w:rsidRPr="00C706A5">
        <w:rPr>
          <w:rFonts w:ascii="Times New Roman" w:hAnsi="Times New Roman" w:cs="Times New Roman"/>
          <w:color w:val="000000" w:themeColor="text1"/>
        </w:rPr>
        <w:t>par ra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pport </w:t>
      </w:r>
      <w:r w:rsidR="008B1424">
        <w:rPr>
          <w:rFonts w:ascii="Times New Roman" w:hAnsi="Times New Roman" w:cs="Times New Roman"/>
          <w:color w:val="000000" w:themeColor="text1"/>
        </w:rPr>
        <w:t xml:space="preserve">au trimestre précédent </w:t>
      </w:r>
      <w:r w:rsidR="002C211A" w:rsidRPr="00C706A5">
        <w:rPr>
          <w:rFonts w:ascii="Times New Roman" w:hAnsi="Times New Roman" w:cs="Times New Roman"/>
          <w:color w:val="000000" w:themeColor="text1"/>
        </w:rPr>
        <w:t>(</w:t>
      </w:r>
      <w:r w:rsidR="00887488">
        <w:rPr>
          <w:rFonts w:ascii="Times New Roman" w:hAnsi="Times New Roman" w:cs="Times New Roman"/>
          <w:color w:val="000000" w:themeColor="text1"/>
        </w:rPr>
        <w:t>+4</w:t>
      </w:r>
      <w:r w:rsidR="00D93D3C">
        <w:rPr>
          <w:rFonts w:ascii="Times New Roman" w:hAnsi="Times New Roman" w:cs="Times New Roman"/>
          <w:color w:val="000000" w:themeColor="text1"/>
        </w:rPr>
        <w:t>,</w:t>
      </w:r>
      <w:r w:rsidR="009D6BE7">
        <w:rPr>
          <w:rFonts w:ascii="Times New Roman" w:hAnsi="Times New Roman" w:cs="Times New Roman"/>
          <w:color w:val="000000" w:themeColor="text1"/>
        </w:rPr>
        <w:t>4</w:t>
      </w:r>
      <w:r w:rsidR="002C211A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887488">
        <w:rPr>
          <w:rFonts w:ascii="Times New Roman" w:hAnsi="Times New Roman" w:cs="Times New Roman"/>
          <w:color w:val="000000" w:themeColor="text1"/>
        </w:rPr>
        <w:t>s</w:t>
      </w:r>
      <w:r w:rsidR="002C211A" w:rsidRPr="00C706A5">
        <w:rPr>
          <w:rFonts w:ascii="Times New Roman" w:hAnsi="Times New Roman" w:cs="Times New Roman"/>
          <w:color w:val="000000" w:themeColor="text1"/>
        </w:rPr>
        <w:t>)</w:t>
      </w:r>
      <w:r w:rsidR="008B1424">
        <w:rPr>
          <w:rFonts w:ascii="Times New Roman" w:hAnsi="Times New Roman" w:cs="Times New Roman"/>
          <w:color w:val="000000" w:themeColor="text1"/>
        </w:rPr>
        <w:t xml:space="preserve"> qu’</w:t>
      </w:r>
      <w:r w:rsidR="008B1424" w:rsidRPr="00C706A5">
        <w:rPr>
          <w:rFonts w:ascii="Times New Roman" w:hAnsi="Times New Roman" w:cs="Times New Roman"/>
          <w:color w:val="000000" w:themeColor="text1"/>
        </w:rPr>
        <w:t>au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 même trimestre de </w:t>
      </w:r>
      <w:r w:rsidR="00FF44FD">
        <w:rPr>
          <w:rFonts w:ascii="Times New Roman" w:hAnsi="Times New Roman" w:cs="Times New Roman"/>
          <w:color w:val="000000" w:themeColor="text1"/>
        </w:rPr>
        <w:t>201</w:t>
      </w:r>
      <w:r w:rsidR="00D93D3C">
        <w:rPr>
          <w:rFonts w:ascii="Times New Roman" w:hAnsi="Times New Roman" w:cs="Times New Roman"/>
          <w:color w:val="000000" w:themeColor="text1"/>
        </w:rPr>
        <w:t>4</w:t>
      </w:r>
      <w:r w:rsidR="008B1424">
        <w:rPr>
          <w:rFonts w:ascii="Times New Roman" w:hAnsi="Times New Roman" w:cs="Times New Roman"/>
          <w:color w:val="000000" w:themeColor="text1"/>
        </w:rPr>
        <w:t xml:space="preserve"> (</w:t>
      </w:r>
      <w:r w:rsidR="00887488">
        <w:rPr>
          <w:rFonts w:ascii="Times New Roman" w:hAnsi="Times New Roman" w:cs="Times New Roman"/>
          <w:color w:val="000000" w:themeColor="text1"/>
        </w:rPr>
        <w:t>+</w:t>
      </w:r>
      <w:r w:rsidR="00D93D3C">
        <w:rPr>
          <w:rFonts w:ascii="Times New Roman" w:hAnsi="Times New Roman" w:cs="Times New Roman"/>
          <w:color w:val="000000" w:themeColor="text1"/>
        </w:rPr>
        <w:t>1,</w:t>
      </w:r>
      <w:r w:rsidR="00207730">
        <w:rPr>
          <w:rFonts w:ascii="Times New Roman" w:hAnsi="Times New Roman" w:cs="Times New Roman" w:hint="cs"/>
          <w:color w:val="000000" w:themeColor="text1"/>
          <w:rtl/>
        </w:rPr>
        <w:t>7</w:t>
      </w:r>
      <w:r w:rsidR="008B1424">
        <w:rPr>
          <w:rFonts w:ascii="Times New Roman" w:hAnsi="Times New Roman" w:cs="Times New Roman"/>
          <w:color w:val="000000" w:themeColor="text1"/>
        </w:rPr>
        <w:t xml:space="preserve"> point)</w:t>
      </w:r>
      <w:r w:rsidR="002C211A" w:rsidRPr="00C706A5">
        <w:rPr>
          <w:rFonts w:ascii="Times New Roman" w:hAnsi="Times New Roman" w:cs="Times New Roman"/>
          <w:color w:val="000000" w:themeColor="text1"/>
        </w:rPr>
        <w:t>.</w:t>
      </w:r>
    </w:p>
    <w:p w:rsidR="002A18ED" w:rsidRDefault="00481C22" w:rsidP="00F82FA0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Les perceptions des ménages sur </w:t>
      </w:r>
      <w:r w:rsidR="00DF369E">
        <w:rPr>
          <w:rFonts w:ascii="Times New Roman" w:hAnsi="Times New Roman" w:cs="Times New Roman"/>
          <w:color w:val="000000"/>
        </w:rPr>
        <w:t>l’évolution</w:t>
      </w:r>
      <w:r w:rsidR="00E45773">
        <w:rPr>
          <w:rFonts w:ascii="Times New Roman" w:hAnsi="Times New Roman" w:cs="Times New Roman"/>
          <w:color w:val="000000"/>
        </w:rPr>
        <w:t xml:space="preserve"> passée de l</w:t>
      </w:r>
      <w:r w:rsidR="00E45773" w:rsidRPr="00B10F10">
        <w:rPr>
          <w:rFonts w:ascii="Times New Roman" w:hAnsi="Times New Roman" w:cs="Times New Roman"/>
          <w:color w:val="000000"/>
        </w:rPr>
        <w:t>eur situation financière personnelle</w:t>
      </w:r>
      <w:r>
        <w:rPr>
          <w:rFonts w:ascii="Times New Roman" w:hAnsi="Times New Roman" w:cs="Times New Roman"/>
          <w:color w:val="000000"/>
        </w:rPr>
        <w:t xml:space="preserve"> ont connu une </w:t>
      </w:r>
      <w:r w:rsidR="00D93D3C">
        <w:rPr>
          <w:rFonts w:ascii="Times New Roman" w:hAnsi="Times New Roman" w:cs="Times New Roman"/>
          <w:color w:val="000000"/>
        </w:rPr>
        <w:t>a</w:t>
      </w:r>
      <w:r w:rsidR="00D93D3C" w:rsidRPr="00481C22">
        <w:rPr>
          <w:rFonts w:ascii="Times New Roman" w:hAnsi="Times New Roman" w:cs="Times New Roman"/>
          <w:color w:val="000000"/>
        </w:rPr>
        <w:t>mélio</w:t>
      </w:r>
      <w:r w:rsidRPr="00481C22">
        <w:rPr>
          <w:rFonts w:ascii="Times New Roman" w:hAnsi="Times New Roman" w:cs="Times New Roman"/>
          <w:color w:val="000000"/>
        </w:rPr>
        <w:t>ration</w:t>
      </w:r>
      <w:r w:rsidR="00D93D3C">
        <w:rPr>
          <w:rFonts w:ascii="Times New Roman" w:hAnsi="Times New Roman" w:cs="Times New Roman"/>
          <w:color w:val="000000"/>
        </w:rPr>
        <w:t xml:space="preserve"> </w:t>
      </w:r>
      <w:r w:rsidR="00100026">
        <w:rPr>
          <w:rFonts w:ascii="Times New Roman" w:hAnsi="Times New Roman" w:cs="Times New Roman"/>
          <w:color w:val="000000"/>
        </w:rPr>
        <w:t xml:space="preserve">de </w:t>
      </w:r>
      <w:r w:rsidR="009342AC">
        <w:rPr>
          <w:rFonts w:ascii="Times New Roman" w:hAnsi="Times New Roman" w:cs="Times New Roman"/>
          <w:color w:val="000000"/>
        </w:rPr>
        <w:t>6</w:t>
      </w:r>
      <w:r w:rsidR="00100026">
        <w:rPr>
          <w:rFonts w:ascii="Times New Roman" w:hAnsi="Times New Roman" w:cs="Times New Roman"/>
          <w:color w:val="000000"/>
        </w:rPr>
        <w:t>,</w:t>
      </w:r>
      <w:r w:rsidR="009342AC">
        <w:rPr>
          <w:rFonts w:ascii="Times New Roman" w:hAnsi="Times New Roman" w:cs="Times New Roman"/>
          <w:color w:val="000000"/>
        </w:rPr>
        <w:t>8</w:t>
      </w:r>
      <w:r w:rsidR="00100026">
        <w:rPr>
          <w:rFonts w:ascii="Times New Roman" w:hAnsi="Times New Roman" w:cs="Times New Roman"/>
          <w:color w:val="000000"/>
        </w:rPr>
        <w:t xml:space="preserve"> points </w:t>
      </w:r>
      <w:r w:rsidR="00C35F99">
        <w:rPr>
          <w:rFonts w:ascii="Times New Roman" w:hAnsi="Times New Roman" w:cs="Times New Roman"/>
          <w:color w:val="000000"/>
        </w:rPr>
        <w:t xml:space="preserve">par rapport </w:t>
      </w:r>
      <w:r w:rsidR="00E2206C">
        <w:rPr>
          <w:rFonts w:ascii="Times New Roman" w:hAnsi="Times New Roman" w:cs="Times New Roman"/>
          <w:color w:val="000000"/>
        </w:rPr>
        <w:t>au trimestre précédent</w:t>
      </w:r>
      <w:r w:rsidR="00100026">
        <w:rPr>
          <w:rFonts w:ascii="Times New Roman" w:hAnsi="Times New Roman" w:cs="Times New Roman"/>
          <w:color w:val="000000"/>
        </w:rPr>
        <w:t xml:space="preserve"> </w:t>
      </w:r>
      <w:r w:rsidR="008D7E8B">
        <w:rPr>
          <w:rFonts w:ascii="Times New Roman" w:hAnsi="Times New Roman" w:cs="Times New Roman"/>
          <w:color w:val="000000"/>
        </w:rPr>
        <w:t>et</w:t>
      </w:r>
      <w:r w:rsidR="00100026">
        <w:rPr>
          <w:rFonts w:ascii="Times New Roman" w:hAnsi="Times New Roman" w:cs="Times New Roman"/>
          <w:color w:val="000000"/>
        </w:rPr>
        <w:t xml:space="preserve"> de </w:t>
      </w:r>
      <w:r w:rsidR="009342AC">
        <w:rPr>
          <w:rFonts w:ascii="Times New Roman" w:hAnsi="Times New Roman" w:cs="Times New Roman"/>
          <w:color w:val="000000"/>
        </w:rPr>
        <w:t>3</w:t>
      </w:r>
      <w:r w:rsidR="00100026">
        <w:rPr>
          <w:rFonts w:ascii="Times New Roman" w:hAnsi="Times New Roman" w:cs="Times New Roman"/>
          <w:color w:val="000000"/>
        </w:rPr>
        <w:t>,</w:t>
      </w:r>
      <w:r w:rsidR="009342AC">
        <w:rPr>
          <w:rFonts w:ascii="Times New Roman" w:hAnsi="Times New Roman" w:cs="Times New Roman"/>
          <w:color w:val="000000"/>
        </w:rPr>
        <w:t>1</w:t>
      </w:r>
      <w:r w:rsidR="00100026">
        <w:rPr>
          <w:rFonts w:ascii="Times New Roman" w:hAnsi="Times New Roman" w:cs="Times New Roman"/>
          <w:color w:val="000000"/>
        </w:rPr>
        <w:t xml:space="preserve"> points </w:t>
      </w:r>
      <w:r w:rsidR="00023DE5" w:rsidRPr="00B10F10">
        <w:rPr>
          <w:rFonts w:ascii="Times New Roman" w:hAnsi="Times New Roman" w:cs="Times New Roman"/>
          <w:color w:val="000000"/>
        </w:rPr>
        <w:t xml:space="preserve">par rapport </w:t>
      </w:r>
      <w:r w:rsidR="00F82FA0">
        <w:rPr>
          <w:rFonts w:ascii="Times New Roman" w:hAnsi="Times New Roman" w:cs="Times New Roman"/>
          <w:color w:val="000000"/>
        </w:rPr>
        <w:t>au même trimestre de l’année 2014.</w:t>
      </w:r>
    </w:p>
    <w:p w:rsidR="00480253" w:rsidRDefault="00480253" w:rsidP="002A18E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DF369E" w:rsidRDefault="00F76B9D" w:rsidP="00506E8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même, les</w:t>
      </w:r>
      <w:r>
        <w:rPr>
          <w:rFonts w:ascii="Times New Roman" w:hAnsi="Times New Roman" w:cs="Times New Roman" w:hint="cs"/>
          <w:color w:val="000000"/>
          <w:rtl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opinions des ménages sur </w:t>
      </w:r>
      <w:r w:rsidR="00763B79">
        <w:rPr>
          <w:rFonts w:ascii="Times New Roman" w:hAnsi="Times New Roman" w:cs="Times New Roman"/>
          <w:color w:val="000000"/>
        </w:rPr>
        <w:t>l’</w:t>
      </w:r>
      <w:r w:rsidR="00DF369E">
        <w:rPr>
          <w:rFonts w:ascii="Times New Roman" w:hAnsi="Times New Roman" w:cs="Times New Roman"/>
          <w:color w:val="000000"/>
        </w:rPr>
        <w:t>évolution future de l</w:t>
      </w:r>
      <w:r w:rsidR="00DF369E" w:rsidRPr="00B10F10">
        <w:rPr>
          <w:rFonts w:ascii="Times New Roman" w:hAnsi="Times New Roman" w:cs="Times New Roman"/>
          <w:color w:val="000000"/>
        </w:rPr>
        <w:t>eur situation financière personnelle</w:t>
      </w:r>
      <w:r w:rsidR="00DF369E">
        <w:rPr>
          <w:rFonts w:ascii="Times New Roman" w:hAnsi="Times New Roman" w:cs="Times New Roman"/>
          <w:color w:val="000000"/>
        </w:rPr>
        <w:t xml:space="preserve"> </w:t>
      </w:r>
      <w:r w:rsidR="00D039D9">
        <w:rPr>
          <w:rFonts w:ascii="Times New Roman" w:hAnsi="Times New Roman" w:cs="Times New Roman"/>
          <w:color w:val="000000"/>
        </w:rPr>
        <w:t xml:space="preserve">ont connu la même tendance avec une </w:t>
      </w:r>
      <w:r w:rsidR="00DF369E">
        <w:rPr>
          <w:rFonts w:ascii="Times New Roman" w:hAnsi="Times New Roman" w:cs="Times New Roman"/>
          <w:color w:val="000000"/>
        </w:rPr>
        <w:t xml:space="preserve"> amélior</w:t>
      </w:r>
      <w:r w:rsidR="00D039D9">
        <w:rPr>
          <w:rFonts w:ascii="Times New Roman" w:hAnsi="Times New Roman" w:cs="Times New Roman"/>
          <w:color w:val="000000"/>
        </w:rPr>
        <w:t>ation</w:t>
      </w:r>
      <w:r w:rsidR="00DF369E">
        <w:rPr>
          <w:rFonts w:ascii="Times New Roman" w:hAnsi="Times New Roman" w:cs="Times New Roman"/>
          <w:color w:val="000000"/>
        </w:rPr>
        <w:t xml:space="preserve"> de </w:t>
      </w:r>
      <w:r w:rsidR="00506E8E">
        <w:rPr>
          <w:rFonts w:ascii="Times New Roman" w:hAnsi="Times New Roman" w:cs="Times New Roman"/>
          <w:color w:val="000000"/>
        </w:rPr>
        <w:t>4</w:t>
      </w:r>
      <w:r w:rsidR="00F82FA0">
        <w:rPr>
          <w:rFonts w:ascii="Times New Roman" w:hAnsi="Times New Roman" w:cs="Times New Roman"/>
          <w:color w:val="000000"/>
        </w:rPr>
        <w:t>,</w:t>
      </w:r>
      <w:r w:rsidR="00506E8E">
        <w:rPr>
          <w:rFonts w:ascii="Times New Roman" w:hAnsi="Times New Roman" w:cs="Times New Roman"/>
          <w:color w:val="000000"/>
        </w:rPr>
        <w:t>1</w:t>
      </w:r>
      <w:r w:rsidR="00D039D9">
        <w:rPr>
          <w:rFonts w:ascii="Times New Roman" w:hAnsi="Times New Roman" w:cs="Times New Roman"/>
          <w:color w:val="000000"/>
        </w:rPr>
        <w:t xml:space="preserve"> </w:t>
      </w:r>
      <w:r w:rsidR="00DF369E">
        <w:rPr>
          <w:rFonts w:ascii="Times New Roman" w:hAnsi="Times New Roman" w:cs="Times New Roman"/>
          <w:color w:val="000000"/>
        </w:rPr>
        <w:t>points par rapport au trimestre précédent et</w:t>
      </w:r>
      <w:r w:rsidR="00D039D9">
        <w:rPr>
          <w:rFonts w:ascii="Times New Roman" w:hAnsi="Times New Roman" w:cs="Times New Roman"/>
          <w:color w:val="000000"/>
        </w:rPr>
        <w:t xml:space="preserve"> </w:t>
      </w:r>
      <w:r w:rsidR="00DF369E">
        <w:rPr>
          <w:rFonts w:ascii="Times New Roman" w:hAnsi="Times New Roman" w:cs="Times New Roman"/>
          <w:color w:val="000000"/>
        </w:rPr>
        <w:t xml:space="preserve">de </w:t>
      </w:r>
      <w:r w:rsidR="00506E8E">
        <w:rPr>
          <w:rFonts w:ascii="Times New Roman" w:hAnsi="Times New Roman" w:cs="Times New Roman"/>
          <w:color w:val="000000"/>
        </w:rPr>
        <w:t>6</w:t>
      </w:r>
      <w:r w:rsidR="00DF369E">
        <w:rPr>
          <w:rFonts w:ascii="Times New Roman" w:hAnsi="Times New Roman" w:cs="Times New Roman"/>
          <w:color w:val="000000"/>
        </w:rPr>
        <w:t>,</w:t>
      </w:r>
      <w:r w:rsidR="00506E8E">
        <w:rPr>
          <w:rFonts w:ascii="Times New Roman" w:hAnsi="Times New Roman" w:cs="Times New Roman"/>
          <w:color w:val="000000"/>
        </w:rPr>
        <w:t>9</w:t>
      </w:r>
      <w:r w:rsidR="00DF369E">
        <w:rPr>
          <w:rFonts w:ascii="Times New Roman" w:hAnsi="Times New Roman" w:cs="Times New Roman"/>
          <w:color w:val="000000"/>
        </w:rPr>
        <w:t xml:space="preserve"> point</w:t>
      </w:r>
      <w:r w:rsidR="00420913">
        <w:rPr>
          <w:rFonts w:ascii="Times New Roman" w:hAnsi="Times New Roman" w:cs="Times New Roman"/>
          <w:color w:val="000000"/>
        </w:rPr>
        <w:t>s</w:t>
      </w:r>
      <w:r w:rsidR="00DF369E">
        <w:rPr>
          <w:rFonts w:ascii="Times New Roman" w:hAnsi="Times New Roman" w:cs="Times New Roman"/>
          <w:color w:val="000000"/>
        </w:rPr>
        <w:t xml:space="preserve"> </w:t>
      </w:r>
      <w:r w:rsidR="00DF369E" w:rsidRPr="00B10F10">
        <w:rPr>
          <w:rFonts w:ascii="Times New Roman" w:hAnsi="Times New Roman" w:cs="Times New Roman"/>
          <w:color w:val="000000"/>
        </w:rPr>
        <w:t>par rapport</w:t>
      </w:r>
      <w:r w:rsidR="00F82FA0" w:rsidRPr="00F82FA0">
        <w:rPr>
          <w:rFonts w:ascii="Times New Roman" w:hAnsi="Times New Roman" w:cs="Times New Roman"/>
          <w:color w:val="000000"/>
        </w:rPr>
        <w:t xml:space="preserve"> </w:t>
      </w:r>
      <w:r w:rsidR="00F82FA0" w:rsidRPr="00B10F10">
        <w:rPr>
          <w:rFonts w:ascii="Times New Roman" w:hAnsi="Times New Roman" w:cs="Times New Roman"/>
          <w:color w:val="000000"/>
        </w:rPr>
        <w:t xml:space="preserve">à un </w:t>
      </w:r>
      <w:r w:rsidR="00F82FA0">
        <w:rPr>
          <w:rFonts w:ascii="Times New Roman" w:hAnsi="Times New Roman" w:cs="Times New Roman"/>
          <w:color w:val="000000"/>
        </w:rPr>
        <w:t xml:space="preserve">an </w:t>
      </w:r>
      <w:r w:rsidR="00F82FA0" w:rsidRPr="00B10F10">
        <w:rPr>
          <w:rFonts w:ascii="Times New Roman" w:hAnsi="Times New Roman" w:cs="Times New Roman"/>
          <w:color w:val="000000"/>
        </w:rPr>
        <w:t>auparavant</w:t>
      </w:r>
      <w:r w:rsidR="00F82FA0">
        <w:rPr>
          <w:rFonts w:ascii="Times New Roman" w:hAnsi="Times New Roman" w:cs="Times New Roman"/>
          <w:color w:val="000000"/>
        </w:rPr>
        <w:t>.</w:t>
      </w:r>
    </w:p>
    <w:p w:rsidR="0045471C" w:rsidRDefault="0045471C" w:rsidP="00D039D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45471C" w:rsidRPr="0045471C" w:rsidRDefault="0045471C" w:rsidP="0045471C">
      <w:pPr>
        <w:widowControl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45471C" w:rsidRPr="0045471C" w:rsidRDefault="0045471C" w:rsidP="0045471C">
      <w:pPr>
        <w:widowControl/>
        <w:spacing w:before="240" w:line="276" w:lineRule="auto"/>
        <w:jc w:val="both"/>
        <w:rPr>
          <w:rFonts w:ascii="Times New Roman" w:hAnsi="Times New Roman" w:cs="Times New Roman"/>
          <w:color w:val="FF0000"/>
        </w:rPr>
      </w:pPr>
    </w:p>
    <w:p w:rsidR="0045471C" w:rsidRDefault="0045471C" w:rsidP="00D039D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AF6349" w:rsidRDefault="00AF6349" w:rsidP="00F656E6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656E6" w:rsidRDefault="00F656E6" w:rsidP="00D46521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62F85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151DD">
        <w:rPr>
          <w:rFonts w:ascii="Times New Roman" w:hAnsi="Times New Roman" w:cs="Times New Roman"/>
          <w:b/>
          <w:bCs/>
          <w:noProof/>
          <w:color w:val="000000" w:themeColor="text1"/>
        </w:rPr>
        <w:lastRenderedPageBreak/>
        <w:drawing>
          <wp:inline distT="0" distB="0" distL="0" distR="0">
            <wp:extent cx="6391275" cy="3886200"/>
            <wp:effectExtent l="19050" t="0" r="9525" b="0"/>
            <wp:docPr id="11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151DD" w:rsidRPr="00C706A5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rtl/>
        </w:rPr>
      </w:pPr>
    </w:p>
    <w:p w:rsidR="000E21A1" w:rsidRPr="003A3FCF" w:rsidRDefault="000E21A1" w:rsidP="00D75C4F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perception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 l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 ménages </w:t>
      </w:r>
    </w:p>
    <w:p w:rsidR="00A52030" w:rsidRPr="00C706A5" w:rsidRDefault="00A52030" w:rsidP="00E531E7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En plus des sept indicateurs composant l’ICM, l’enquête fournit des données trimestrielles sur l</w:t>
      </w:r>
      <w:r w:rsidR="00E531E7">
        <w:rPr>
          <w:rFonts w:ascii="Times New Roman" w:hAnsi="Times New Roman" w:cs="Times New Roman"/>
          <w:color w:val="000000" w:themeColor="text1"/>
        </w:rPr>
        <w:t>a</w:t>
      </w:r>
      <w:r w:rsidRPr="00C706A5">
        <w:rPr>
          <w:rFonts w:ascii="Times New Roman" w:hAnsi="Times New Roman" w:cs="Times New Roman"/>
          <w:color w:val="000000" w:themeColor="text1"/>
        </w:rPr>
        <w:t xml:space="preserve"> perception des ménages relatives à d’autres aspects de leurs conditions de vie. Il s’agit en particulier de la capacité d’épargne et de l’évolution des prix des produits alimentaires. </w:t>
      </w:r>
    </w:p>
    <w:p w:rsidR="00A52030" w:rsidRPr="00C706A5" w:rsidRDefault="00A52030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12210" w:rsidRPr="00C706A5" w:rsidRDefault="00812210" w:rsidP="00FE0E0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9112C">
        <w:rPr>
          <w:rFonts w:ascii="Times New Roman" w:hAnsi="Times New Roman" w:cs="Times New Roman"/>
          <w:b/>
          <w:bCs/>
          <w:color w:val="000000" w:themeColor="text1"/>
        </w:rPr>
        <w:t xml:space="preserve">• </w:t>
      </w:r>
      <w:r w:rsidR="00FE0E04">
        <w:rPr>
          <w:rFonts w:ascii="Times New Roman" w:hAnsi="Times New Roman" w:cs="Times New Roman"/>
          <w:b/>
          <w:bCs/>
          <w:color w:val="000000" w:themeColor="text1"/>
        </w:rPr>
        <w:t>Ménages moins pessimistes quant à leur c</w:t>
      </w:r>
      <w:r w:rsidR="00FE0E04" w:rsidRPr="00C706A5">
        <w:rPr>
          <w:rFonts w:ascii="Times New Roman" w:hAnsi="Times New Roman" w:cs="Times New Roman"/>
          <w:b/>
          <w:bCs/>
          <w:color w:val="000000" w:themeColor="text1"/>
        </w:rPr>
        <w:t>apacité</w:t>
      </w:r>
      <w:r w:rsidR="00FE0E04">
        <w:rPr>
          <w:rFonts w:ascii="Times New Roman" w:hAnsi="Times New Roman" w:cs="Times New Roman"/>
          <w:b/>
          <w:bCs/>
          <w:color w:val="000000" w:themeColor="text1"/>
        </w:rPr>
        <w:t xml:space="preserve"> future d’épargner </w:t>
      </w:r>
    </w:p>
    <w:p w:rsidR="00F66680" w:rsidRPr="00C706A5" w:rsidRDefault="000B09BA" w:rsidP="00126B26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F430E6">
        <w:rPr>
          <w:rFonts w:ascii="Times New Roman" w:hAnsi="Times New Roman" w:cs="Times New Roman"/>
          <w:color w:val="000000" w:themeColor="text1"/>
        </w:rPr>
        <w:t>deuxième trimestre</w:t>
      </w:r>
      <w:r w:rsidR="00F406EF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D93D3C">
        <w:rPr>
          <w:rFonts w:ascii="Times New Roman" w:hAnsi="Times New Roman" w:cs="Times New Roman"/>
          <w:color w:val="000000" w:themeColor="text1"/>
        </w:rPr>
        <w:t>5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741C47" w:rsidRPr="00A938F3">
        <w:rPr>
          <w:rFonts w:ascii="Times New Roman" w:hAnsi="Times New Roman" w:cs="Times New Roman" w:hint="cs"/>
          <w:color w:val="000000" w:themeColor="text1"/>
          <w:rtl/>
        </w:rPr>
        <w:t>83</w:t>
      </w:r>
      <w:r w:rsidR="00741C47" w:rsidRPr="00A938F3">
        <w:rPr>
          <w:rFonts w:ascii="Times New Roman" w:hAnsi="Times New Roman" w:cs="Times New Roman"/>
          <w:color w:val="000000" w:themeColor="text1"/>
        </w:rPr>
        <w:t>,7%</w:t>
      </w:r>
      <w:r w:rsidR="00DE048F">
        <w:rPr>
          <w:rFonts w:ascii="Times New Roman" w:hAnsi="Times New Roman" w:cs="Times New Roman"/>
          <w:color w:val="000000" w:themeColor="text1"/>
        </w:rPr>
        <w:t xml:space="preserve"> des ménages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F469DA">
        <w:rPr>
          <w:rFonts w:ascii="Times New Roman" w:hAnsi="Times New Roman" w:cs="Times New Roman"/>
          <w:color w:val="000000" w:themeColor="text1"/>
        </w:rPr>
        <w:t>estiment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 ne pas pouvoir épargner au cours des 12 prochains mois</w:t>
      </w:r>
      <w:r w:rsidR="007F3847" w:rsidRPr="00C706A5">
        <w:rPr>
          <w:rFonts w:ascii="Times New Roman" w:hAnsi="Times New Roman" w:cs="Times New Roman"/>
          <w:color w:val="000000" w:themeColor="text1"/>
        </w:rPr>
        <w:t xml:space="preserve"> contre </w:t>
      </w:r>
      <w:r w:rsidR="00741C47" w:rsidRPr="00A938F3">
        <w:rPr>
          <w:rFonts w:ascii="Times New Roman" w:hAnsi="Times New Roman" w:cs="Times New Roman"/>
          <w:color w:val="000000" w:themeColor="text1"/>
        </w:rPr>
        <w:t>16,3</w:t>
      </w:r>
      <w:r w:rsidR="007F3847" w:rsidRPr="00A938F3">
        <w:rPr>
          <w:rFonts w:ascii="Times New Roman" w:hAnsi="Times New Roman" w:cs="Times New Roman"/>
          <w:color w:val="000000" w:themeColor="text1"/>
        </w:rPr>
        <w:t>%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qui </w:t>
      </w:r>
      <w:r w:rsidR="00675156">
        <w:rPr>
          <w:rFonts w:ascii="Times New Roman" w:hAnsi="Times New Roman" w:cs="Times New Roman"/>
          <w:color w:val="000000" w:themeColor="text1"/>
        </w:rPr>
        <w:t>affirment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le contraire</w:t>
      </w:r>
      <w:r w:rsidR="00507FF6">
        <w:rPr>
          <w:rFonts w:ascii="Times New Roman" w:hAnsi="Times New Roman" w:cs="Times New Roman"/>
          <w:color w:val="000000" w:themeColor="text1"/>
        </w:rPr>
        <w:t xml:space="preserve">. </w:t>
      </w:r>
      <w:r w:rsidR="00126B26">
        <w:rPr>
          <w:rFonts w:ascii="Times New Roman" w:hAnsi="Times New Roman" w:cs="Times New Roman"/>
          <w:color w:val="000000" w:themeColor="text1"/>
        </w:rPr>
        <w:t>L</w:t>
      </w:r>
      <w:r w:rsidR="00F66680" w:rsidRPr="00F66680">
        <w:rPr>
          <w:rFonts w:ascii="Times New Roman" w:hAnsi="Times New Roman" w:cs="Times New Roman"/>
          <w:color w:val="000000" w:themeColor="text1"/>
        </w:rPr>
        <w:t>’opinion des ménages sur leur capacité d’épargne s’améliore aussi bien par rapport au trimestre précédent qu’au même trimestre de l’année précédente: le solde correspondant gagne 2,4 points et 2,</w:t>
      </w:r>
      <w:r w:rsidR="00957FC4">
        <w:rPr>
          <w:rFonts w:ascii="Times New Roman" w:hAnsi="Times New Roman" w:cs="Times New Roman" w:hint="cs"/>
          <w:color w:val="000000" w:themeColor="text1"/>
          <w:rtl/>
        </w:rPr>
        <w:t>8</w:t>
      </w:r>
      <w:r w:rsidR="00F66680" w:rsidRPr="00F66680">
        <w:rPr>
          <w:rFonts w:ascii="Times New Roman" w:hAnsi="Times New Roman" w:cs="Times New Roman"/>
          <w:color w:val="000000" w:themeColor="text1"/>
        </w:rPr>
        <w:t xml:space="preserve"> points</w:t>
      </w:r>
      <w:r w:rsidR="00F66680">
        <w:rPr>
          <w:rFonts w:ascii="Verdana" w:hAnsi="Verdana"/>
          <w:color w:val="000000"/>
          <w:sz w:val="18"/>
          <w:szCs w:val="18"/>
        </w:rPr>
        <w:t xml:space="preserve"> </w:t>
      </w:r>
      <w:r w:rsidR="00F66680" w:rsidRPr="00F66680">
        <w:rPr>
          <w:rFonts w:ascii="Times New Roman" w:hAnsi="Times New Roman" w:cs="Times New Roman"/>
          <w:color w:val="000000" w:themeColor="text1"/>
        </w:rPr>
        <w:t>durant ces deux périodes respectives.</w:t>
      </w:r>
    </w:p>
    <w:p w:rsidR="00FE0E04" w:rsidRPr="00C706A5" w:rsidRDefault="00FE0E04" w:rsidP="00C60EE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92F9F" w:rsidRPr="00C706A5" w:rsidRDefault="00AE27A6" w:rsidP="00126B26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D5532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3B6387" w:rsidRPr="009D553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26B26">
        <w:rPr>
          <w:rFonts w:ascii="Times New Roman" w:hAnsi="Times New Roman" w:cs="Times New Roman"/>
          <w:b/>
          <w:bCs/>
          <w:color w:val="000000" w:themeColor="text1"/>
        </w:rPr>
        <w:t>Perspectives d’évolution</w:t>
      </w:r>
      <w:r w:rsidR="00C10BA4">
        <w:rPr>
          <w:rFonts w:ascii="Times New Roman" w:hAnsi="Times New Roman" w:cs="Times New Roman"/>
          <w:b/>
          <w:bCs/>
          <w:color w:val="000000" w:themeColor="text1"/>
        </w:rPr>
        <w:t xml:space="preserve"> des</w:t>
      </w:r>
      <w:r w:rsidR="003B6387" w:rsidRPr="009D5532">
        <w:rPr>
          <w:rFonts w:ascii="Times New Roman" w:hAnsi="Times New Roman" w:cs="Times New Roman"/>
          <w:b/>
          <w:bCs/>
          <w:color w:val="000000" w:themeColor="text1"/>
        </w:rPr>
        <w:t xml:space="preserve"> prix des produits alimentaires</w:t>
      </w:r>
      <w:r w:rsidR="00EF2C03">
        <w:rPr>
          <w:rFonts w:ascii="Times New Roman" w:hAnsi="Times New Roman" w:cs="Times New Roman"/>
          <w:b/>
          <w:bCs/>
          <w:color w:val="000000" w:themeColor="text1"/>
        </w:rPr>
        <w:t xml:space="preserve"> : </w:t>
      </w:r>
      <w:r w:rsidR="00126B26">
        <w:rPr>
          <w:rFonts w:ascii="Times New Roman" w:hAnsi="Times New Roman" w:cs="Times New Roman"/>
          <w:b/>
          <w:bCs/>
          <w:color w:val="000000" w:themeColor="text1"/>
        </w:rPr>
        <w:t>attente d’une hausse moins prononcée</w:t>
      </w:r>
    </w:p>
    <w:p w:rsidR="00A644C5" w:rsidRDefault="00985AB3" w:rsidP="00506E8E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F430E6">
        <w:rPr>
          <w:rFonts w:ascii="Times New Roman" w:hAnsi="Times New Roman" w:cs="Times New Roman"/>
          <w:color w:val="000000" w:themeColor="text1"/>
        </w:rPr>
        <w:t>deuxième trimestre</w:t>
      </w:r>
      <w:r w:rsidR="006E004B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107E17">
        <w:rPr>
          <w:rFonts w:ascii="Times New Roman" w:hAnsi="Times New Roman" w:cs="Times New Roman"/>
          <w:color w:val="000000" w:themeColor="text1"/>
        </w:rPr>
        <w:t>5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236927">
        <w:rPr>
          <w:rFonts w:ascii="Times New Roman" w:hAnsi="Times New Roman" w:cs="Times New Roman"/>
          <w:color w:val="000000" w:themeColor="text1"/>
        </w:rPr>
        <w:t>8</w:t>
      </w:r>
      <w:r w:rsidR="0023661B">
        <w:rPr>
          <w:rFonts w:ascii="Times New Roman" w:hAnsi="Times New Roman" w:cs="Times New Roman"/>
          <w:color w:val="000000" w:themeColor="text1"/>
        </w:rPr>
        <w:t>6</w:t>
      </w:r>
      <w:r w:rsidR="00236927">
        <w:rPr>
          <w:rFonts w:ascii="Times New Roman" w:hAnsi="Times New Roman" w:cs="Times New Roman"/>
          <w:color w:val="000000" w:themeColor="text1"/>
        </w:rPr>
        <w:t>,</w:t>
      </w:r>
      <w:r w:rsidR="0023661B">
        <w:rPr>
          <w:rFonts w:ascii="Times New Roman" w:hAnsi="Times New Roman" w:cs="Times New Roman"/>
          <w:color w:val="000000" w:themeColor="text1"/>
        </w:rPr>
        <w:t>1</w:t>
      </w:r>
      <w:r w:rsidR="00563170" w:rsidRPr="00C706A5">
        <w:rPr>
          <w:rFonts w:ascii="Times New Roman" w:hAnsi="Times New Roman" w:cs="Times New Roman"/>
          <w:color w:val="000000" w:themeColor="text1"/>
        </w:rPr>
        <w:t>%</w:t>
      </w:r>
      <w:r w:rsidR="00742AC3" w:rsidRPr="00C706A5">
        <w:rPr>
          <w:rFonts w:ascii="Times New Roman" w:hAnsi="Times New Roman" w:cs="Times New Roman"/>
          <w:color w:val="000000" w:themeColor="text1"/>
        </w:rPr>
        <w:t xml:space="preserve"> des ménages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F656E6">
        <w:rPr>
          <w:rFonts w:ascii="Times New Roman" w:hAnsi="Times New Roman" w:cs="Times New Roman"/>
          <w:color w:val="000000" w:themeColor="text1"/>
        </w:rPr>
        <w:t>estiment</w:t>
      </w:r>
      <w:r w:rsidR="00F656E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C706A5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009EE">
        <w:rPr>
          <w:rFonts w:ascii="Times New Roman" w:hAnsi="Times New Roman" w:cs="Times New Roman"/>
          <w:color w:val="000000" w:themeColor="text1"/>
        </w:rPr>
        <w:t>durant les 12 derniers mois</w:t>
      </w:r>
      <w:r w:rsidR="00D77F27">
        <w:rPr>
          <w:rFonts w:ascii="Times New Roman" w:hAnsi="Times New Roman" w:cs="Times New Roman"/>
          <w:color w:val="000000" w:themeColor="text1"/>
        </w:rPr>
        <w:t>, 1</w:t>
      </w:r>
      <w:r w:rsidR="0023661B">
        <w:rPr>
          <w:rFonts w:ascii="Times New Roman" w:hAnsi="Times New Roman" w:cs="Times New Roman"/>
          <w:color w:val="000000" w:themeColor="text1"/>
        </w:rPr>
        <w:t>3</w:t>
      </w:r>
      <w:r w:rsidR="00D77F27">
        <w:rPr>
          <w:rFonts w:ascii="Times New Roman" w:hAnsi="Times New Roman" w:cs="Times New Roman"/>
          <w:color w:val="000000" w:themeColor="text1"/>
        </w:rPr>
        <w:t>,</w:t>
      </w:r>
      <w:r w:rsidR="0023661B">
        <w:rPr>
          <w:rFonts w:ascii="Times New Roman" w:hAnsi="Times New Roman" w:cs="Times New Roman"/>
          <w:color w:val="000000" w:themeColor="text1"/>
        </w:rPr>
        <w:t>1</w:t>
      </w:r>
      <w:r w:rsidR="00D77F27">
        <w:rPr>
          <w:rFonts w:ascii="Times New Roman" w:hAnsi="Times New Roman" w:cs="Times New Roman"/>
          <w:color w:val="000000" w:themeColor="text1"/>
        </w:rPr>
        <w:t xml:space="preserve"> % </w:t>
      </w:r>
      <w:r w:rsidR="00F656E6">
        <w:rPr>
          <w:rFonts w:ascii="Times New Roman" w:hAnsi="Times New Roman" w:cs="Times New Roman"/>
          <w:color w:val="000000" w:themeColor="text1"/>
        </w:rPr>
        <w:t xml:space="preserve">jugent </w:t>
      </w:r>
      <w:r w:rsidR="00D77F27">
        <w:rPr>
          <w:rFonts w:ascii="Times New Roman" w:hAnsi="Times New Roman" w:cs="Times New Roman"/>
          <w:color w:val="000000" w:themeColor="text1"/>
        </w:rPr>
        <w:t>qu’ils ont stagné et 0,</w:t>
      </w:r>
      <w:r w:rsidR="0023661B">
        <w:rPr>
          <w:rFonts w:ascii="Times New Roman" w:hAnsi="Times New Roman" w:cs="Times New Roman"/>
          <w:color w:val="000000" w:themeColor="text1"/>
        </w:rPr>
        <w:t xml:space="preserve">8 </w:t>
      </w:r>
      <w:r w:rsidR="00173781">
        <w:rPr>
          <w:rFonts w:ascii="Times New Roman" w:hAnsi="Times New Roman" w:cs="Times New Roman"/>
          <w:color w:val="000000" w:themeColor="text1"/>
        </w:rPr>
        <w:t xml:space="preserve">% </w:t>
      </w:r>
      <w:r w:rsidR="0064773C">
        <w:rPr>
          <w:rFonts w:ascii="Times New Roman" w:hAnsi="Times New Roman" w:cs="Times New Roman"/>
          <w:color w:val="000000" w:themeColor="text1"/>
        </w:rPr>
        <w:t xml:space="preserve">croient </w:t>
      </w:r>
      <w:r w:rsidR="00D77F27">
        <w:rPr>
          <w:rFonts w:ascii="Times New Roman" w:hAnsi="Times New Roman" w:cs="Times New Roman"/>
          <w:color w:val="000000" w:themeColor="text1"/>
        </w:rPr>
        <w:t>qu’ils ont baissé. Avec un niveau de -8</w:t>
      </w:r>
      <w:r w:rsidR="0065045C">
        <w:rPr>
          <w:rFonts w:ascii="Times New Roman" w:hAnsi="Times New Roman" w:cs="Times New Roman"/>
          <w:color w:val="000000" w:themeColor="text1"/>
        </w:rPr>
        <w:t>5</w:t>
      </w:r>
      <w:r w:rsidR="00D77F27">
        <w:rPr>
          <w:rFonts w:ascii="Times New Roman" w:hAnsi="Times New Roman" w:cs="Times New Roman"/>
          <w:color w:val="000000" w:themeColor="text1"/>
        </w:rPr>
        <w:t>,</w:t>
      </w:r>
      <w:r w:rsidR="0065045C">
        <w:rPr>
          <w:rFonts w:ascii="Times New Roman" w:hAnsi="Times New Roman" w:cs="Times New Roman"/>
          <w:color w:val="000000" w:themeColor="text1"/>
        </w:rPr>
        <w:t>3</w:t>
      </w:r>
      <w:r w:rsidR="00D77F27">
        <w:rPr>
          <w:rFonts w:ascii="Times New Roman" w:hAnsi="Times New Roman" w:cs="Times New Roman"/>
          <w:color w:val="000000" w:themeColor="text1"/>
        </w:rPr>
        <w:t xml:space="preserve"> points, l</w:t>
      </w:r>
      <w:r w:rsidR="006B2086">
        <w:rPr>
          <w:rFonts w:ascii="Times New Roman" w:hAnsi="Times New Roman" w:cs="Times New Roman"/>
          <w:color w:val="000000" w:themeColor="text1"/>
        </w:rPr>
        <w:t>e</w:t>
      </w:r>
      <w:r w:rsidR="00C17A37" w:rsidRPr="00C706A5">
        <w:rPr>
          <w:rFonts w:ascii="Times New Roman" w:hAnsi="Times New Roman" w:cs="Times New Roman"/>
          <w:color w:val="000000" w:themeColor="text1"/>
        </w:rPr>
        <w:t xml:space="preserve"> solde d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e cet indicateur </w:t>
      </w:r>
      <w:r w:rsidR="00513F5E">
        <w:rPr>
          <w:rFonts w:ascii="Times New Roman" w:hAnsi="Times New Roman" w:cs="Times New Roman"/>
          <w:color w:val="000000" w:themeColor="text1"/>
        </w:rPr>
        <w:t xml:space="preserve">s’est </w:t>
      </w:r>
      <w:r w:rsidR="0065045C">
        <w:rPr>
          <w:rFonts w:ascii="Times New Roman" w:hAnsi="Times New Roman" w:cs="Times New Roman"/>
          <w:color w:val="000000" w:themeColor="text1"/>
        </w:rPr>
        <w:t xml:space="preserve">amélioré </w:t>
      </w:r>
      <w:r w:rsidR="0075581F">
        <w:rPr>
          <w:rFonts w:ascii="Times New Roman" w:hAnsi="Times New Roman" w:cs="Times New Roman"/>
          <w:color w:val="000000" w:themeColor="text1"/>
        </w:rPr>
        <w:t xml:space="preserve">de </w:t>
      </w:r>
      <w:r w:rsidR="0065045C">
        <w:rPr>
          <w:rFonts w:ascii="Times New Roman" w:hAnsi="Times New Roman" w:cs="Times New Roman"/>
          <w:color w:val="000000" w:themeColor="text1"/>
        </w:rPr>
        <w:t>1</w:t>
      </w:r>
      <w:r w:rsidR="00236927">
        <w:rPr>
          <w:rFonts w:ascii="Times New Roman" w:hAnsi="Times New Roman" w:cs="Times New Roman"/>
          <w:color w:val="000000" w:themeColor="text1"/>
        </w:rPr>
        <w:t>,</w:t>
      </w:r>
      <w:r w:rsidR="0065045C">
        <w:rPr>
          <w:rFonts w:ascii="Times New Roman" w:hAnsi="Times New Roman" w:cs="Times New Roman"/>
          <w:color w:val="000000" w:themeColor="text1"/>
        </w:rPr>
        <w:t>9</w:t>
      </w:r>
      <w:r w:rsidR="0075581F">
        <w:rPr>
          <w:rFonts w:ascii="Times New Roman" w:hAnsi="Times New Roman" w:cs="Times New Roman"/>
          <w:color w:val="000000" w:themeColor="text1"/>
        </w:rPr>
        <w:t xml:space="preserve"> point</w:t>
      </w:r>
      <w:r w:rsidR="00107E17">
        <w:rPr>
          <w:rFonts w:ascii="Times New Roman" w:hAnsi="Times New Roman" w:cs="Times New Roman"/>
          <w:color w:val="000000" w:themeColor="text1"/>
        </w:rPr>
        <w:t xml:space="preserve"> </w:t>
      </w:r>
      <w:r w:rsidR="0075581F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75581F">
        <w:rPr>
          <w:rFonts w:ascii="Times New Roman" w:hAnsi="Times New Roman" w:cs="Times New Roman"/>
          <w:color w:val="000000" w:themeColor="text1"/>
        </w:rPr>
        <w:t xml:space="preserve"> et </w:t>
      </w:r>
      <w:r w:rsidR="006F2FA8">
        <w:rPr>
          <w:rFonts w:ascii="Times New Roman" w:hAnsi="Times New Roman" w:cs="Times New Roman"/>
          <w:color w:val="000000" w:themeColor="text1"/>
        </w:rPr>
        <w:t xml:space="preserve">s’est </w:t>
      </w:r>
      <w:r w:rsidR="0065045C">
        <w:rPr>
          <w:rFonts w:ascii="Times New Roman" w:hAnsi="Times New Roman" w:cs="Times New Roman"/>
          <w:color w:val="000000" w:themeColor="text1"/>
        </w:rPr>
        <w:t xml:space="preserve">détérioré </w:t>
      </w:r>
      <w:r w:rsidR="006F2FA8">
        <w:rPr>
          <w:rFonts w:ascii="Times New Roman" w:hAnsi="Times New Roman" w:cs="Times New Roman"/>
          <w:color w:val="000000" w:themeColor="text1"/>
        </w:rPr>
        <w:t xml:space="preserve">de </w:t>
      </w:r>
      <w:r w:rsidR="0065045C">
        <w:rPr>
          <w:rFonts w:ascii="Times New Roman" w:hAnsi="Times New Roman" w:cs="Times New Roman"/>
          <w:color w:val="000000" w:themeColor="text1"/>
        </w:rPr>
        <w:t>1</w:t>
      </w:r>
      <w:r w:rsidR="00107E17">
        <w:rPr>
          <w:rFonts w:ascii="Times New Roman" w:hAnsi="Times New Roman" w:cs="Times New Roman"/>
          <w:color w:val="000000" w:themeColor="text1"/>
        </w:rPr>
        <w:t>,2</w:t>
      </w:r>
      <w:r w:rsidR="00C427E9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>point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 xml:space="preserve">par rapport au même trimestre de </w:t>
      </w:r>
      <w:r w:rsidR="00FF44FD">
        <w:rPr>
          <w:rFonts w:ascii="Times New Roman" w:hAnsi="Times New Roman" w:cs="Times New Roman"/>
          <w:color w:val="000000" w:themeColor="text1"/>
        </w:rPr>
        <w:t>201</w:t>
      </w:r>
      <w:r w:rsidR="00107E17">
        <w:rPr>
          <w:rFonts w:ascii="Times New Roman" w:hAnsi="Times New Roman" w:cs="Times New Roman"/>
          <w:color w:val="000000" w:themeColor="text1"/>
        </w:rPr>
        <w:t>4</w:t>
      </w:r>
      <w:r w:rsidR="00A21054" w:rsidRPr="00C706A5">
        <w:rPr>
          <w:rFonts w:ascii="Times New Roman" w:hAnsi="Times New Roman" w:cs="Times New Roman"/>
          <w:color w:val="000000" w:themeColor="text1"/>
        </w:rPr>
        <w:t>.</w:t>
      </w:r>
    </w:p>
    <w:p w:rsidR="00844D2C" w:rsidRDefault="00844D2C" w:rsidP="00506E8E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C5D13" w:rsidRPr="00C706A5" w:rsidRDefault="006B2086" w:rsidP="00DB0E7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S’agissant des</w:t>
      </w:r>
      <w:r w:rsidR="00700954" w:rsidRPr="00C706A5">
        <w:rPr>
          <w:rFonts w:ascii="Times New Roman" w:hAnsi="Times New Roman" w:cs="Times New Roman"/>
          <w:color w:val="000000" w:themeColor="text1"/>
        </w:rPr>
        <w:t xml:space="preserve"> perspectives d’évolution des prix des produits alimentaires, </w:t>
      </w:r>
      <w:r w:rsidR="002A7E5D">
        <w:rPr>
          <w:rFonts w:ascii="Times New Roman" w:hAnsi="Times New Roman" w:cs="Times New Roman"/>
          <w:color w:val="000000" w:themeColor="text1"/>
        </w:rPr>
        <w:t>7</w:t>
      </w:r>
      <w:r w:rsidR="00995616">
        <w:rPr>
          <w:rFonts w:ascii="Times New Roman" w:hAnsi="Times New Roman" w:cs="Times New Roman"/>
          <w:color w:val="000000" w:themeColor="text1"/>
        </w:rPr>
        <w:t>7</w:t>
      </w:r>
      <w:r w:rsidR="002A7E5D">
        <w:rPr>
          <w:rFonts w:ascii="Times New Roman" w:hAnsi="Times New Roman" w:cs="Times New Roman"/>
          <w:color w:val="000000" w:themeColor="text1"/>
        </w:rPr>
        <w:t>%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A7E5D">
        <w:rPr>
          <w:rFonts w:ascii="Times New Roman" w:hAnsi="Times New Roman" w:cs="Times New Roman"/>
          <w:color w:val="000000" w:themeColor="text1"/>
        </w:rPr>
        <w:t xml:space="preserve">des ménages </w:t>
      </w:r>
      <w:r w:rsidR="002A1C56" w:rsidRPr="00C706A5">
        <w:rPr>
          <w:rFonts w:ascii="Times New Roman" w:hAnsi="Times New Roman" w:cs="Times New Roman"/>
          <w:color w:val="000000" w:themeColor="text1"/>
        </w:rPr>
        <w:t>pensent qu</w:t>
      </w:r>
      <w:r w:rsidR="00B42576">
        <w:rPr>
          <w:rFonts w:ascii="Times New Roman" w:hAnsi="Times New Roman" w:cs="Times New Roman"/>
          <w:color w:val="000000" w:themeColor="text1"/>
        </w:rPr>
        <w:t xml:space="preserve">’ils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continueront à augmenter dans le futur 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995616">
        <w:rPr>
          <w:rFonts w:ascii="Times New Roman" w:hAnsi="Times New Roman" w:cs="Times New Roman"/>
          <w:color w:val="000000" w:themeColor="text1"/>
        </w:rPr>
        <w:t>21,6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8D3987">
        <w:rPr>
          <w:rFonts w:ascii="Times New Roman" w:hAnsi="Times New Roman" w:cs="Times New Roman"/>
          <w:color w:val="000000" w:themeColor="text1"/>
        </w:rPr>
        <w:t xml:space="preserve">qui prévoient leur stagnation et </w:t>
      </w:r>
      <w:r w:rsidR="00565E32">
        <w:rPr>
          <w:rFonts w:ascii="Times New Roman" w:hAnsi="Times New Roman" w:cs="Times New Roman"/>
          <w:color w:val="000000" w:themeColor="text1"/>
        </w:rPr>
        <w:t>1</w:t>
      </w:r>
      <w:r w:rsidR="008D3987">
        <w:rPr>
          <w:rFonts w:ascii="Times New Roman" w:hAnsi="Times New Roman" w:cs="Times New Roman"/>
          <w:color w:val="000000" w:themeColor="text1"/>
        </w:rPr>
        <w:t>,</w:t>
      </w:r>
      <w:r w:rsidR="00995616">
        <w:rPr>
          <w:rFonts w:ascii="Times New Roman" w:hAnsi="Times New Roman" w:cs="Times New Roman"/>
          <w:color w:val="000000" w:themeColor="text1"/>
        </w:rPr>
        <w:t>4</w:t>
      </w:r>
      <w:r w:rsidR="008D3987">
        <w:rPr>
          <w:rFonts w:ascii="Times New Roman" w:hAnsi="Times New Roman" w:cs="Times New Roman"/>
          <w:color w:val="000000" w:themeColor="text1"/>
        </w:rPr>
        <w:t xml:space="preserve">% </w:t>
      </w:r>
      <w:r w:rsidR="00B42576">
        <w:rPr>
          <w:rFonts w:ascii="Times New Roman" w:hAnsi="Times New Roman" w:cs="Times New Roman"/>
          <w:color w:val="000000" w:themeColor="text1"/>
        </w:rPr>
        <w:t>leur b</w:t>
      </w:r>
      <w:r w:rsidR="008D3987">
        <w:rPr>
          <w:rFonts w:ascii="Times New Roman" w:hAnsi="Times New Roman" w:cs="Times New Roman"/>
          <w:color w:val="000000" w:themeColor="text1"/>
        </w:rPr>
        <w:t xml:space="preserve">aisse. </w:t>
      </w:r>
      <w:r w:rsidR="00511BC9">
        <w:rPr>
          <w:rFonts w:ascii="Times New Roman" w:hAnsi="Times New Roman" w:cs="Times New Roman"/>
          <w:color w:val="000000" w:themeColor="text1"/>
        </w:rPr>
        <w:t>Avec -7</w:t>
      </w:r>
      <w:r w:rsidR="00995616">
        <w:rPr>
          <w:rFonts w:ascii="Times New Roman" w:hAnsi="Times New Roman" w:cs="Times New Roman"/>
          <w:color w:val="000000" w:themeColor="text1"/>
        </w:rPr>
        <w:t>5</w:t>
      </w:r>
      <w:r w:rsidR="00511BC9">
        <w:rPr>
          <w:rFonts w:ascii="Times New Roman" w:hAnsi="Times New Roman" w:cs="Times New Roman"/>
          <w:color w:val="000000" w:themeColor="text1"/>
        </w:rPr>
        <w:t>,</w:t>
      </w:r>
      <w:r w:rsidR="00995616">
        <w:rPr>
          <w:rFonts w:ascii="Times New Roman" w:hAnsi="Times New Roman" w:cs="Times New Roman"/>
          <w:color w:val="000000" w:themeColor="text1"/>
        </w:rPr>
        <w:t>6</w:t>
      </w:r>
      <w:r w:rsidR="00511BC9">
        <w:rPr>
          <w:rFonts w:ascii="Times New Roman" w:hAnsi="Times New Roman" w:cs="Times New Roman"/>
          <w:color w:val="000000" w:themeColor="text1"/>
        </w:rPr>
        <w:t xml:space="preserve"> points, l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e solde </w:t>
      </w:r>
      <w:r w:rsidR="003A52E9" w:rsidRPr="00C706A5">
        <w:rPr>
          <w:rFonts w:ascii="Times New Roman" w:hAnsi="Times New Roman" w:cs="Times New Roman"/>
          <w:color w:val="000000" w:themeColor="text1"/>
        </w:rPr>
        <w:t xml:space="preserve"> relatif aux perspectives d’évolution </w:t>
      </w:r>
      <w:r w:rsidR="002A1C56" w:rsidRPr="00C706A5">
        <w:rPr>
          <w:rFonts w:ascii="Times New Roman" w:hAnsi="Times New Roman" w:cs="Times New Roman"/>
          <w:color w:val="000000" w:themeColor="text1"/>
        </w:rPr>
        <w:t>de</w:t>
      </w:r>
      <w:r w:rsidR="00511BC9">
        <w:rPr>
          <w:rFonts w:ascii="Times New Roman" w:hAnsi="Times New Roman" w:cs="Times New Roman"/>
          <w:color w:val="000000" w:themeColor="text1"/>
        </w:rPr>
        <w:t xml:space="preserve">s </w:t>
      </w:r>
      <w:r w:rsidR="002A1C56" w:rsidRPr="00C706A5">
        <w:rPr>
          <w:rFonts w:ascii="Times New Roman" w:hAnsi="Times New Roman" w:cs="Times New Roman"/>
          <w:color w:val="000000" w:themeColor="text1"/>
        </w:rPr>
        <w:t>prix</w:t>
      </w:r>
      <w:r w:rsidR="008D3987">
        <w:rPr>
          <w:rFonts w:ascii="Times New Roman" w:hAnsi="Times New Roman" w:cs="Times New Roman"/>
          <w:color w:val="000000" w:themeColor="text1"/>
        </w:rPr>
        <w:t xml:space="preserve"> </w:t>
      </w:r>
      <w:r w:rsidR="00D04545">
        <w:rPr>
          <w:rFonts w:ascii="Times New Roman" w:hAnsi="Times New Roman" w:cs="Times New Roman"/>
          <w:color w:val="000000" w:themeColor="text1"/>
        </w:rPr>
        <w:t xml:space="preserve">gagne 1,6 point </w:t>
      </w:r>
      <w:r w:rsidR="00C95A6B">
        <w:rPr>
          <w:rFonts w:ascii="Times New Roman" w:hAnsi="Times New Roman" w:cs="Times New Roman"/>
          <w:color w:val="000000" w:themeColor="text1"/>
        </w:rPr>
        <w:t xml:space="preserve">par rapport au trimestre précédent </w:t>
      </w:r>
      <w:r w:rsidR="00D04545">
        <w:rPr>
          <w:rFonts w:ascii="Times New Roman" w:hAnsi="Times New Roman" w:cs="Times New Roman"/>
          <w:color w:val="000000" w:themeColor="text1"/>
        </w:rPr>
        <w:t xml:space="preserve">et 2,4 points par rapport </w:t>
      </w:r>
      <w:r w:rsidR="00C95A6B">
        <w:rPr>
          <w:rFonts w:ascii="Times New Roman" w:hAnsi="Times New Roman" w:cs="Times New Roman"/>
          <w:color w:val="000000" w:themeColor="text1"/>
        </w:rPr>
        <w:t xml:space="preserve">au même trimestre de l’année </w:t>
      </w:r>
      <w:r w:rsidR="00387270">
        <w:rPr>
          <w:rFonts w:ascii="Times New Roman" w:hAnsi="Times New Roman" w:cs="Times New Roman"/>
          <w:color w:val="000000" w:themeColor="text1"/>
        </w:rPr>
        <w:t>passée</w:t>
      </w:r>
      <w:r w:rsidR="00D04545">
        <w:rPr>
          <w:rFonts w:ascii="Times New Roman" w:hAnsi="Times New Roman" w:cs="Times New Roman"/>
          <w:color w:val="000000" w:themeColor="text1"/>
        </w:rPr>
        <w:t>.</w:t>
      </w:r>
      <w:r w:rsidR="00995616">
        <w:rPr>
          <w:rFonts w:ascii="Times New Roman" w:hAnsi="Times New Roman" w:cs="Times New Roman"/>
          <w:color w:val="000000" w:themeColor="text1"/>
        </w:rPr>
        <w:t xml:space="preserve"> </w:t>
      </w:r>
      <w:r w:rsidR="00BC5D13" w:rsidRPr="00C706A5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="00C72318" w:rsidRPr="00C706A5">
        <w:rPr>
          <w:noProof/>
          <w:color w:val="000000" w:themeColor="text1"/>
        </w:rPr>
        <w:t xml:space="preserve"> </w:t>
      </w:r>
      <w:r w:rsidR="00C21ABF" w:rsidRPr="00C21ABF">
        <w:rPr>
          <w:noProof/>
        </w:rPr>
        <w:t xml:space="preserve"> </w:t>
      </w:r>
    </w:p>
    <w:p w:rsidR="006013E0" w:rsidRDefault="0069760B" w:rsidP="00DB0E7C">
      <w:pPr>
        <w:widowControl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57ECB">
        <w:rPr>
          <w:rFonts w:ascii="Times New Roman" w:hAnsi="Times New Roman" w:cs="Times New Roman"/>
          <w:color w:val="000000" w:themeColor="text1"/>
        </w:rPr>
        <w:t xml:space="preserve">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57ECB">
        <w:rPr>
          <w:rFonts w:ascii="Times New Roman" w:hAnsi="Times New Roman" w:cs="Times New Roman"/>
          <w:color w:val="000000" w:themeColor="text1"/>
        </w:rPr>
        <w:t xml:space="preserve">   </w:t>
      </w:r>
    </w:p>
    <w:p w:rsidR="00440D16" w:rsidRDefault="00440D16" w:rsidP="0069760B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6013E0" w:rsidRDefault="00440D16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40D16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477000" cy="3409950"/>
            <wp:effectExtent l="19050" t="0" r="19050" b="0"/>
            <wp:docPr id="12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1290" w:rsidRDefault="003A1290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C72318" w:rsidRPr="00C706A5" w:rsidRDefault="00C72318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p w:rsidR="009D209A" w:rsidRPr="00C706A5" w:rsidRDefault="009D209A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D209A" w:rsidRPr="00C706A5" w:rsidSect="005B1014">
          <w:footerReference w:type="default" r:id="rId14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B623D5" w:rsidRPr="00C706A5" w:rsidRDefault="00B623D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ACC" w:rsidRDefault="005D5B33" w:rsidP="002F5E45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Evolution de l’I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ndice de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onfiance des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énages  (ICM)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 de ses composantes</w:t>
      </w:r>
    </w:p>
    <w:tbl>
      <w:tblPr>
        <w:tblW w:w="5315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857"/>
        <w:gridCol w:w="531"/>
        <w:gridCol w:w="426"/>
        <w:gridCol w:w="426"/>
        <w:gridCol w:w="426"/>
        <w:gridCol w:w="426"/>
        <w:gridCol w:w="423"/>
        <w:gridCol w:w="426"/>
        <w:gridCol w:w="423"/>
        <w:gridCol w:w="426"/>
        <w:gridCol w:w="426"/>
        <w:gridCol w:w="426"/>
        <w:gridCol w:w="423"/>
        <w:gridCol w:w="426"/>
        <w:gridCol w:w="426"/>
        <w:gridCol w:w="410"/>
        <w:gridCol w:w="413"/>
        <w:gridCol w:w="400"/>
        <w:gridCol w:w="400"/>
        <w:gridCol w:w="400"/>
        <w:gridCol w:w="413"/>
        <w:gridCol w:w="400"/>
        <w:gridCol w:w="400"/>
        <w:gridCol w:w="400"/>
        <w:gridCol w:w="413"/>
        <w:gridCol w:w="400"/>
        <w:gridCol w:w="400"/>
        <w:gridCol w:w="400"/>
        <w:gridCol w:w="413"/>
        <w:gridCol w:w="472"/>
        <w:gridCol w:w="466"/>
      </w:tblGrid>
      <w:tr w:rsidR="007C34A5" w:rsidRPr="0069760B" w:rsidTr="002A0DFB">
        <w:trPr>
          <w:trHeight w:val="525"/>
          <w:jc w:val="center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A5" w:rsidRPr="0069760B" w:rsidRDefault="007C34A5" w:rsidP="00B16E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Indicateur</w:t>
            </w:r>
          </w:p>
        </w:tc>
        <w:tc>
          <w:tcPr>
            <w:tcW w:w="5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A5" w:rsidRPr="0069760B" w:rsidRDefault="007C34A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A5" w:rsidRPr="0069760B" w:rsidRDefault="007C34A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A5" w:rsidRPr="0069760B" w:rsidRDefault="007C34A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A5" w:rsidRPr="0069760B" w:rsidRDefault="007C34A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A5" w:rsidRPr="0069760B" w:rsidRDefault="007C34A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A5" w:rsidRPr="0069760B" w:rsidRDefault="007C34A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A5" w:rsidRPr="0069760B" w:rsidRDefault="007C34A5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4A5" w:rsidRDefault="007C34A5" w:rsidP="00697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7C34A5" w:rsidRPr="0069760B" w:rsidRDefault="007C34A5" w:rsidP="00697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2015</w:t>
            </w:r>
          </w:p>
        </w:tc>
      </w:tr>
      <w:tr w:rsidR="002A0DFB" w:rsidRPr="0069760B" w:rsidTr="002A0DFB">
        <w:trPr>
          <w:trHeight w:val="525"/>
          <w:jc w:val="center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37" w:rsidRPr="0069760B" w:rsidRDefault="002A4737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T1/08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T2/08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T3/08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T4/08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T2/09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T4/09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T1/11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T2/11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T3/11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T4/11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T1/12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T2/12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T4/12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T1/13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T2/13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T3/13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T4/13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T1/14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T2/14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T3/14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890C24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T4/14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890C24" w:rsidRDefault="002A4737" w:rsidP="009465B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T1/15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890C24" w:rsidRDefault="002A4737" w:rsidP="005D3E5E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T</w:t>
            </w:r>
            <w:r w:rsidR="005D3E5E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2</w:t>
            </w:r>
            <w:r w:rsidRPr="00890C24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/15</w:t>
            </w:r>
          </w:p>
        </w:tc>
      </w:tr>
      <w:tr w:rsidR="002A0DFB" w:rsidRPr="0069760B" w:rsidTr="002A0DFB">
        <w:trPr>
          <w:trHeight w:val="525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5426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de Confiance des Ménages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ind w:left="-6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9760B">
              <w:rPr>
                <w:rFonts w:ascii="Calibri" w:hAnsi="Calibri"/>
                <w:b/>
                <w:bCs/>
                <w:sz w:val="16"/>
                <w:szCs w:val="16"/>
              </w:rPr>
              <w:t>74,0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9465B6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73,7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5D3E5E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5D3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5D3E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2A0DFB" w:rsidRPr="0069760B" w:rsidTr="002A0DFB">
        <w:trPr>
          <w:trHeight w:val="593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Perspectives d'évolution du nombre de chômeurs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-52,1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-51,6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-51,1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-59,1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-57,9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-57,5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-59,2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-61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-52,3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-52,4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-46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-41</w:t>
            </w:r>
            <w:r w:rsidR="004A2333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-41,6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-44,1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-48,6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-58,1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-61,7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-67,8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-69,8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-68,2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-69,1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-66,5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-68,8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-68,0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9465B6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-65,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-6</w:t>
            </w:r>
            <w:r w:rsidR="005D3E5E"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="005D3E5E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2A0DFB" w:rsidRPr="0069760B" w:rsidTr="002A0DFB">
        <w:trPr>
          <w:trHeight w:val="601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du niveau de vie en général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-10,4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-25,2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-36,7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-25,7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-26,5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-25,7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-28,6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-27,9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-37,2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-26,1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-17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-13,4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-20,2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-26,2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-21,8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-27,9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-28,1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-23,1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-21,2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-19,9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-18,1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-17,7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-17,4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-16,5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9465B6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-14,1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-1</w:t>
            </w:r>
            <w:r w:rsidR="005D3E5E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="005D3E5E">
              <w:rPr>
                <w:rFonts w:ascii="Arial" w:hAnsi="Arial" w:cs="Arial"/>
                <w:color w:val="000000" w:themeColor="text1"/>
                <w:sz w:val="14"/>
                <w:szCs w:val="14"/>
              </w:rPr>
              <w:t>8</w:t>
            </w:r>
          </w:p>
        </w:tc>
      </w:tr>
      <w:tr w:rsidR="002A0DFB" w:rsidRPr="0069760B" w:rsidTr="002A0DFB">
        <w:trPr>
          <w:trHeight w:val="58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Perspectives d'évolution du niveau de vie en général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14,4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-21,4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-9,3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2,2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2,7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0,2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-1,9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18,1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11,9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13,1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11,2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4A2333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-1,2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-4,2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-7,9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-11,4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-13,1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-13,1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-12,7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9465B6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-8,8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</w:t>
            </w:r>
            <w:r w:rsidR="005D3E5E">
              <w:rPr>
                <w:rFonts w:ascii="Arial" w:hAnsi="Arial" w:cs="Arial"/>
                <w:color w:val="000000" w:themeColor="text1"/>
                <w:sz w:val="14"/>
                <w:szCs w:val="14"/>
              </w:rPr>
              <w:t>7,3</w:t>
            </w:r>
          </w:p>
        </w:tc>
      </w:tr>
      <w:tr w:rsidR="002A0DFB" w:rsidRPr="0069760B" w:rsidTr="002A0DFB">
        <w:trPr>
          <w:trHeight w:val="541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Opportunité d'achat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-34,3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-37,5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-39,1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-41,8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-46,5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-43,4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-42,6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-34,8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-37,5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-44,3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-39,9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-39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-36,4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-38,5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-32,5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-37,4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-28,3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-31,7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-31,8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-31,3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-28,9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-33,1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-38,1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9465B6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-3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33518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-3</w:t>
            </w:r>
            <w:r w:rsidR="005D3E5E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  <w:r w:rsidR="008F1A4F"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="008F1A4F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2A0DFB" w:rsidRPr="0069760B" w:rsidTr="002A0DFB">
        <w:trPr>
          <w:trHeight w:val="653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Situation financière actuelle des ménages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-33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-32,9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-34,4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-33,1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-31,3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-26,9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-28,3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-25,3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-27,5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-27,6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-28,1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-30,6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-27,1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-24,3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-25,7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-25,4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-30,8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-30,2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-31,3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-29,7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-28,3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-30,6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9465B6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-32,4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</w:t>
            </w:r>
            <w:r w:rsidR="005D3E5E">
              <w:rPr>
                <w:rFonts w:ascii="Arial" w:hAnsi="Arial" w:cs="Arial"/>
                <w:color w:val="000000" w:themeColor="text1"/>
                <w:sz w:val="14"/>
                <w:szCs w:val="14"/>
              </w:rPr>
              <w:t>28</w:t>
            </w: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="005D3E5E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2A0DFB" w:rsidRPr="0069760B" w:rsidTr="002A0DFB">
        <w:trPr>
          <w:trHeight w:val="744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 de la situation financière des ménages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-11,8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-11,7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-18,4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-13,4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-8,3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-10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-7,9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-7,5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-12,8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-10,5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-8,9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-9,8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-14,1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-16,6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-16,7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-15,7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-19,6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-23,8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-21,9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-21,9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-21,3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-23,3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-25 ,8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9465B6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-27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-2</w:t>
            </w:r>
            <w:r w:rsidR="005D3E5E">
              <w:rPr>
                <w:rFonts w:ascii="Arial" w:hAnsi="Arial" w:cs="Arial"/>
                <w:color w:val="000000" w:themeColor="text1"/>
                <w:sz w:val="14"/>
                <w:szCs w:val="14"/>
              </w:rPr>
              <w:t>0.2</w:t>
            </w:r>
          </w:p>
        </w:tc>
      </w:tr>
      <w:tr w:rsidR="002A0DFB" w:rsidRPr="0069760B" w:rsidTr="002A0DFB">
        <w:trPr>
          <w:trHeight w:val="746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future de la situation financière des ménages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23,9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15,6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16,6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26,7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26,8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17,5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17,1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17,8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11,8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9,4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10,2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20,4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15,1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11,2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7,7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10,6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4,5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0,7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-1,7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1,2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-2,7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9465B6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0,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5D3E5E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4,2</w:t>
            </w:r>
          </w:p>
        </w:tc>
      </w:tr>
      <w:tr w:rsidR="005D3E5E" w:rsidRPr="0069760B" w:rsidTr="005D3E5E">
        <w:trPr>
          <w:trHeight w:val="425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E" w:rsidRDefault="005D3E5E" w:rsidP="005D3E5E">
            <w:pPr>
              <w:widowControl/>
              <w:autoSpaceDE/>
              <w:autoSpaceDN/>
              <w:adjustRightInd/>
              <w:spacing w:line="276" w:lineRule="auto"/>
              <w:ind w:left="-6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5D3E5E" w:rsidRPr="0069760B" w:rsidRDefault="005D3E5E" w:rsidP="005D3E5E">
            <w:pPr>
              <w:widowControl/>
              <w:autoSpaceDE/>
              <w:autoSpaceDN/>
              <w:adjustRightInd/>
              <w:spacing w:line="276" w:lineRule="auto"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17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Autres soldes</w:t>
            </w:r>
          </w:p>
        </w:tc>
      </w:tr>
      <w:tr w:rsidR="002A0DFB" w:rsidRPr="0069760B" w:rsidTr="002A0DFB">
        <w:trPr>
          <w:trHeight w:val="334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future des prix des produits alimentaires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-74,1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-77,7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-78,9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-49,7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-34,9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-33,5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-50,9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-47,9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-46,5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-62,2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-70,2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-73,4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-58,8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-72,6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-73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-69,8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-71,5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-73,6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-70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-76,1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-73,4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-76,0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-76,0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-77,6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-78,0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-76,9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-77,2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9465B6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-77,2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-7</w:t>
            </w:r>
            <w:r w:rsidR="005D3E5E">
              <w:rPr>
                <w:rFonts w:ascii="Arial" w:hAnsi="Arial" w:cs="Arial"/>
                <w:color w:val="000000" w:themeColor="text1"/>
                <w:sz w:val="14"/>
                <w:szCs w:val="14"/>
              </w:rPr>
              <w:t>5.6</w:t>
            </w:r>
          </w:p>
        </w:tc>
      </w:tr>
      <w:tr w:rsidR="002A0DFB" w:rsidRPr="0069760B" w:rsidTr="002A0DFB">
        <w:trPr>
          <w:trHeight w:val="708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des prix des produits alimentaires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-93,6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-95,9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-98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-96,2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-94</w:t>
            </w:r>
            <w:r w:rsidR="00B4597A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-87,2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-85,7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-83,3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-79,5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-87,8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-89,7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-90,9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-95,5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-87,2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-89,9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-92,5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-91,6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-91,1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-91,7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-90,6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-91,6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-89,0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-90,5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-90,8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-89,4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-84,1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-81,8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-84,5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9465B6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-87,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5D3E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-8</w:t>
            </w:r>
            <w:r w:rsidR="005D3E5E">
              <w:rPr>
                <w:rFonts w:ascii="Arial" w:hAnsi="Arial" w:cs="Arial"/>
                <w:color w:val="000000" w:themeColor="text1"/>
                <w:sz w:val="14"/>
                <w:szCs w:val="14"/>
              </w:rPr>
              <w:t>5</w:t>
            </w: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="005D3E5E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</w:tr>
      <w:tr w:rsidR="002A0DFB" w:rsidRPr="0069760B" w:rsidTr="002A0DFB">
        <w:trPr>
          <w:trHeight w:val="317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37" w:rsidRPr="0069760B" w:rsidRDefault="002A4737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Capacité à épargner des ménages dans les mois à venir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-61,2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-61,3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-60,7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-57,1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-57,8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-58,5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-61,1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-67,6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-66,6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-61,7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-63,3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-64,9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-64,7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-62,5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-63,5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-65,3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-64,5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-67,0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-70,3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-69,1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-66,7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-66,6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-70,2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-71,1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9465B6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-69,8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37" w:rsidRPr="0069760B" w:rsidRDefault="002A4737" w:rsidP="003C205E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-6</w:t>
            </w:r>
            <w:r w:rsidR="005D3E5E"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="003C205E">
              <w:rPr>
                <w:rFonts w:ascii="Arial" w:hAnsi="Arial" w:cs="Arial"/>
                <w:color w:val="000000" w:themeColor="text1"/>
                <w:sz w:val="14"/>
                <w:szCs w:val="14"/>
              </w:rPr>
              <w:t>4</w:t>
            </w:r>
          </w:p>
        </w:tc>
      </w:tr>
    </w:tbl>
    <w:p w:rsidR="005D5B33" w:rsidRPr="00C706A5" w:rsidRDefault="005D5B33" w:rsidP="00F04758">
      <w:pPr>
        <w:rPr>
          <w:rFonts w:ascii="Calibri" w:hAnsi="Calibri" w:cs="Times New Roman"/>
          <w:color w:val="000000" w:themeColor="text1"/>
          <w:szCs w:val="22"/>
        </w:rPr>
        <w:sectPr w:rsidR="005D5B33" w:rsidRPr="00C706A5" w:rsidSect="005D5B3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Y="289"/>
        <w:tblW w:w="10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91"/>
      </w:tblGrid>
      <w:tr w:rsidR="008D7771" w:rsidRPr="00C706A5" w:rsidTr="001133D2">
        <w:trPr>
          <w:trHeight w:val="6511"/>
        </w:trPr>
        <w:tc>
          <w:tcPr>
            <w:tcW w:w="10791" w:type="dxa"/>
          </w:tcPr>
          <w:p w:rsidR="001133D2" w:rsidRDefault="001133D2" w:rsidP="008D77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 que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les questions abordées sont qualitatives à 3 modalités (amélioration, stagnation,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2C768B" w:rsidRPr="0074699A" w:rsidRDefault="002C768B" w:rsidP="0074699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Des tests statistiques de Fisher</w:t>
            </w:r>
            <w:r w:rsidR="0074699A"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2014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A3867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confirmé l’absence des variations saisonnières stables et mobiles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5" w:history="1">
              <w:r w:rsidRPr="00C706A5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B8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AA0" w:rsidRDefault="00CB6AA0" w:rsidP="00460705">
      <w:r>
        <w:separator/>
      </w:r>
    </w:p>
  </w:endnote>
  <w:endnote w:type="continuationSeparator" w:id="1">
    <w:p w:rsidR="00CB6AA0" w:rsidRDefault="00CB6AA0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9A7F14" w:rsidRDefault="00806401">
        <w:pPr>
          <w:pStyle w:val="Pieddepage"/>
          <w:jc w:val="center"/>
        </w:pPr>
        <w:fldSimple w:instr=" PAGE   \* MERGEFORMAT ">
          <w:r w:rsidR="0016005A">
            <w:rPr>
              <w:noProof/>
            </w:rPr>
            <w:t>2</w:t>
          </w:r>
        </w:fldSimple>
      </w:p>
    </w:sdtContent>
  </w:sdt>
  <w:p w:rsidR="00BA05AF" w:rsidRDefault="00BA05A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AA0" w:rsidRDefault="00CB6AA0" w:rsidP="00460705">
      <w:r>
        <w:separator/>
      </w:r>
    </w:p>
  </w:footnote>
  <w:footnote w:type="continuationSeparator" w:id="1">
    <w:p w:rsidR="00CB6AA0" w:rsidRDefault="00CB6AA0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3212"/>
    <w:multiLevelType w:val="hybridMultilevel"/>
    <w:tmpl w:val="80FE2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04"/>
    <w:rsid w:val="000016A1"/>
    <w:rsid w:val="000023E0"/>
    <w:rsid w:val="00002F9B"/>
    <w:rsid w:val="00003F54"/>
    <w:rsid w:val="000069AE"/>
    <w:rsid w:val="00011A0E"/>
    <w:rsid w:val="00011BC4"/>
    <w:rsid w:val="00011F4E"/>
    <w:rsid w:val="00014940"/>
    <w:rsid w:val="00015112"/>
    <w:rsid w:val="000151DD"/>
    <w:rsid w:val="00016F90"/>
    <w:rsid w:val="000174FE"/>
    <w:rsid w:val="00017526"/>
    <w:rsid w:val="0001754D"/>
    <w:rsid w:val="00022644"/>
    <w:rsid w:val="00023DE5"/>
    <w:rsid w:val="00024686"/>
    <w:rsid w:val="0002532B"/>
    <w:rsid w:val="00025F15"/>
    <w:rsid w:val="000265CF"/>
    <w:rsid w:val="000315FD"/>
    <w:rsid w:val="00031CFB"/>
    <w:rsid w:val="000324B4"/>
    <w:rsid w:val="00032AF9"/>
    <w:rsid w:val="00032ECD"/>
    <w:rsid w:val="000356C1"/>
    <w:rsid w:val="000364EF"/>
    <w:rsid w:val="00036F7C"/>
    <w:rsid w:val="0003703D"/>
    <w:rsid w:val="000370B6"/>
    <w:rsid w:val="0004211E"/>
    <w:rsid w:val="00043430"/>
    <w:rsid w:val="0004437F"/>
    <w:rsid w:val="000451AC"/>
    <w:rsid w:val="00046C56"/>
    <w:rsid w:val="00046EB3"/>
    <w:rsid w:val="00047B2B"/>
    <w:rsid w:val="00051534"/>
    <w:rsid w:val="000518A6"/>
    <w:rsid w:val="00051B80"/>
    <w:rsid w:val="00052C8E"/>
    <w:rsid w:val="00055B18"/>
    <w:rsid w:val="0005628D"/>
    <w:rsid w:val="000569E9"/>
    <w:rsid w:val="00056F4A"/>
    <w:rsid w:val="00057262"/>
    <w:rsid w:val="00057BC7"/>
    <w:rsid w:val="00057E1A"/>
    <w:rsid w:val="00061CA4"/>
    <w:rsid w:val="00062779"/>
    <w:rsid w:val="00064021"/>
    <w:rsid w:val="000646B0"/>
    <w:rsid w:val="00066E22"/>
    <w:rsid w:val="00067347"/>
    <w:rsid w:val="00067D35"/>
    <w:rsid w:val="000706EE"/>
    <w:rsid w:val="000712A9"/>
    <w:rsid w:val="000720FD"/>
    <w:rsid w:val="00072708"/>
    <w:rsid w:val="00072CF2"/>
    <w:rsid w:val="00072F7C"/>
    <w:rsid w:val="00073079"/>
    <w:rsid w:val="000749D1"/>
    <w:rsid w:val="000779C2"/>
    <w:rsid w:val="00077CAA"/>
    <w:rsid w:val="0008224D"/>
    <w:rsid w:val="00082D2E"/>
    <w:rsid w:val="000836A6"/>
    <w:rsid w:val="0008574A"/>
    <w:rsid w:val="000877E9"/>
    <w:rsid w:val="00087DA2"/>
    <w:rsid w:val="00090FCF"/>
    <w:rsid w:val="00090FEC"/>
    <w:rsid w:val="00091D64"/>
    <w:rsid w:val="00091FB9"/>
    <w:rsid w:val="00093D84"/>
    <w:rsid w:val="00097300"/>
    <w:rsid w:val="00097799"/>
    <w:rsid w:val="0009797C"/>
    <w:rsid w:val="00097D75"/>
    <w:rsid w:val="000A0177"/>
    <w:rsid w:val="000A0881"/>
    <w:rsid w:val="000A14AD"/>
    <w:rsid w:val="000A158A"/>
    <w:rsid w:val="000A20DC"/>
    <w:rsid w:val="000A40C3"/>
    <w:rsid w:val="000A5F4A"/>
    <w:rsid w:val="000A62F9"/>
    <w:rsid w:val="000B0844"/>
    <w:rsid w:val="000B09BA"/>
    <w:rsid w:val="000B1487"/>
    <w:rsid w:val="000B16D1"/>
    <w:rsid w:val="000B552C"/>
    <w:rsid w:val="000C0C01"/>
    <w:rsid w:val="000C39F9"/>
    <w:rsid w:val="000C439F"/>
    <w:rsid w:val="000C4C0E"/>
    <w:rsid w:val="000C56EA"/>
    <w:rsid w:val="000C7F17"/>
    <w:rsid w:val="000D1CF5"/>
    <w:rsid w:val="000D24FA"/>
    <w:rsid w:val="000D2586"/>
    <w:rsid w:val="000D2E52"/>
    <w:rsid w:val="000D341B"/>
    <w:rsid w:val="000D367A"/>
    <w:rsid w:val="000D4077"/>
    <w:rsid w:val="000D5638"/>
    <w:rsid w:val="000D5AB2"/>
    <w:rsid w:val="000D5B0A"/>
    <w:rsid w:val="000E10E0"/>
    <w:rsid w:val="000E17D9"/>
    <w:rsid w:val="000E20BC"/>
    <w:rsid w:val="000E21A1"/>
    <w:rsid w:val="000E4DC7"/>
    <w:rsid w:val="000F0919"/>
    <w:rsid w:val="000F0DB1"/>
    <w:rsid w:val="000F184A"/>
    <w:rsid w:val="000F2945"/>
    <w:rsid w:val="000F2B60"/>
    <w:rsid w:val="000F6CE8"/>
    <w:rsid w:val="000F70E8"/>
    <w:rsid w:val="000F74C5"/>
    <w:rsid w:val="000F7A57"/>
    <w:rsid w:val="000F7C4F"/>
    <w:rsid w:val="00100026"/>
    <w:rsid w:val="00101249"/>
    <w:rsid w:val="00102B5C"/>
    <w:rsid w:val="001037B3"/>
    <w:rsid w:val="00104438"/>
    <w:rsid w:val="00104463"/>
    <w:rsid w:val="001052BE"/>
    <w:rsid w:val="00105320"/>
    <w:rsid w:val="00106E19"/>
    <w:rsid w:val="00106EC0"/>
    <w:rsid w:val="00106FA4"/>
    <w:rsid w:val="00107534"/>
    <w:rsid w:val="00107E17"/>
    <w:rsid w:val="00107F1E"/>
    <w:rsid w:val="001103D0"/>
    <w:rsid w:val="00110B90"/>
    <w:rsid w:val="00111470"/>
    <w:rsid w:val="001116C8"/>
    <w:rsid w:val="00113273"/>
    <w:rsid w:val="001133D2"/>
    <w:rsid w:val="00113767"/>
    <w:rsid w:val="0011495F"/>
    <w:rsid w:val="00115D48"/>
    <w:rsid w:val="001161C4"/>
    <w:rsid w:val="00116945"/>
    <w:rsid w:val="0011726A"/>
    <w:rsid w:val="00117A2F"/>
    <w:rsid w:val="00117F82"/>
    <w:rsid w:val="00121180"/>
    <w:rsid w:val="00121CCC"/>
    <w:rsid w:val="00122941"/>
    <w:rsid w:val="00123E79"/>
    <w:rsid w:val="00124827"/>
    <w:rsid w:val="00125161"/>
    <w:rsid w:val="001254E5"/>
    <w:rsid w:val="00125543"/>
    <w:rsid w:val="00126B26"/>
    <w:rsid w:val="00126E55"/>
    <w:rsid w:val="00127D67"/>
    <w:rsid w:val="00131E2D"/>
    <w:rsid w:val="00133286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733D"/>
    <w:rsid w:val="00151C70"/>
    <w:rsid w:val="0015212E"/>
    <w:rsid w:val="001523D7"/>
    <w:rsid w:val="00152D59"/>
    <w:rsid w:val="00153ECF"/>
    <w:rsid w:val="00154339"/>
    <w:rsid w:val="001545AE"/>
    <w:rsid w:val="00154E44"/>
    <w:rsid w:val="00156587"/>
    <w:rsid w:val="00157CA9"/>
    <w:rsid w:val="0016005A"/>
    <w:rsid w:val="00162062"/>
    <w:rsid w:val="001638CE"/>
    <w:rsid w:val="001648E6"/>
    <w:rsid w:val="0016596E"/>
    <w:rsid w:val="001672BD"/>
    <w:rsid w:val="00173781"/>
    <w:rsid w:val="00174542"/>
    <w:rsid w:val="00174553"/>
    <w:rsid w:val="001757C5"/>
    <w:rsid w:val="001760CB"/>
    <w:rsid w:val="00181B72"/>
    <w:rsid w:val="00182E1E"/>
    <w:rsid w:val="00184023"/>
    <w:rsid w:val="00184250"/>
    <w:rsid w:val="00185207"/>
    <w:rsid w:val="00185ABC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435A"/>
    <w:rsid w:val="001956DC"/>
    <w:rsid w:val="00195D2E"/>
    <w:rsid w:val="001960E9"/>
    <w:rsid w:val="00196D8E"/>
    <w:rsid w:val="00196DF3"/>
    <w:rsid w:val="001975D4"/>
    <w:rsid w:val="00197D9A"/>
    <w:rsid w:val="00197F64"/>
    <w:rsid w:val="001A048A"/>
    <w:rsid w:val="001A0F65"/>
    <w:rsid w:val="001A4203"/>
    <w:rsid w:val="001A4BB7"/>
    <w:rsid w:val="001A648B"/>
    <w:rsid w:val="001A69DD"/>
    <w:rsid w:val="001A6BB6"/>
    <w:rsid w:val="001B0AB6"/>
    <w:rsid w:val="001B1130"/>
    <w:rsid w:val="001B1C9F"/>
    <w:rsid w:val="001B2334"/>
    <w:rsid w:val="001B3593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D54"/>
    <w:rsid w:val="001C5AA4"/>
    <w:rsid w:val="001C67D4"/>
    <w:rsid w:val="001C6846"/>
    <w:rsid w:val="001C6883"/>
    <w:rsid w:val="001D0C73"/>
    <w:rsid w:val="001D28DC"/>
    <w:rsid w:val="001D2D35"/>
    <w:rsid w:val="001D709D"/>
    <w:rsid w:val="001E0D0B"/>
    <w:rsid w:val="001E1901"/>
    <w:rsid w:val="001E36D5"/>
    <w:rsid w:val="001E42CC"/>
    <w:rsid w:val="001E4F55"/>
    <w:rsid w:val="001E6198"/>
    <w:rsid w:val="001E78BD"/>
    <w:rsid w:val="001F062E"/>
    <w:rsid w:val="001F14B0"/>
    <w:rsid w:val="001F20AF"/>
    <w:rsid w:val="001F321B"/>
    <w:rsid w:val="001F3646"/>
    <w:rsid w:val="001F4A3E"/>
    <w:rsid w:val="001F4FE4"/>
    <w:rsid w:val="001F59E2"/>
    <w:rsid w:val="001F5D34"/>
    <w:rsid w:val="001F626D"/>
    <w:rsid w:val="001F6A9C"/>
    <w:rsid w:val="001F739C"/>
    <w:rsid w:val="001F7711"/>
    <w:rsid w:val="002021DE"/>
    <w:rsid w:val="002041E9"/>
    <w:rsid w:val="00206A7F"/>
    <w:rsid w:val="0020711A"/>
    <w:rsid w:val="00207730"/>
    <w:rsid w:val="0021180E"/>
    <w:rsid w:val="0021213E"/>
    <w:rsid w:val="00212E56"/>
    <w:rsid w:val="00213786"/>
    <w:rsid w:val="00214D50"/>
    <w:rsid w:val="002163AF"/>
    <w:rsid w:val="002164DC"/>
    <w:rsid w:val="00216E7C"/>
    <w:rsid w:val="00221FC5"/>
    <w:rsid w:val="00222682"/>
    <w:rsid w:val="002226A1"/>
    <w:rsid w:val="00222815"/>
    <w:rsid w:val="00222831"/>
    <w:rsid w:val="00223178"/>
    <w:rsid w:val="00223808"/>
    <w:rsid w:val="0022467F"/>
    <w:rsid w:val="00226BE3"/>
    <w:rsid w:val="00227B1B"/>
    <w:rsid w:val="0023094A"/>
    <w:rsid w:val="00232556"/>
    <w:rsid w:val="00233531"/>
    <w:rsid w:val="0023661B"/>
    <w:rsid w:val="00236927"/>
    <w:rsid w:val="0024028E"/>
    <w:rsid w:val="002431B9"/>
    <w:rsid w:val="002436BE"/>
    <w:rsid w:val="00243AE1"/>
    <w:rsid w:val="00245992"/>
    <w:rsid w:val="00246518"/>
    <w:rsid w:val="002478EF"/>
    <w:rsid w:val="00247A3B"/>
    <w:rsid w:val="002502C2"/>
    <w:rsid w:val="00251ABE"/>
    <w:rsid w:val="0025259C"/>
    <w:rsid w:val="00253166"/>
    <w:rsid w:val="002534E9"/>
    <w:rsid w:val="00254D8A"/>
    <w:rsid w:val="00256FBC"/>
    <w:rsid w:val="00257385"/>
    <w:rsid w:val="00260173"/>
    <w:rsid w:val="00260D98"/>
    <w:rsid w:val="00262237"/>
    <w:rsid w:val="0026337D"/>
    <w:rsid w:val="002636A0"/>
    <w:rsid w:val="00263D54"/>
    <w:rsid w:val="0026440A"/>
    <w:rsid w:val="00264457"/>
    <w:rsid w:val="00265566"/>
    <w:rsid w:val="00265CFD"/>
    <w:rsid w:val="00266110"/>
    <w:rsid w:val="00267202"/>
    <w:rsid w:val="00267298"/>
    <w:rsid w:val="002672A0"/>
    <w:rsid w:val="0026748C"/>
    <w:rsid w:val="00267B6E"/>
    <w:rsid w:val="00270AD9"/>
    <w:rsid w:val="00270B31"/>
    <w:rsid w:val="0027263B"/>
    <w:rsid w:val="00272727"/>
    <w:rsid w:val="00272D28"/>
    <w:rsid w:val="002751C2"/>
    <w:rsid w:val="00275256"/>
    <w:rsid w:val="00276077"/>
    <w:rsid w:val="00280072"/>
    <w:rsid w:val="0028098C"/>
    <w:rsid w:val="002821C5"/>
    <w:rsid w:val="00287EC1"/>
    <w:rsid w:val="00290113"/>
    <w:rsid w:val="002915B7"/>
    <w:rsid w:val="00291C4B"/>
    <w:rsid w:val="00292082"/>
    <w:rsid w:val="00293863"/>
    <w:rsid w:val="002941A3"/>
    <w:rsid w:val="00295A6D"/>
    <w:rsid w:val="00295DF0"/>
    <w:rsid w:val="00296645"/>
    <w:rsid w:val="00296E08"/>
    <w:rsid w:val="002A0DFB"/>
    <w:rsid w:val="002A18ED"/>
    <w:rsid w:val="002A1C56"/>
    <w:rsid w:val="002A1D28"/>
    <w:rsid w:val="002A1FD6"/>
    <w:rsid w:val="002A29D2"/>
    <w:rsid w:val="002A2E36"/>
    <w:rsid w:val="002A321D"/>
    <w:rsid w:val="002A4737"/>
    <w:rsid w:val="002A53E5"/>
    <w:rsid w:val="002A7486"/>
    <w:rsid w:val="002A7E1E"/>
    <w:rsid w:val="002A7E5D"/>
    <w:rsid w:val="002B15A7"/>
    <w:rsid w:val="002B15E6"/>
    <w:rsid w:val="002B2EC5"/>
    <w:rsid w:val="002B3D5B"/>
    <w:rsid w:val="002B4B64"/>
    <w:rsid w:val="002B51C3"/>
    <w:rsid w:val="002B7130"/>
    <w:rsid w:val="002B74FD"/>
    <w:rsid w:val="002B7509"/>
    <w:rsid w:val="002B799E"/>
    <w:rsid w:val="002C03DA"/>
    <w:rsid w:val="002C0743"/>
    <w:rsid w:val="002C0BC4"/>
    <w:rsid w:val="002C0E6A"/>
    <w:rsid w:val="002C10D7"/>
    <w:rsid w:val="002C18A0"/>
    <w:rsid w:val="002C1D2E"/>
    <w:rsid w:val="002C211A"/>
    <w:rsid w:val="002C26D4"/>
    <w:rsid w:val="002C2BED"/>
    <w:rsid w:val="002C3101"/>
    <w:rsid w:val="002C366D"/>
    <w:rsid w:val="002C5954"/>
    <w:rsid w:val="002C768B"/>
    <w:rsid w:val="002C79A8"/>
    <w:rsid w:val="002C7EF2"/>
    <w:rsid w:val="002D112B"/>
    <w:rsid w:val="002D2100"/>
    <w:rsid w:val="002D2970"/>
    <w:rsid w:val="002D3C52"/>
    <w:rsid w:val="002D3E22"/>
    <w:rsid w:val="002D54C7"/>
    <w:rsid w:val="002D56C5"/>
    <w:rsid w:val="002D5AAA"/>
    <w:rsid w:val="002D6616"/>
    <w:rsid w:val="002D6FC3"/>
    <w:rsid w:val="002E3AEC"/>
    <w:rsid w:val="002E5787"/>
    <w:rsid w:val="002E5ABF"/>
    <w:rsid w:val="002E5BEC"/>
    <w:rsid w:val="002E6F5B"/>
    <w:rsid w:val="002E710F"/>
    <w:rsid w:val="002F08CD"/>
    <w:rsid w:val="002F1287"/>
    <w:rsid w:val="002F56E4"/>
    <w:rsid w:val="002F5CBB"/>
    <w:rsid w:val="002F5E45"/>
    <w:rsid w:val="002F5E6A"/>
    <w:rsid w:val="002F61B2"/>
    <w:rsid w:val="002F6AEC"/>
    <w:rsid w:val="002F7AAE"/>
    <w:rsid w:val="00300726"/>
    <w:rsid w:val="00301913"/>
    <w:rsid w:val="00302717"/>
    <w:rsid w:val="003043BE"/>
    <w:rsid w:val="00306F45"/>
    <w:rsid w:val="00307232"/>
    <w:rsid w:val="00307E20"/>
    <w:rsid w:val="00311292"/>
    <w:rsid w:val="00312C75"/>
    <w:rsid w:val="00313590"/>
    <w:rsid w:val="00313E26"/>
    <w:rsid w:val="00314363"/>
    <w:rsid w:val="00315331"/>
    <w:rsid w:val="00315FDD"/>
    <w:rsid w:val="0032273E"/>
    <w:rsid w:val="0032393A"/>
    <w:rsid w:val="00323DD3"/>
    <w:rsid w:val="00324379"/>
    <w:rsid w:val="0032457C"/>
    <w:rsid w:val="00326439"/>
    <w:rsid w:val="0032654E"/>
    <w:rsid w:val="003266B8"/>
    <w:rsid w:val="00326D4A"/>
    <w:rsid w:val="0033159D"/>
    <w:rsid w:val="003325C2"/>
    <w:rsid w:val="00333CD8"/>
    <w:rsid w:val="00335081"/>
    <w:rsid w:val="00335AA7"/>
    <w:rsid w:val="00337515"/>
    <w:rsid w:val="00342196"/>
    <w:rsid w:val="00344737"/>
    <w:rsid w:val="00346706"/>
    <w:rsid w:val="003514ED"/>
    <w:rsid w:val="00351E1C"/>
    <w:rsid w:val="00352106"/>
    <w:rsid w:val="0035217E"/>
    <w:rsid w:val="00352D33"/>
    <w:rsid w:val="00353CB2"/>
    <w:rsid w:val="00354A18"/>
    <w:rsid w:val="00354E92"/>
    <w:rsid w:val="003559FA"/>
    <w:rsid w:val="00360176"/>
    <w:rsid w:val="00360720"/>
    <w:rsid w:val="0036132C"/>
    <w:rsid w:val="00362A0D"/>
    <w:rsid w:val="0036400D"/>
    <w:rsid w:val="003658EF"/>
    <w:rsid w:val="00365FDC"/>
    <w:rsid w:val="003670AA"/>
    <w:rsid w:val="00370A60"/>
    <w:rsid w:val="003713F9"/>
    <w:rsid w:val="003719C4"/>
    <w:rsid w:val="003724EE"/>
    <w:rsid w:val="00373C93"/>
    <w:rsid w:val="00377971"/>
    <w:rsid w:val="00380461"/>
    <w:rsid w:val="003812CC"/>
    <w:rsid w:val="00381490"/>
    <w:rsid w:val="00381936"/>
    <w:rsid w:val="00384704"/>
    <w:rsid w:val="0038490E"/>
    <w:rsid w:val="003849A2"/>
    <w:rsid w:val="00385E59"/>
    <w:rsid w:val="00386E22"/>
    <w:rsid w:val="00387270"/>
    <w:rsid w:val="00391350"/>
    <w:rsid w:val="00393479"/>
    <w:rsid w:val="003937BF"/>
    <w:rsid w:val="003960C1"/>
    <w:rsid w:val="003A1290"/>
    <w:rsid w:val="003A18CF"/>
    <w:rsid w:val="003A3105"/>
    <w:rsid w:val="003A32A5"/>
    <w:rsid w:val="003A35D3"/>
    <w:rsid w:val="003A3FCF"/>
    <w:rsid w:val="003A4987"/>
    <w:rsid w:val="003A50A2"/>
    <w:rsid w:val="003A5110"/>
    <w:rsid w:val="003A5245"/>
    <w:rsid w:val="003A52E9"/>
    <w:rsid w:val="003A5304"/>
    <w:rsid w:val="003A5AEB"/>
    <w:rsid w:val="003A6EC4"/>
    <w:rsid w:val="003A70BA"/>
    <w:rsid w:val="003A7ECC"/>
    <w:rsid w:val="003B092A"/>
    <w:rsid w:val="003B0EDF"/>
    <w:rsid w:val="003B12AD"/>
    <w:rsid w:val="003B27AF"/>
    <w:rsid w:val="003B330D"/>
    <w:rsid w:val="003B478B"/>
    <w:rsid w:val="003B6387"/>
    <w:rsid w:val="003B6E43"/>
    <w:rsid w:val="003B7237"/>
    <w:rsid w:val="003C0E95"/>
    <w:rsid w:val="003C1028"/>
    <w:rsid w:val="003C205E"/>
    <w:rsid w:val="003C2208"/>
    <w:rsid w:val="003C2924"/>
    <w:rsid w:val="003C3114"/>
    <w:rsid w:val="003C4254"/>
    <w:rsid w:val="003C79A0"/>
    <w:rsid w:val="003D554F"/>
    <w:rsid w:val="003D5D63"/>
    <w:rsid w:val="003D6DF2"/>
    <w:rsid w:val="003D76D8"/>
    <w:rsid w:val="003E04DE"/>
    <w:rsid w:val="003E1044"/>
    <w:rsid w:val="003E22C4"/>
    <w:rsid w:val="003E3A1D"/>
    <w:rsid w:val="003E4DD3"/>
    <w:rsid w:val="003E657B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400110"/>
    <w:rsid w:val="00400526"/>
    <w:rsid w:val="00400983"/>
    <w:rsid w:val="00401990"/>
    <w:rsid w:val="0040459B"/>
    <w:rsid w:val="00404C21"/>
    <w:rsid w:val="00405940"/>
    <w:rsid w:val="004074DD"/>
    <w:rsid w:val="00407696"/>
    <w:rsid w:val="004105E0"/>
    <w:rsid w:val="0041160A"/>
    <w:rsid w:val="00412740"/>
    <w:rsid w:val="00413F4D"/>
    <w:rsid w:val="0041457A"/>
    <w:rsid w:val="004158F0"/>
    <w:rsid w:val="00416870"/>
    <w:rsid w:val="0042017B"/>
    <w:rsid w:val="00420913"/>
    <w:rsid w:val="00420B43"/>
    <w:rsid w:val="00420D3C"/>
    <w:rsid w:val="004211F6"/>
    <w:rsid w:val="00421A81"/>
    <w:rsid w:val="00422883"/>
    <w:rsid w:val="00422ACC"/>
    <w:rsid w:val="00424E25"/>
    <w:rsid w:val="0042529A"/>
    <w:rsid w:val="00426845"/>
    <w:rsid w:val="00427219"/>
    <w:rsid w:val="004274C1"/>
    <w:rsid w:val="00430234"/>
    <w:rsid w:val="00431767"/>
    <w:rsid w:val="00431E4B"/>
    <w:rsid w:val="0043296A"/>
    <w:rsid w:val="00434700"/>
    <w:rsid w:val="00434E44"/>
    <w:rsid w:val="00435604"/>
    <w:rsid w:val="00435631"/>
    <w:rsid w:val="00435C79"/>
    <w:rsid w:val="0043688A"/>
    <w:rsid w:val="0043785F"/>
    <w:rsid w:val="00437CA2"/>
    <w:rsid w:val="00440B2D"/>
    <w:rsid w:val="00440D16"/>
    <w:rsid w:val="004421AE"/>
    <w:rsid w:val="004421E3"/>
    <w:rsid w:val="004430BB"/>
    <w:rsid w:val="0044331B"/>
    <w:rsid w:val="00443831"/>
    <w:rsid w:val="00445B5E"/>
    <w:rsid w:val="00446EA3"/>
    <w:rsid w:val="00450950"/>
    <w:rsid w:val="00450EFF"/>
    <w:rsid w:val="00451104"/>
    <w:rsid w:val="00451534"/>
    <w:rsid w:val="00452F6C"/>
    <w:rsid w:val="00454144"/>
    <w:rsid w:val="0045422F"/>
    <w:rsid w:val="0045433C"/>
    <w:rsid w:val="0045471C"/>
    <w:rsid w:val="00457115"/>
    <w:rsid w:val="00460705"/>
    <w:rsid w:val="00460A24"/>
    <w:rsid w:val="00460BC9"/>
    <w:rsid w:val="0046151F"/>
    <w:rsid w:val="00464052"/>
    <w:rsid w:val="00465799"/>
    <w:rsid w:val="0046586B"/>
    <w:rsid w:val="004660F5"/>
    <w:rsid w:val="0046675F"/>
    <w:rsid w:val="004674F7"/>
    <w:rsid w:val="00470256"/>
    <w:rsid w:val="004708C0"/>
    <w:rsid w:val="00471039"/>
    <w:rsid w:val="00471447"/>
    <w:rsid w:val="00471B70"/>
    <w:rsid w:val="00471D1D"/>
    <w:rsid w:val="0047220A"/>
    <w:rsid w:val="0047271F"/>
    <w:rsid w:val="00472EDA"/>
    <w:rsid w:val="004732C6"/>
    <w:rsid w:val="004744E1"/>
    <w:rsid w:val="00474682"/>
    <w:rsid w:val="00475AE3"/>
    <w:rsid w:val="00475F4B"/>
    <w:rsid w:val="004769C3"/>
    <w:rsid w:val="00477159"/>
    <w:rsid w:val="00477B88"/>
    <w:rsid w:val="00480253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3412"/>
    <w:rsid w:val="00495348"/>
    <w:rsid w:val="0049640D"/>
    <w:rsid w:val="00497168"/>
    <w:rsid w:val="00497732"/>
    <w:rsid w:val="00497D4F"/>
    <w:rsid w:val="004A2333"/>
    <w:rsid w:val="004A33E9"/>
    <w:rsid w:val="004A3EA6"/>
    <w:rsid w:val="004A3ECA"/>
    <w:rsid w:val="004A4BF6"/>
    <w:rsid w:val="004A590B"/>
    <w:rsid w:val="004A69AD"/>
    <w:rsid w:val="004B04C6"/>
    <w:rsid w:val="004B35F7"/>
    <w:rsid w:val="004B4273"/>
    <w:rsid w:val="004B4E32"/>
    <w:rsid w:val="004B5383"/>
    <w:rsid w:val="004B64B5"/>
    <w:rsid w:val="004B7076"/>
    <w:rsid w:val="004C26D2"/>
    <w:rsid w:val="004C612A"/>
    <w:rsid w:val="004C7237"/>
    <w:rsid w:val="004D03FA"/>
    <w:rsid w:val="004D07E5"/>
    <w:rsid w:val="004D14A8"/>
    <w:rsid w:val="004D2992"/>
    <w:rsid w:val="004D3202"/>
    <w:rsid w:val="004D469E"/>
    <w:rsid w:val="004D4741"/>
    <w:rsid w:val="004D48A5"/>
    <w:rsid w:val="004D4E20"/>
    <w:rsid w:val="004D7FEA"/>
    <w:rsid w:val="004E0C6B"/>
    <w:rsid w:val="004E0D06"/>
    <w:rsid w:val="004E183B"/>
    <w:rsid w:val="004E2497"/>
    <w:rsid w:val="004E2DFB"/>
    <w:rsid w:val="004E3D51"/>
    <w:rsid w:val="004E3F63"/>
    <w:rsid w:val="004E4F5A"/>
    <w:rsid w:val="004E5131"/>
    <w:rsid w:val="004E5520"/>
    <w:rsid w:val="004E55BA"/>
    <w:rsid w:val="004E67DD"/>
    <w:rsid w:val="004E7840"/>
    <w:rsid w:val="004F07EF"/>
    <w:rsid w:val="004F0AE6"/>
    <w:rsid w:val="004F18F6"/>
    <w:rsid w:val="004F1AD1"/>
    <w:rsid w:val="004F344E"/>
    <w:rsid w:val="004F3CFC"/>
    <w:rsid w:val="004F4A05"/>
    <w:rsid w:val="004F59BE"/>
    <w:rsid w:val="004F6CAB"/>
    <w:rsid w:val="005016B0"/>
    <w:rsid w:val="00501D0E"/>
    <w:rsid w:val="0050202E"/>
    <w:rsid w:val="00502774"/>
    <w:rsid w:val="00503DFC"/>
    <w:rsid w:val="00503F34"/>
    <w:rsid w:val="005041F1"/>
    <w:rsid w:val="00504C1B"/>
    <w:rsid w:val="0050642C"/>
    <w:rsid w:val="00506B3B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F5E"/>
    <w:rsid w:val="00514271"/>
    <w:rsid w:val="00514F62"/>
    <w:rsid w:val="00515560"/>
    <w:rsid w:val="00517831"/>
    <w:rsid w:val="005216FD"/>
    <w:rsid w:val="00522383"/>
    <w:rsid w:val="005228C3"/>
    <w:rsid w:val="0052315E"/>
    <w:rsid w:val="005231BF"/>
    <w:rsid w:val="005234AF"/>
    <w:rsid w:val="00525787"/>
    <w:rsid w:val="00530E86"/>
    <w:rsid w:val="00530E90"/>
    <w:rsid w:val="00531247"/>
    <w:rsid w:val="005314AC"/>
    <w:rsid w:val="00531A41"/>
    <w:rsid w:val="005325CC"/>
    <w:rsid w:val="005346FE"/>
    <w:rsid w:val="0054064D"/>
    <w:rsid w:val="0054089B"/>
    <w:rsid w:val="00540AC5"/>
    <w:rsid w:val="005426C2"/>
    <w:rsid w:val="00545A36"/>
    <w:rsid w:val="005465E0"/>
    <w:rsid w:val="005467EB"/>
    <w:rsid w:val="00546AA5"/>
    <w:rsid w:val="00547601"/>
    <w:rsid w:val="0055015D"/>
    <w:rsid w:val="0055058D"/>
    <w:rsid w:val="00550895"/>
    <w:rsid w:val="00551FFF"/>
    <w:rsid w:val="00553EB0"/>
    <w:rsid w:val="0055426F"/>
    <w:rsid w:val="00557809"/>
    <w:rsid w:val="00557C85"/>
    <w:rsid w:val="00560C19"/>
    <w:rsid w:val="00561B7D"/>
    <w:rsid w:val="00562D36"/>
    <w:rsid w:val="00562E23"/>
    <w:rsid w:val="00563170"/>
    <w:rsid w:val="00565E32"/>
    <w:rsid w:val="005665B1"/>
    <w:rsid w:val="0056722B"/>
    <w:rsid w:val="00567CDC"/>
    <w:rsid w:val="00570BDD"/>
    <w:rsid w:val="0057388C"/>
    <w:rsid w:val="0057657D"/>
    <w:rsid w:val="00576614"/>
    <w:rsid w:val="005768F3"/>
    <w:rsid w:val="00576E52"/>
    <w:rsid w:val="00577957"/>
    <w:rsid w:val="00581039"/>
    <w:rsid w:val="005814AC"/>
    <w:rsid w:val="00581D56"/>
    <w:rsid w:val="00582246"/>
    <w:rsid w:val="0058309C"/>
    <w:rsid w:val="00584093"/>
    <w:rsid w:val="0058425B"/>
    <w:rsid w:val="00585AB6"/>
    <w:rsid w:val="00585AD7"/>
    <w:rsid w:val="00585C38"/>
    <w:rsid w:val="00586FA1"/>
    <w:rsid w:val="005879B7"/>
    <w:rsid w:val="005926A9"/>
    <w:rsid w:val="005926FE"/>
    <w:rsid w:val="00593A64"/>
    <w:rsid w:val="00593B3D"/>
    <w:rsid w:val="005950FE"/>
    <w:rsid w:val="00596CE0"/>
    <w:rsid w:val="00597CC7"/>
    <w:rsid w:val="005A0745"/>
    <w:rsid w:val="005A2E34"/>
    <w:rsid w:val="005A3289"/>
    <w:rsid w:val="005A36A6"/>
    <w:rsid w:val="005A4BB0"/>
    <w:rsid w:val="005A5697"/>
    <w:rsid w:val="005A5FB6"/>
    <w:rsid w:val="005A60A1"/>
    <w:rsid w:val="005A6B2B"/>
    <w:rsid w:val="005A7C0B"/>
    <w:rsid w:val="005B0A27"/>
    <w:rsid w:val="005B1014"/>
    <w:rsid w:val="005B1521"/>
    <w:rsid w:val="005B325E"/>
    <w:rsid w:val="005B33EC"/>
    <w:rsid w:val="005B6912"/>
    <w:rsid w:val="005B77A5"/>
    <w:rsid w:val="005C01F5"/>
    <w:rsid w:val="005C029D"/>
    <w:rsid w:val="005C1110"/>
    <w:rsid w:val="005C1739"/>
    <w:rsid w:val="005C331A"/>
    <w:rsid w:val="005C41EB"/>
    <w:rsid w:val="005C473B"/>
    <w:rsid w:val="005D0118"/>
    <w:rsid w:val="005D0483"/>
    <w:rsid w:val="005D07D9"/>
    <w:rsid w:val="005D1941"/>
    <w:rsid w:val="005D1BE9"/>
    <w:rsid w:val="005D238E"/>
    <w:rsid w:val="005D2895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D69"/>
    <w:rsid w:val="005D7E3C"/>
    <w:rsid w:val="005E180C"/>
    <w:rsid w:val="005E1D4B"/>
    <w:rsid w:val="005E2815"/>
    <w:rsid w:val="005E2EB3"/>
    <w:rsid w:val="005E3E9B"/>
    <w:rsid w:val="005E5415"/>
    <w:rsid w:val="005E5D06"/>
    <w:rsid w:val="005E6632"/>
    <w:rsid w:val="005F0D2E"/>
    <w:rsid w:val="005F1F0E"/>
    <w:rsid w:val="005F1FC0"/>
    <w:rsid w:val="005F2467"/>
    <w:rsid w:val="005F2E1B"/>
    <w:rsid w:val="005F3E46"/>
    <w:rsid w:val="005F4616"/>
    <w:rsid w:val="005F5357"/>
    <w:rsid w:val="00600D77"/>
    <w:rsid w:val="00600D95"/>
    <w:rsid w:val="006013E0"/>
    <w:rsid w:val="006031AF"/>
    <w:rsid w:val="00607796"/>
    <w:rsid w:val="006078F5"/>
    <w:rsid w:val="00613A81"/>
    <w:rsid w:val="00615041"/>
    <w:rsid w:val="006170EF"/>
    <w:rsid w:val="00617A67"/>
    <w:rsid w:val="00617BEB"/>
    <w:rsid w:val="00621856"/>
    <w:rsid w:val="00622CF0"/>
    <w:rsid w:val="00623440"/>
    <w:rsid w:val="00624CE0"/>
    <w:rsid w:val="00625499"/>
    <w:rsid w:val="00626C37"/>
    <w:rsid w:val="00627948"/>
    <w:rsid w:val="0063078B"/>
    <w:rsid w:val="006318E1"/>
    <w:rsid w:val="006332C7"/>
    <w:rsid w:val="00633518"/>
    <w:rsid w:val="00633DBA"/>
    <w:rsid w:val="00633F5E"/>
    <w:rsid w:val="00634247"/>
    <w:rsid w:val="00634856"/>
    <w:rsid w:val="00634C05"/>
    <w:rsid w:val="00636540"/>
    <w:rsid w:val="00637056"/>
    <w:rsid w:val="0064120B"/>
    <w:rsid w:val="00641433"/>
    <w:rsid w:val="00641937"/>
    <w:rsid w:val="00642021"/>
    <w:rsid w:val="0064218D"/>
    <w:rsid w:val="0064322F"/>
    <w:rsid w:val="00645377"/>
    <w:rsid w:val="0064643D"/>
    <w:rsid w:val="00646954"/>
    <w:rsid w:val="006473DB"/>
    <w:rsid w:val="0064773C"/>
    <w:rsid w:val="00647BE8"/>
    <w:rsid w:val="0065045C"/>
    <w:rsid w:val="00651154"/>
    <w:rsid w:val="00651A47"/>
    <w:rsid w:val="00652533"/>
    <w:rsid w:val="0065300A"/>
    <w:rsid w:val="006550AF"/>
    <w:rsid w:val="006551E0"/>
    <w:rsid w:val="006559CC"/>
    <w:rsid w:val="00655B47"/>
    <w:rsid w:val="00655B8C"/>
    <w:rsid w:val="006575AC"/>
    <w:rsid w:val="00657DDA"/>
    <w:rsid w:val="0066027B"/>
    <w:rsid w:val="00660A7D"/>
    <w:rsid w:val="0066108F"/>
    <w:rsid w:val="0066175C"/>
    <w:rsid w:val="00661A4E"/>
    <w:rsid w:val="006620AD"/>
    <w:rsid w:val="00663397"/>
    <w:rsid w:val="00663FAD"/>
    <w:rsid w:val="00665ECF"/>
    <w:rsid w:val="0066619E"/>
    <w:rsid w:val="00667089"/>
    <w:rsid w:val="00671777"/>
    <w:rsid w:val="00671ECF"/>
    <w:rsid w:val="00672A2B"/>
    <w:rsid w:val="00672FEF"/>
    <w:rsid w:val="00675156"/>
    <w:rsid w:val="0068033A"/>
    <w:rsid w:val="0068173C"/>
    <w:rsid w:val="006817AF"/>
    <w:rsid w:val="006820FF"/>
    <w:rsid w:val="00682795"/>
    <w:rsid w:val="00683592"/>
    <w:rsid w:val="00683796"/>
    <w:rsid w:val="00684C07"/>
    <w:rsid w:val="0068542B"/>
    <w:rsid w:val="00685467"/>
    <w:rsid w:val="006864D5"/>
    <w:rsid w:val="00686596"/>
    <w:rsid w:val="00686868"/>
    <w:rsid w:val="00687307"/>
    <w:rsid w:val="0069013E"/>
    <w:rsid w:val="00691370"/>
    <w:rsid w:val="0069195E"/>
    <w:rsid w:val="00692444"/>
    <w:rsid w:val="006934E4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757"/>
    <w:rsid w:val="006A0913"/>
    <w:rsid w:val="006A1512"/>
    <w:rsid w:val="006A230B"/>
    <w:rsid w:val="006A552D"/>
    <w:rsid w:val="006A5708"/>
    <w:rsid w:val="006A5A1C"/>
    <w:rsid w:val="006A7BD0"/>
    <w:rsid w:val="006B11E8"/>
    <w:rsid w:val="006B12D2"/>
    <w:rsid w:val="006B14FF"/>
    <w:rsid w:val="006B2086"/>
    <w:rsid w:val="006B3C2A"/>
    <w:rsid w:val="006B695F"/>
    <w:rsid w:val="006B6E07"/>
    <w:rsid w:val="006B7ED4"/>
    <w:rsid w:val="006C0202"/>
    <w:rsid w:val="006C0438"/>
    <w:rsid w:val="006C0465"/>
    <w:rsid w:val="006C0877"/>
    <w:rsid w:val="006C09E5"/>
    <w:rsid w:val="006C1139"/>
    <w:rsid w:val="006C15C1"/>
    <w:rsid w:val="006C15D0"/>
    <w:rsid w:val="006C1ABB"/>
    <w:rsid w:val="006C2CF5"/>
    <w:rsid w:val="006C31B7"/>
    <w:rsid w:val="006C39DF"/>
    <w:rsid w:val="006C4C14"/>
    <w:rsid w:val="006C60A7"/>
    <w:rsid w:val="006C6BFF"/>
    <w:rsid w:val="006C7006"/>
    <w:rsid w:val="006D0BD2"/>
    <w:rsid w:val="006D0E54"/>
    <w:rsid w:val="006D3119"/>
    <w:rsid w:val="006D5C60"/>
    <w:rsid w:val="006D68DC"/>
    <w:rsid w:val="006D7C72"/>
    <w:rsid w:val="006E004B"/>
    <w:rsid w:val="006E15E3"/>
    <w:rsid w:val="006E2BE2"/>
    <w:rsid w:val="006E2F48"/>
    <w:rsid w:val="006E3028"/>
    <w:rsid w:val="006E51CE"/>
    <w:rsid w:val="006E54CD"/>
    <w:rsid w:val="006E743A"/>
    <w:rsid w:val="006F0E4F"/>
    <w:rsid w:val="006F193E"/>
    <w:rsid w:val="006F1D72"/>
    <w:rsid w:val="006F2FA8"/>
    <w:rsid w:val="006F62E6"/>
    <w:rsid w:val="006F6A79"/>
    <w:rsid w:val="006F794A"/>
    <w:rsid w:val="0070068D"/>
    <w:rsid w:val="00700954"/>
    <w:rsid w:val="007034D0"/>
    <w:rsid w:val="00705867"/>
    <w:rsid w:val="00706F3D"/>
    <w:rsid w:val="00707120"/>
    <w:rsid w:val="00707602"/>
    <w:rsid w:val="00710424"/>
    <w:rsid w:val="00710591"/>
    <w:rsid w:val="007119A5"/>
    <w:rsid w:val="007122EA"/>
    <w:rsid w:val="007125AF"/>
    <w:rsid w:val="00712B97"/>
    <w:rsid w:val="007137CC"/>
    <w:rsid w:val="00714273"/>
    <w:rsid w:val="007143DA"/>
    <w:rsid w:val="00714E60"/>
    <w:rsid w:val="00715DF7"/>
    <w:rsid w:val="00716AC6"/>
    <w:rsid w:val="00717305"/>
    <w:rsid w:val="00717A01"/>
    <w:rsid w:val="00720767"/>
    <w:rsid w:val="00722189"/>
    <w:rsid w:val="00723882"/>
    <w:rsid w:val="00724CEF"/>
    <w:rsid w:val="00725C9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C10"/>
    <w:rsid w:val="00744469"/>
    <w:rsid w:val="00745483"/>
    <w:rsid w:val="00745AD8"/>
    <w:rsid w:val="0074699A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2D6A"/>
    <w:rsid w:val="00773421"/>
    <w:rsid w:val="00773FE4"/>
    <w:rsid w:val="007745FE"/>
    <w:rsid w:val="00774BE8"/>
    <w:rsid w:val="00774E22"/>
    <w:rsid w:val="0077630F"/>
    <w:rsid w:val="00777AFE"/>
    <w:rsid w:val="00777F87"/>
    <w:rsid w:val="00780E61"/>
    <w:rsid w:val="00781DEE"/>
    <w:rsid w:val="0078348A"/>
    <w:rsid w:val="00784FCF"/>
    <w:rsid w:val="0078567D"/>
    <w:rsid w:val="007909B3"/>
    <w:rsid w:val="007926D5"/>
    <w:rsid w:val="007937C5"/>
    <w:rsid w:val="007A00D5"/>
    <w:rsid w:val="007A02DF"/>
    <w:rsid w:val="007A0429"/>
    <w:rsid w:val="007A0E66"/>
    <w:rsid w:val="007A106F"/>
    <w:rsid w:val="007A2498"/>
    <w:rsid w:val="007A3C20"/>
    <w:rsid w:val="007A4238"/>
    <w:rsid w:val="007A430C"/>
    <w:rsid w:val="007A7334"/>
    <w:rsid w:val="007B2E46"/>
    <w:rsid w:val="007B348B"/>
    <w:rsid w:val="007B4778"/>
    <w:rsid w:val="007B4F7A"/>
    <w:rsid w:val="007B6A7F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7142"/>
    <w:rsid w:val="007C7AFB"/>
    <w:rsid w:val="007D01A0"/>
    <w:rsid w:val="007D04AD"/>
    <w:rsid w:val="007D0D66"/>
    <w:rsid w:val="007D41E2"/>
    <w:rsid w:val="007D4ED5"/>
    <w:rsid w:val="007D6641"/>
    <w:rsid w:val="007D7349"/>
    <w:rsid w:val="007D76C4"/>
    <w:rsid w:val="007D7FDE"/>
    <w:rsid w:val="007E05B5"/>
    <w:rsid w:val="007E06E3"/>
    <w:rsid w:val="007E0752"/>
    <w:rsid w:val="007E0D7B"/>
    <w:rsid w:val="007E656C"/>
    <w:rsid w:val="007E6919"/>
    <w:rsid w:val="007E79BB"/>
    <w:rsid w:val="007F09E0"/>
    <w:rsid w:val="007F2CA7"/>
    <w:rsid w:val="007F2FA3"/>
    <w:rsid w:val="007F353D"/>
    <w:rsid w:val="007F3847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3DE5"/>
    <w:rsid w:val="00823EFA"/>
    <w:rsid w:val="008246A6"/>
    <w:rsid w:val="00825C9C"/>
    <w:rsid w:val="0082604B"/>
    <w:rsid w:val="0082661B"/>
    <w:rsid w:val="00827634"/>
    <w:rsid w:val="00827916"/>
    <w:rsid w:val="00827C0D"/>
    <w:rsid w:val="00827DE2"/>
    <w:rsid w:val="008325C4"/>
    <w:rsid w:val="00833A0C"/>
    <w:rsid w:val="00833A84"/>
    <w:rsid w:val="008344F7"/>
    <w:rsid w:val="00834762"/>
    <w:rsid w:val="00834825"/>
    <w:rsid w:val="00834D94"/>
    <w:rsid w:val="0083547E"/>
    <w:rsid w:val="00835BBC"/>
    <w:rsid w:val="008379F4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3079"/>
    <w:rsid w:val="00853CBC"/>
    <w:rsid w:val="00855149"/>
    <w:rsid w:val="008577BA"/>
    <w:rsid w:val="00857F10"/>
    <w:rsid w:val="00860E74"/>
    <w:rsid w:val="00860E86"/>
    <w:rsid w:val="00862AF0"/>
    <w:rsid w:val="0086425D"/>
    <w:rsid w:val="008660BF"/>
    <w:rsid w:val="00866C9F"/>
    <w:rsid w:val="00867752"/>
    <w:rsid w:val="008704DD"/>
    <w:rsid w:val="008735A9"/>
    <w:rsid w:val="0087393D"/>
    <w:rsid w:val="00874D53"/>
    <w:rsid w:val="008750A7"/>
    <w:rsid w:val="00876C88"/>
    <w:rsid w:val="008770F6"/>
    <w:rsid w:val="00877221"/>
    <w:rsid w:val="00881FD0"/>
    <w:rsid w:val="008824D7"/>
    <w:rsid w:val="00882754"/>
    <w:rsid w:val="008840E8"/>
    <w:rsid w:val="00884DDB"/>
    <w:rsid w:val="0088505E"/>
    <w:rsid w:val="00885A0C"/>
    <w:rsid w:val="00886365"/>
    <w:rsid w:val="008870BF"/>
    <w:rsid w:val="0088731E"/>
    <w:rsid w:val="00887488"/>
    <w:rsid w:val="00887F4C"/>
    <w:rsid w:val="00890C24"/>
    <w:rsid w:val="00892EE4"/>
    <w:rsid w:val="008931AC"/>
    <w:rsid w:val="00893809"/>
    <w:rsid w:val="008941B1"/>
    <w:rsid w:val="00894425"/>
    <w:rsid w:val="008944F4"/>
    <w:rsid w:val="00894BC8"/>
    <w:rsid w:val="00896312"/>
    <w:rsid w:val="00896515"/>
    <w:rsid w:val="00897342"/>
    <w:rsid w:val="008A0C9C"/>
    <w:rsid w:val="008A184F"/>
    <w:rsid w:val="008A1CBA"/>
    <w:rsid w:val="008A3AF4"/>
    <w:rsid w:val="008A448E"/>
    <w:rsid w:val="008A4DF1"/>
    <w:rsid w:val="008A6651"/>
    <w:rsid w:val="008A6CD6"/>
    <w:rsid w:val="008B0864"/>
    <w:rsid w:val="008B1424"/>
    <w:rsid w:val="008B1F2A"/>
    <w:rsid w:val="008B4A63"/>
    <w:rsid w:val="008B4AC5"/>
    <w:rsid w:val="008B4FD3"/>
    <w:rsid w:val="008B50A5"/>
    <w:rsid w:val="008B595A"/>
    <w:rsid w:val="008B6246"/>
    <w:rsid w:val="008B79DF"/>
    <w:rsid w:val="008C02D0"/>
    <w:rsid w:val="008C0A72"/>
    <w:rsid w:val="008C154C"/>
    <w:rsid w:val="008C1716"/>
    <w:rsid w:val="008C2130"/>
    <w:rsid w:val="008C2EDB"/>
    <w:rsid w:val="008C3CBE"/>
    <w:rsid w:val="008C7124"/>
    <w:rsid w:val="008D14A9"/>
    <w:rsid w:val="008D1AAF"/>
    <w:rsid w:val="008D27B7"/>
    <w:rsid w:val="008D2E6F"/>
    <w:rsid w:val="008D37EC"/>
    <w:rsid w:val="008D3806"/>
    <w:rsid w:val="008D3987"/>
    <w:rsid w:val="008D449D"/>
    <w:rsid w:val="008D45C1"/>
    <w:rsid w:val="008D4C14"/>
    <w:rsid w:val="008D51E7"/>
    <w:rsid w:val="008D7771"/>
    <w:rsid w:val="008D7E8B"/>
    <w:rsid w:val="008E0A82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C1D"/>
    <w:rsid w:val="008F4F52"/>
    <w:rsid w:val="008F617D"/>
    <w:rsid w:val="008F649D"/>
    <w:rsid w:val="008F7AF7"/>
    <w:rsid w:val="00900152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769B"/>
    <w:rsid w:val="00907B6A"/>
    <w:rsid w:val="0091058F"/>
    <w:rsid w:val="00911F1B"/>
    <w:rsid w:val="00912426"/>
    <w:rsid w:val="00912704"/>
    <w:rsid w:val="00912A95"/>
    <w:rsid w:val="009130EC"/>
    <w:rsid w:val="00913D87"/>
    <w:rsid w:val="00915686"/>
    <w:rsid w:val="00916F2D"/>
    <w:rsid w:val="00917757"/>
    <w:rsid w:val="00920825"/>
    <w:rsid w:val="009208FB"/>
    <w:rsid w:val="009251D3"/>
    <w:rsid w:val="00925C4D"/>
    <w:rsid w:val="0092631F"/>
    <w:rsid w:val="009264E7"/>
    <w:rsid w:val="0092695A"/>
    <w:rsid w:val="00927831"/>
    <w:rsid w:val="00927ECD"/>
    <w:rsid w:val="0093047E"/>
    <w:rsid w:val="00930FD8"/>
    <w:rsid w:val="009314EC"/>
    <w:rsid w:val="009326A8"/>
    <w:rsid w:val="009342AC"/>
    <w:rsid w:val="009407CD"/>
    <w:rsid w:val="00941491"/>
    <w:rsid w:val="00943520"/>
    <w:rsid w:val="00943EDF"/>
    <w:rsid w:val="0094475D"/>
    <w:rsid w:val="00945AD3"/>
    <w:rsid w:val="00946866"/>
    <w:rsid w:val="00947733"/>
    <w:rsid w:val="00950395"/>
    <w:rsid w:val="009508D9"/>
    <w:rsid w:val="00950B72"/>
    <w:rsid w:val="00950CC4"/>
    <w:rsid w:val="00951B74"/>
    <w:rsid w:val="0095365D"/>
    <w:rsid w:val="00953D66"/>
    <w:rsid w:val="00954235"/>
    <w:rsid w:val="00954470"/>
    <w:rsid w:val="00954845"/>
    <w:rsid w:val="009559E4"/>
    <w:rsid w:val="00955B9E"/>
    <w:rsid w:val="009563BB"/>
    <w:rsid w:val="009576E4"/>
    <w:rsid w:val="00957E37"/>
    <w:rsid w:val="00957FC4"/>
    <w:rsid w:val="009603D0"/>
    <w:rsid w:val="00960BF0"/>
    <w:rsid w:val="0096486F"/>
    <w:rsid w:val="00965AF2"/>
    <w:rsid w:val="00966D00"/>
    <w:rsid w:val="009716F2"/>
    <w:rsid w:val="00975C25"/>
    <w:rsid w:val="009766A1"/>
    <w:rsid w:val="00976C98"/>
    <w:rsid w:val="00981872"/>
    <w:rsid w:val="00983D5F"/>
    <w:rsid w:val="00985AB3"/>
    <w:rsid w:val="00985DD2"/>
    <w:rsid w:val="0098660E"/>
    <w:rsid w:val="009874E6"/>
    <w:rsid w:val="00987987"/>
    <w:rsid w:val="00991EC1"/>
    <w:rsid w:val="009921AC"/>
    <w:rsid w:val="00995616"/>
    <w:rsid w:val="00996593"/>
    <w:rsid w:val="009969D7"/>
    <w:rsid w:val="009974CC"/>
    <w:rsid w:val="00997739"/>
    <w:rsid w:val="009978D4"/>
    <w:rsid w:val="00997EF3"/>
    <w:rsid w:val="00997F9E"/>
    <w:rsid w:val="009A19F3"/>
    <w:rsid w:val="009A1F5D"/>
    <w:rsid w:val="009A1FF0"/>
    <w:rsid w:val="009A2085"/>
    <w:rsid w:val="009A3696"/>
    <w:rsid w:val="009A4775"/>
    <w:rsid w:val="009A47E3"/>
    <w:rsid w:val="009A55CF"/>
    <w:rsid w:val="009A67C9"/>
    <w:rsid w:val="009A6BC1"/>
    <w:rsid w:val="009A7820"/>
    <w:rsid w:val="009A7F14"/>
    <w:rsid w:val="009B04AF"/>
    <w:rsid w:val="009B0755"/>
    <w:rsid w:val="009B20AD"/>
    <w:rsid w:val="009B31E6"/>
    <w:rsid w:val="009B4A71"/>
    <w:rsid w:val="009B4BFB"/>
    <w:rsid w:val="009B4C6F"/>
    <w:rsid w:val="009B563C"/>
    <w:rsid w:val="009B5D6E"/>
    <w:rsid w:val="009B764C"/>
    <w:rsid w:val="009B7955"/>
    <w:rsid w:val="009B7B83"/>
    <w:rsid w:val="009C09FE"/>
    <w:rsid w:val="009C2B2F"/>
    <w:rsid w:val="009C5A25"/>
    <w:rsid w:val="009C6033"/>
    <w:rsid w:val="009C6D75"/>
    <w:rsid w:val="009C76E3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1083"/>
    <w:rsid w:val="009E2A58"/>
    <w:rsid w:val="009E3156"/>
    <w:rsid w:val="009E52D7"/>
    <w:rsid w:val="009E682C"/>
    <w:rsid w:val="009F7A1C"/>
    <w:rsid w:val="00A000CA"/>
    <w:rsid w:val="00A00639"/>
    <w:rsid w:val="00A0221A"/>
    <w:rsid w:val="00A0394D"/>
    <w:rsid w:val="00A04837"/>
    <w:rsid w:val="00A064CC"/>
    <w:rsid w:val="00A104FC"/>
    <w:rsid w:val="00A124D9"/>
    <w:rsid w:val="00A129F3"/>
    <w:rsid w:val="00A137F7"/>
    <w:rsid w:val="00A13982"/>
    <w:rsid w:val="00A13B42"/>
    <w:rsid w:val="00A147DB"/>
    <w:rsid w:val="00A14DE7"/>
    <w:rsid w:val="00A15A25"/>
    <w:rsid w:val="00A15B7C"/>
    <w:rsid w:val="00A161A9"/>
    <w:rsid w:val="00A16D17"/>
    <w:rsid w:val="00A16EFD"/>
    <w:rsid w:val="00A20BC5"/>
    <w:rsid w:val="00A21054"/>
    <w:rsid w:val="00A21497"/>
    <w:rsid w:val="00A22750"/>
    <w:rsid w:val="00A231DE"/>
    <w:rsid w:val="00A24DA0"/>
    <w:rsid w:val="00A26209"/>
    <w:rsid w:val="00A271B5"/>
    <w:rsid w:val="00A276D8"/>
    <w:rsid w:val="00A27CEB"/>
    <w:rsid w:val="00A3041C"/>
    <w:rsid w:val="00A3172A"/>
    <w:rsid w:val="00A34F03"/>
    <w:rsid w:val="00A374B1"/>
    <w:rsid w:val="00A400D9"/>
    <w:rsid w:val="00A413F7"/>
    <w:rsid w:val="00A41973"/>
    <w:rsid w:val="00A43410"/>
    <w:rsid w:val="00A43DB9"/>
    <w:rsid w:val="00A44630"/>
    <w:rsid w:val="00A44E07"/>
    <w:rsid w:val="00A45128"/>
    <w:rsid w:val="00A4517E"/>
    <w:rsid w:val="00A502E5"/>
    <w:rsid w:val="00A51B13"/>
    <w:rsid w:val="00A51DC1"/>
    <w:rsid w:val="00A52030"/>
    <w:rsid w:val="00A521F4"/>
    <w:rsid w:val="00A5313B"/>
    <w:rsid w:val="00A53B08"/>
    <w:rsid w:val="00A544A4"/>
    <w:rsid w:val="00A547C5"/>
    <w:rsid w:val="00A604A4"/>
    <w:rsid w:val="00A6296B"/>
    <w:rsid w:val="00A644C5"/>
    <w:rsid w:val="00A654CA"/>
    <w:rsid w:val="00A675BA"/>
    <w:rsid w:val="00A67EC1"/>
    <w:rsid w:val="00A70962"/>
    <w:rsid w:val="00A70B4A"/>
    <w:rsid w:val="00A71977"/>
    <w:rsid w:val="00A71B9D"/>
    <w:rsid w:val="00A72622"/>
    <w:rsid w:val="00A7325E"/>
    <w:rsid w:val="00A7345B"/>
    <w:rsid w:val="00A7352E"/>
    <w:rsid w:val="00A76613"/>
    <w:rsid w:val="00A77DC2"/>
    <w:rsid w:val="00A82F5A"/>
    <w:rsid w:val="00A83E10"/>
    <w:rsid w:val="00A84468"/>
    <w:rsid w:val="00A861D2"/>
    <w:rsid w:val="00A8649F"/>
    <w:rsid w:val="00A90165"/>
    <w:rsid w:val="00A90C4D"/>
    <w:rsid w:val="00A90F20"/>
    <w:rsid w:val="00A91DBE"/>
    <w:rsid w:val="00A938F3"/>
    <w:rsid w:val="00A948E9"/>
    <w:rsid w:val="00A950DB"/>
    <w:rsid w:val="00A95D14"/>
    <w:rsid w:val="00A95F76"/>
    <w:rsid w:val="00A978EA"/>
    <w:rsid w:val="00A97CE2"/>
    <w:rsid w:val="00AA2C91"/>
    <w:rsid w:val="00AA3F50"/>
    <w:rsid w:val="00AA42D6"/>
    <w:rsid w:val="00AA42EB"/>
    <w:rsid w:val="00AA4B9B"/>
    <w:rsid w:val="00AA7979"/>
    <w:rsid w:val="00AB33B7"/>
    <w:rsid w:val="00AB3C59"/>
    <w:rsid w:val="00AB4418"/>
    <w:rsid w:val="00AB4E95"/>
    <w:rsid w:val="00AB5E04"/>
    <w:rsid w:val="00AB717C"/>
    <w:rsid w:val="00AB72BA"/>
    <w:rsid w:val="00AB7AC9"/>
    <w:rsid w:val="00AC0073"/>
    <w:rsid w:val="00AC18C7"/>
    <w:rsid w:val="00AC22CF"/>
    <w:rsid w:val="00AC3986"/>
    <w:rsid w:val="00AC66D2"/>
    <w:rsid w:val="00AD1582"/>
    <w:rsid w:val="00AD272E"/>
    <w:rsid w:val="00AD2999"/>
    <w:rsid w:val="00AD370F"/>
    <w:rsid w:val="00AD3812"/>
    <w:rsid w:val="00AD4377"/>
    <w:rsid w:val="00AD4F26"/>
    <w:rsid w:val="00AD5BB6"/>
    <w:rsid w:val="00AD6880"/>
    <w:rsid w:val="00AD736B"/>
    <w:rsid w:val="00AE068C"/>
    <w:rsid w:val="00AE0D89"/>
    <w:rsid w:val="00AE1C32"/>
    <w:rsid w:val="00AE27A6"/>
    <w:rsid w:val="00AE2ABD"/>
    <w:rsid w:val="00AE3F60"/>
    <w:rsid w:val="00AE553B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C57"/>
    <w:rsid w:val="00AF6EFE"/>
    <w:rsid w:val="00B01809"/>
    <w:rsid w:val="00B01E6B"/>
    <w:rsid w:val="00B0283E"/>
    <w:rsid w:val="00B02BDD"/>
    <w:rsid w:val="00B033F4"/>
    <w:rsid w:val="00B04FEC"/>
    <w:rsid w:val="00B0688B"/>
    <w:rsid w:val="00B06DB1"/>
    <w:rsid w:val="00B06E0C"/>
    <w:rsid w:val="00B10786"/>
    <w:rsid w:val="00B10909"/>
    <w:rsid w:val="00B10F10"/>
    <w:rsid w:val="00B11331"/>
    <w:rsid w:val="00B117F6"/>
    <w:rsid w:val="00B14433"/>
    <w:rsid w:val="00B16CE4"/>
    <w:rsid w:val="00B16D1D"/>
    <w:rsid w:val="00B16E69"/>
    <w:rsid w:val="00B20494"/>
    <w:rsid w:val="00B226CD"/>
    <w:rsid w:val="00B2336A"/>
    <w:rsid w:val="00B234AD"/>
    <w:rsid w:val="00B3257C"/>
    <w:rsid w:val="00B33398"/>
    <w:rsid w:val="00B36132"/>
    <w:rsid w:val="00B3617A"/>
    <w:rsid w:val="00B36214"/>
    <w:rsid w:val="00B36E89"/>
    <w:rsid w:val="00B42576"/>
    <w:rsid w:val="00B446BF"/>
    <w:rsid w:val="00B44ADE"/>
    <w:rsid w:val="00B453A5"/>
    <w:rsid w:val="00B4597A"/>
    <w:rsid w:val="00B45A8F"/>
    <w:rsid w:val="00B50EDD"/>
    <w:rsid w:val="00B531DA"/>
    <w:rsid w:val="00B55B9F"/>
    <w:rsid w:val="00B570D1"/>
    <w:rsid w:val="00B57ECB"/>
    <w:rsid w:val="00B600A7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54C"/>
    <w:rsid w:val="00B635C0"/>
    <w:rsid w:val="00B639AE"/>
    <w:rsid w:val="00B63BC5"/>
    <w:rsid w:val="00B64FE9"/>
    <w:rsid w:val="00B66ADA"/>
    <w:rsid w:val="00B70A77"/>
    <w:rsid w:val="00B70FEA"/>
    <w:rsid w:val="00B73F50"/>
    <w:rsid w:val="00B73F56"/>
    <w:rsid w:val="00B7423F"/>
    <w:rsid w:val="00B744FD"/>
    <w:rsid w:val="00B74770"/>
    <w:rsid w:val="00B750B3"/>
    <w:rsid w:val="00B7692B"/>
    <w:rsid w:val="00B772A4"/>
    <w:rsid w:val="00B80B06"/>
    <w:rsid w:val="00B817CC"/>
    <w:rsid w:val="00B82E10"/>
    <w:rsid w:val="00B851E2"/>
    <w:rsid w:val="00B85C21"/>
    <w:rsid w:val="00B85F87"/>
    <w:rsid w:val="00B86C71"/>
    <w:rsid w:val="00B87925"/>
    <w:rsid w:val="00B87AC9"/>
    <w:rsid w:val="00B87C77"/>
    <w:rsid w:val="00B94BD5"/>
    <w:rsid w:val="00BA05AF"/>
    <w:rsid w:val="00BA05CB"/>
    <w:rsid w:val="00BA1CE0"/>
    <w:rsid w:val="00BA20BF"/>
    <w:rsid w:val="00BA3DCF"/>
    <w:rsid w:val="00BA72B1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7770"/>
    <w:rsid w:val="00BD0705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F03"/>
    <w:rsid w:val="00BD713D"/>
    <w:rsid w:val="00BD79F2"/>
    <w:rsid w:val="00BE052F"/>
    <w:rsid w:val="00BE0F84"/>
    <w:rsid w:val="00BE269D"/>
    <w:rsid w:val="00BE26EE"/>
    <w:rsid w:val="00BE2C7E"/>
    <w:rsid w:val="00BE3EBD"/>
    <w:rsid w:val="00BE4D50"/>
    <w:rsid w:val="00BE5779"/>
    <w:rsid w:val="00BE681E"/>
    <w:rsid w:val="00BF011D"/>
    <w:rsid w:val="00BF0E04"/>
    <w:rsid w:val="00BF0F38"/>
    <w:rsid w:val="00BF14F4"/>
    <w:rsid w:val="00BF15FE"/>
    <w:rsid w:val="00BF1D74"/>
    <w:rsid w:val="00BF28A9"/>
    <w:rsid w:val="00BF2C8B"/>
    <w:rsid w:val="00BF332E"/>
    <w:rsid w:val="00BF3780"/>
    <w:rsid w:val="00BF3E41"/>
    <w:rsid w:val="00BF54EF"/>
    <w:rsid w:val="00BF7AFA"/>
    <w:rsid w:val="00C00EC9"/>
    <w:rsid w:val="00C013B4"/>
    <w:rsid w:val="00C016BD"/>
    <w:rsid w:val="00C02059"/>
    <w:rsid w:val="00C0250F"/>
    <w:rsid w:val="00C02639"/>
    <w:rsid w:val="00C02A7D"/>
    <w:rsid w:val="00C046B1"/>
    <w:rsid w:val="00C049EB"/>
    <w:rsid w:val="00C0692C"/>
    <w:rsid w:val="00C070B3"/>
    <w:rsid w:val="00C077F1"/>
    <w:rsid w:val="00C10A05"/>
    <w:rsid w:val="00C10BA4"/>
    <w:rsid w:val="00C10C88"/>
    <w:rsid w:val="00C12EDB"/>
    <w:rsid w:val="00C13086"/>
    <w:rsid w:val="00C166F9"/>
    <w:rsid w:val="00C179F7"/>
    <w:rsid w:val="00C17A37"/>
    <w:rsid w:val="00C200F7"/>
    <w:rsid w:val="00C21058"/>
    <w:rsid w:val="00C21104"/>
    <w:rsid w:val="00C217BA"/>
    <w:rsid w:val="00C21ABF"/>
    <w:rsid w:val="00C229EC"/>
    <w:rsid w:val="00C24351"/>
    <w:rsid w:val="00C268CF"/>
    <w:rsid w:val="00C26D09"/>
    <w:rsid w:val="00C2764E"/>
    <w:rsid w:val="00C305AE"/>
    <w:rsid w:val="00C307A8"/>
    <w:rsid w:val="00C30E83"/>
    <w:rsid w:val="00C334F9"/>
    <w:rsid w:val="00C3468B"/>
    <w:rsid w:val="00C359BC"/>
    <w:rsid w:val="00C35BF2"/>
    <w:rsid w:val="00C35F99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1C29"/>
    <w:rsid w:val="00C5433E"/>
    <w:rsid w:val="00C54C3D"/>
    <w:rsid w:val="00C55103"/>
    <w:rsid w:val="00C553B5"/>
    <w:rsid w:val="00C60EE9"/>
    <w:rsid w:val="00C62F85"/>
    <w:rsid w:val="00C63C71"/>
    <w:rsid w:val="00C6435B"/>
    <w:rsid w:val="00C64827"/>
    <w:rsid w:val="00C649B2"/>
    <w:rsid w:val="00C65929"/>
    <w:rsid w:val="00C67698"/>
    <w:rsid w:val="00C701B3"/>
    <w:rsid w:val="00C706A5"/>
    <w:rsid w:val="00C71138"/>
    <w:rsid w:val="00C72080"/>
    <w:rsid w:val="00C72318"/>
    <w:rsid w:val="00C73AF1"/>
    <w:rsid w:val="00C73C35"/>
    <w:rsid w:val="00C744C3"/>
    <w:rsid w:val="00C76249"/>
    <w:rsid w:val="00C77FF2"/>
    <w:rsid w:val="00C80E65"/>
    <w:rsid w:val="00C814E3"/>
    <w:rsid w:val="00C823BD"/>
    <w:rsid w:val="00C82FA2"/>
    <w:rsid w:val="00C85227"/>
    <w:rsid w:val="00C85F79"/>
    <w:rsid w:val="00C87EFC"/>
    <w:rsid w:val="00C91677"/>
    <w:rsid w:val="00C929CE"/>
    <w:rsid w:val="00C93EAA"/>
    <w:rsid w:val="00C93FD8"/>
    <w:rsid w:val="00C94A80"/>
    <w:rsid w:val="00C94E38"/>
    <w:rsid w:val="00C94F63"/>
    <w:rsid w:val="00C95A6B"/>
    <w:rsid w:val="00C968CC"/>
    <w:rsid w:val="00C976F1"/>
    <w:rsid w:val="00C97B9F"/>
    <w:rsid w:val="00CA482A"/>
    <w:rsid w:val="00CA49CC"/>
    <w:rsid w:val="00CA5870"/>
    <w:rsid w:val="00CA6364"/>
    <w:rsid w:val="00CA6F5A"/>
    <w:rsid w:val="00CA6F70"/>
    <w:rsid w:val="00CA71DA"/>
    <w:rsid w:val="00CA7EF6"/>
    <w:rsid w:val="00CB00C5"/>
    <w:rsid w:val="00CB09C6"/>
    <w:rsid w:val="00CB1696"/>
    <w:rsid w:val="00CB2C1A"/>
    <w:rsid w:val="00CB3616"/>
    <w:rsid w:val="00CB3CA9"/>
    <w:rsid w:val="00CB45B8"/>
    <w:rsid w:val="00CB592A"/>
    <w:rsid w:val="00CB6356"/>
    <w:rsid w:val="00CB6AA0"/>
    <w:rsid w:val="00CC30D7"/>
    <w:rsid w:val="00CC3DB6"/>
    <w:rsid w:val="00CC4490"/>
    <w:rsid w:val="00CC5917"/>
    <w:rsid w:val="00CC665B"/>
    <w:rsid w:val="00CC77E4"/>
    <w:rsid w:val="00CD00FA"/>
    <w:rsid w:val="00CD1559"/>
    <w:rsid w:val="00CD1E97"/>
    <w:rsid w:val="00CD259B"/>
    <w:rsid w:val="00CD3A9A"/>
    <w:rsid w:val="00CD4181"/>
    <w:rsid w:val="00CD7B38"/>
    <w:rsid w:val="00CE0A3F"/>
    <w:rsid w:val="00CE24DD"/>
    <w:rsid w:val="00CE27F5"/>
    <w:rsid w:val="00CE4D13"/>
    <w:rsid w:val="00CE5396"/>
    <w:rsid w:val="00CE555C"/>
    <w:rsid w:val="00CE7872"/>
    <w:rsid w:val="00CF0163"/>
    <w:rsid w:val="00CF09A5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8F5"/>
    <w:rsid w:val="00D139C9"/>
    <w:rsid w:val="00D13B8F"/>
    <w:rsid w:val="00D13E89"/>
    <w:rsid w:val="00D16D05"/>
    <w:rsid w:val="00D17130"/>
    <w:rsid w:val="00D17758"/>
    <w:rsid w:val="00D21428"/>
    <w:rsid w:val="00D23E6D"/>
    <w:rsid w:val="00D23F6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B9B"/>
    <w:rsid w:val="00D35EAD"/>
    <w:rsid w:val="00D37DFB"/>
    <w:rsid w:val="00D40078"/>
    <w:rsid w:val="00D4022D"/>
    <w:rsid w:val="00D414F5"/>
    <w:rsid w:val="00D41F51"/>
    <w:rsid w:val="00D454E7"/>
    <w:rsid w:val="00D46097"/>
    <w:rsid w:val="00D46521"/>
    <w:rsid w:val="00D53275"/>
    <w:rsid w:val="00D54358"/>
    <w:rsid w:val="00D553C6"/>
    <w:rsid w:val="00D5577E"/>
    <w:rsid w:val="00D5614A"/>
    <w:rsid w:val="00D563AD"/>
    <w:rsid w:val="00D5679E"/>
    <w:rsid w:val="00D567AA"/>
    <w:rsid w:val="00D604DA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13A0"/>
    <w:rsid w:val="00D7152A"/>
    <w:rsid w:val="00D7233D"/>
    <w:rsid w:val="00D724DC"/>
    <w:rsid w:val="00D741FC"/>
    <w:rsid w:val="00D7524D"/>
    <w:rsid w:val="00D75C4F"/>
    <w:rsid w:val="00D76CA5"/>
    <w:rsid w:val="00D76ED3"/>
    <w:rsid w:val="00D77DC1"/>
    <w:rsid w:val="00D77E85"/>
    <w:rsid w:val="00D77F27"/>
    <w:rsid w:val="00D80A2B"/>
    <w:rsid w:val="00D80D6A"/>
    <w:rsid w:val="00D84084"/>
    <w:rsid w:val="00D8421B"/>
    <w:rsid w:val="00D85054"/>
    <w:rsid w:val="00D851B0"/>
    <w:rsid w:val="00D90594"/>
    <w:rsid w:val="00D90AA2"/>
    <w:rsid w:val="00D9112C"/>
    <w:rsid w:val="00D92B4D"/>
    <w:rsid w:val="00D93334"/>
    <w:rsid w:val="00D93A63"/>
    <w:rsid w:val="00D93D3C"/>
    <w:rsid w:val="00D93D73"/>
    <w:rsid w:val="00D9452B"/>
    <w:rsid w:val="00D94ADC"/>
    <w:rsid w:val="00D96AB7"/>
    <w:rsid w:val="00D977C8"/>
    <w:rsid w:val="00DA244B"/>
    <w:rsid w:val="00DA3198"/>
    <w:rsid w:val="00DA3867"/>
    <w:rsid w:val="00DA3E9A"/>
    <w:rsid w:val="00DA6F31"/>
    <w:rsid w:val="00DA706E"/>
    <w:rsid w:val="00DA7137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49B6"/>
    <w:rsid w:val="00DB5B40"/>
    <w:rsid w:val="00DB6DA6"/>
    <w:rsid w:val="00DC1302"/>
    <w:rsid w:val="00DC13E1"/>
    <w:rsid w:val="00DC1E47"/>
    <w:rsid w:val="00DC2397"/>
    <w:rsid w:val="00DC364B"/>
    <w:rsid w:val="00DC4B35"/>
    <w:rsid w:val="00DC4FBE"/>
    <w:rsid w:val="00DC5A31"/>
    <w:rsid w:val="00DC676B"/>
    <w:rsid w:val="00DD2648"/>
    <w:rsid w:val="00DD79E3"/>
    <w:rsid w:val="00DE048F"/>
    <w:rsid w:val="00DE215D"/>
    <w:rsid w:val="00DE491D"/>
    <w:rsid w:val="00DE552A"/>
    <w:rsid w:val="00DE5A78"/>
    <w:rsid w:val="00DE5D94"/>
    <w:rsid w:val="00DE7FFC"/>
    <w:rsid w:val="00DF0119"/>
    <w:rsid w:val="00DF171F"/>
    <w:rsid w:val="00DF1AB3"/>
    <w:rsid w:val="00DF1AB5"/>
    <w:rsid w:val="00DF369E"/>
    <w:rsid w:val="00E0008D"/>
    <w:rsid w:val="00E009EE"/>
    <w:rsid w:val="00E00CDF"/>
    <w:rsid w:val="00E0120D"/>
    <w:rsid w:val="00E01521"/>
    <w:rsid w:val="00E016C4"/>
    <w:rsid w:val="00E0246A"/>
    <w:rsid w:val="00E02A34"/>
    <w:rsid w:val="00E030B1"/>
    <w:rsid w:val="00E040F3"/>
    <w:rsid w:val="00E0420B"/>
    <w:rsid w:val="00E042F5"/>
    <w:rsid w:val="00E0719F"/>
    <w:rsid w:val="00E07465"/>
    <w:rsid w:val="00E11853"/>
    <w:rsid w:val="00E11BB7"/>
    <w:rsid w:val="00E11D10"/>
    <w:rsid w:val="00E11EBD"/>
    <w:rsid w:val="00E1447C"/>
    <w:rsid w:val="00E1484A"/>
    <w:rsid w:val="00E14DE9"/>
    <w:rsid w:val="00E163A1"/>
    <w:rsid w:val="00E16DF8"/>
    <w:rsid w:val="00E16EEC"/>
    <w:rsid w:val="00E1715A"/>
    <w:rsid w:val="00E204D1"/>
    <w:rsid w:val="00E2206C"/>
    <w:rsid w:val="00E234D4"/>
    <w:rsid w:val="00E25030"/>
    <w:rsid w:val="00E265E4"/>
    <w:rsid w:val="00E3029E"/>
    <w:rsid w:val="00E30F1C"/>
    <w:rsid w:val="00E32127"/>
    <w:rsid w:val="00E3351C"/>
    <w:rsid w:val="00E33A89"/>
    <w:rsid w:val="00E3427F"/>
    <w:rsid w:val="00E34506"/>
    <w:rsid w:val="00E345E9"/>
    <w:rsid w:val="00E36F48"/>
    <w:rsid w:val="00E41784"/>
    <w:rsid w:val="00E41E05"/>
    <w:rsid w:val="00E41E0C"/>
    <w:rsid w:val="00E42A8D"/>
    <w:rsid w:val="00E44128"/>
    <w:rsid w:val="00E442A1"/>
    <w:rsid w:val="00E443E4"/>
    <w:rsid w:val="00E45315"/>
    <w:rsid w:val="00E45773"/>
    <w:rsid w:val="00E461FA"/>
    <w:rsid w:val="00E477A6"/>
    <w:rsid w:val="00E47D6F"/>
    <w:rsid w:val="00E50D58"/>
    <w:rsid w:val="00E5131F"/>
    <w:rsid w:val="00E5224B"/>
    <w:rsid w:val="00E531E7"/>
    <w:rsid w:val="00E543BB"/>
    <w:rsid w:val="00E55C95"/>
    <w:rsid w:val="00E55FB3"/>
    <w:rsid w:val="00E56009"/>
    <w:rsid w:val="00E56675"/>
    <w:rsid w:val="00E57400"/>
    <w:rsid w:val="00E60F25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794"/>
    <w:rsid w:val="00E7611D"/>
    <w:rsid w:val="00E7678D"/>
    <w:rsid w:val="00E772C0"/>
    <w:rsid w:val="00E8457A"/>
    <w:rsid w:val="00E85462"/>
    <w:rsid w:val="00E85929"/>
    <w:rsid w:val="00E865C9"/>
    <w:rsid w:val="00E870DB"/>
    <w:rsid w:val="00E87D24"/>
    <w:rsid w:val="00E905BD"/>
    <w:rsid w:val="00E9062C"/>
    <w:rsid w:val="00E92BE9"/>
    <w:rsid w:val="00E92F9F"/>
    <w:rsid w:val="00E94716"/>
    <w:rsid w:val="00E9473C"/>
    <w:rsid w:val="00E94AC2"/>
    <w:rsid w:val="00E95525"/>
    <w:rsid w:val="00E96060"/>
    <w:rsid w:val="00E96E14"/>
    <w:rsid w:val="00E9702D"/>
    <w:rsid w:val="00E974FA"/>
    <w:rsid w:val="00E97A41"/>
    <w:rsid w:val="00EA1EEC"/>
    <w:rsid w:val="00EA2018"/>
    <w:rsid w:val="00EA205A"/>
    <w:rsid w:val="00EA3C3C"/>
    <w:rsid w:val="00EA4C22"/>
    <w:rsid w:val="00EA5580"/>
    <w:rsid w:val="00EA57D0"/>
    <w:rsid w:val="00EB078A"/>
    <w:rsid w:val="00EB0D9D"/>
    <w:rsid w:val="00EB1F10"/>
    <w:rsid w:val="00EB284E"/>
    <w:rsid w:val="00EB2FF9"/>
    <w:rsid w:val="00EB35F3"/>
    <w:rsid w:val="00EB41C4"/>
    <w:rsid w:val="00EB4313"/>
    <w:rsid w:val="00EB5E7C"/>
    <w:rsid w:val="00EB61C0"/>
    <w:rsid w:val="00EB676E"/>
    <w:rsid w:val="00EB68B6"/>
    <w:rsid w:val="00EB6BE8"/>
    <w:rsid w:val="00EB6C77"/>
    <w:rsid w:val="00EC04CA"/>
    <w:rsid w:val="00EC1D43"/>
    <w:rsid w:val="00EC42FA"/>
    <w:rsid w:val="00EC5534"/>
    <w:rsid w:val="00EC578A"/>
    <w:rsid w:val="00EC6555"/>
    <w:rsid w:val="00EC6F5C"/>
    <w:rsid w:val="00EC75B2"/>
    <w:rsid w:val="00EC7956"/>
    <w:rsid w:val="00ED0791"/>
    <w:rsid w:val="00ED0ED5"/>
    <w:rsid w:val="00ED2CEA"/>
    <w:rsid w:val="00ED3373"/>
    <w:rsid w:val="00ED602D"/>
    <w:rsid w:val="00ED6E53"/>
    <w:rsid w:val="00ED7023"/>
    <w:rsid w:val="00ED71A4"/>
    <w:rsid w:val="00EE0397"/>
    <w:rsid w:val="00EE0655"/>
    <w:rsid w:val="00EE1923"/>
    <w:rsid w:val="00EE3490"/>
    <w:rsid w:val="00EE571A"/>
    <w:rsid w:val="00EE7955"/>
    <w:rsid w:val="00EF0475"/>
    <w:rsid w:val="00EF1E54"/>
    <w:rsid w:val="00EF24E6"/>
    <w:rsid w:val="00EF2C03"/>
    <w:rsid w:val="00EF2FA6"/>
    <w:rsid w:val="00EF2FFA"/>
    <w:rsid w:val="00EF3BCC"/>
    <w:rsid w:val="00EF4D2C"/>
    <w:rsid w:val="00EF5A96"/>
    <w:rsid w:val="00EF772F"/>
    <w:rsid w:val="00F04758"/>
    <w:rsid w:val="00F06A6A"/>
    <w:rsid w:val="00F06B39"/>
    <w:rsid w:val="00F06F28"/>
    <w:rsid w:val="00F07166"/>
    <w:rsid w:val="00F078CD"/>
    <w:rsid w:val="00F10829"/>
    <w:rsid w:val="00F109BA"/>
    <w:rsid w:val="00F11462"/>
    <w:rsid w:val="00F119B5"/>
    <w:rsid w:val="00F12B69"/>
    <w:rsid w:val="00F16BDC"/>
    <w:rsid w:val="00F17B9D"/>
    <w:rsid w:val="00F20644"/>
    <w:rsid w:val="00F20E5B"/>
    <w:rsid w:val="00F21FD0"/>
    <w:rsid w:val="00F23039"/>
    <w:rsid w:val="00F24882"/>
    <w:rsid w:val="00F24E95"/>
    <w:rsid w:val="00F27A8A"/>
    <w:rsid w:val="00F35575"/>
    <w:rsid w:val="00F3570E"/>
    <w:rsid w:val="00F35DBC"/>
    <w:rsid w:val="00F3620D"/>
    <w:rsid w:val="00F37379"/>
    <w:rsid w:val="00F37422"/>
    <w:rsid w:val="00F406EF"/>
    <w:rsid w:val="00F409B1"/>
    <w:rsid w:val="00F40FCE"/>
    <w:rsid w:val="00F40FEE"/>
    <w:rsid w:val="00F430E6"/>
    <w:rsid w:val="00F44BD0"/>
    <w:rsid w:val="00F44CD1"/>
    <w:rsid w:val="00F4574D"/>
    <w:rsid w:val="00F469DA"/>
    <w:rsid w:val="00F50003"/>
    <w:rsid w:val="00F50CB9"/>
    <w:rsid w:val="00F52F0C"/>
    <w:rsid w:val="00F53CD4"/>
    <w:rsid w:val="00F5423D"/>
    <w:rsid w:val="00F6021D"/>
    <w:rsid w:val="00F60885"/>
    <w:rsid w:val="00F60DDE"/>
    <w:rsid w:val="00F61D79"/>
    <w:rsid w:val="00F625E1"/>
    <w:rsid w:val="00F628B0"/>
    <w:rsid w:val="00F62B6E"/>
    <w:rsid w:val="00F65398"/>
    <w:rsid w:val="00F654BE"/>
    <w:rsid w:val="00F656E6"/>
    <w:rsid w:val="00F65FAF"/>
    <w:rsid w:val="00F663A6"/>
    <w:rsid w:val="00F66680"/>
    <w:rsid w:val="00F66E42"/>
    <w:rsid w:val="00F671C6"/>
    <w:rsid w:val="00F70FE5"/>
    <w:rsid w:val="00F71ED3"/>
    <w:rsid w:val="00F727CB"/>
    <w:rsid w:val="00F733C9"/>
    <w:rsid w:val="00F752D4"/>
    <w:rsid w:val="00F766B2"/>
    <w:rsid w:val="00F76B9D"/>
    <w:rsid w:val="00F80F35"/>
    <w:rsid w:val="00F81337"/>
    <w:rsid w:val="00F82FA0"/>
    <w:rsid w:val="00F8335D"/>
    <w:rsid w:val="00F83AD4"/>
    <w:rsid w:val="00F83EC5"/>
    <w:rsid w:val="00F8477B"/>
    <w:rsid w:val="00F86A23"/>
    <w:rsid w:val="00F86EAC"/>
    <w:rsid w:val="00F86FF5"/>
    <w:rsid w:val="00F90C09"/>
    <w:rsid w:val="00F90E31"/>
    <w:rsid w:val="00F93158"/>
    <w:rsid w:val="00F9424E"/>
    <w:rsid w:val="00F95AB9"/>
    <w:rsid w:val="00F96227"/>
    <w:rsid w:val="00FA00D7"/>
    <w:rsid w:val="00FA12E0"/>
    <w:rsid w:val="00FA1489"/>
    <w:rsid w:val="00FA174F"/>
    <w:rsid w:val="00FA2D27"/>
    <w:rsid w:val="00FA2E00"/>
    <w:rsid w:val="00FA3097"/>
    <w:rsid w:val="00FA33E5"/>
    <w:rsid w:val="00FA37C6"/>
    <w:rsid w:val="00FA5F0F"/>
    <w:rsid w:val="00FB444E"/>
    <w:rsid w:val="00FB45CC"/>
    <w:rsid w:val="00FB52FD"/>
    <w:rsid w:val="00FB5856"/>
    <w:rsid w:val="00FB6069"/>
    <w:rsid w:val="00FB60D3"/>
    <w:rsid w:val="00FB6CFF"/>
    <w:rsid w:val="00FB7CD3"/>
    <w:rsid w:val="00FC12D6"/>
    <w:rsid w:val="00FC2160"/>
    <w:rsid w:val="00FC2218"/>
    <w:rsid w:val="00FC2BA0"/>
    <w:rsid w:val="00FC336F"/>
    <w:rsid w:val="00FC370A"/>
    <w:rsid w:val="00FC4BB0"/>
    <w:rsid w:val="00FC4E57"/>
    <w:rsid w:val="00FC7126"/>
    <w:rsid w:val="00FC7143"/>
    <w:rsid w:val="00FC7C7F"/>
    <w:rsid w:val="00FD2441"/>
    <w:rsid w:val="00FD3616"/>
    <w:rsid w:val="00FD3A4D"/>
    <w:rsid w:val="00FD44AB"/>
    <w:rsid w:val="00FD4A4B"/>
    <w:rsid w:val="00FD511B"/>
    <w:rsid w:val="00FD5C41"/>
    <w:rsid w:val="00FD5E2D"/>
    <w:rsid w:val="00FD7AD8"/>
    <w:rsid w:val="00FD7BFC"/>
    <w:rsid w:val="00FD7CAB"/>
    <w:rsid w:val="00FE0E04"/>
    <w:rsid w:val="00FE0FCA"/>
    <w:rsid w:val="00FE1AEA"/>
    <w:rsid w:val="00FE20AE"/>
    <w:rsid w:val="00FE3CBE"/>
    <w:rsid w:val="00FE4BDD"/>
    <w:rsid w:val="00FE639A"/>
    <w:rsid w:val="00FE6B1B"/>
    <w:rsid w:val="00FF1F1D"/>
    <w:rsid w:val="00FF2FF6"/>
    <w:rsid w:val="00FF31FB"/>
    <w:rsid w:val="00FF392F"/>
    <w:rsid w:val="00FF44FD"/>
    <w:rsid w:val="00FF53E4"/>
    <w:rsid w:val="00FF662E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hcp.ma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2-2015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1-2015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2-2015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2-2015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2-2015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5\resultats\resultatseECM(trim1-08-trim2-201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Evolution de l'Indice de Confiance des Ménages</a:t>
            </a:r>
            <a:endParaRPr lang="fr-FR" sz="16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fr'!$A$119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25"/>
              <c:showVal val="1"/>
            </c:dLbl>
            <c:dLbl>
              <c:idx val="28"/>
              <c:layout>
                <c:manualLayout>
                  <c:x val="-9.8911968348171266E-3"/>
                  <c:y val="8.4121976866457279E-3"/>
                </c:manualLayout>
              </c:layout>
              <c:showVal val="1"/>
            </c:dLbl>
            <c:dLbl>
              <c:idx val="29"/>
              <c:showVal val="1"/>
            </c:dLbl>
            <c:delete val="1"/>
          </c:dLbls>
          <c:cat>
            <c:strRef>
              <c:f>'graphe fr'!$B$110:$AE$110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 fr'!$B$119:$AE$119</c:f>
              <c:numCache>
                <c:formatCode>#,##0.0</c:formatCode>
                <c:ptCount val="30"/>
                <c:pt idx="0">
                  <c:v>85.866502294191648</c:v>
                </c:pt>
                <c:pt idx="1">
                  <c:v>77.678707955852474</c:v>
                </c:pt>
                <c:pt idx="2">
                  <c:v>75.55248063575597</c:v>
                </c:pt>
                <c:pt idx="3">
                  <c:v>80.136884034904114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80.136086093618815</c:v>
                </c:pt>
                <c:pt idx="9">
                  <c:v>78.833388330573484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78.406406130604239</c:v>
                </c:pt>
                <c:pt idx="13">
                  <c:v>85.789532632532229</c:v>
                </c:pt>
                <c:pt idx="14">
                  <c:v>86.506225251482533</c:v>
                </c:pt>
                <c:pt idx="15">
                  <c:v>84.47721469487783</c:v>
                </c:pt>
                <c:pt idx="16">
                  <c:v>82.880478542820782</c:v>
                </c:pt>
                <c:pt idx="17">
                  <c:v>80.673652783725359</c:v>
                </c:pt>
                <c:pt idx="18">
                  <c:v>77.553867036568803</c:v>
                </c:pt>
                <c:pt idx="19">
                  <c:v>78.403353681350168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74.014553099962058</c:v>
                </c:pt>
                <c:pt idx="26">
                  <c:v>73.148145370690258</c:v>
                </c:pt>
                <c:pt idx="27">
                  <c:v>71.583460003653371</c:v>
                </c:pt>
                <c:pt idx="28">
                  <c:v>73.659282965035374</c:v>
                </c:pt>
                <c:pt idx="29">
                  <c:v>76.139385287093688</c:v>
                </c:pt>
              </c:numCache>
            </c:numRef>
          </c:val>
        </c:ser>
        <c:axId val="111382528"/>
        <c:axId val="111384064"/>
      </c:barChart>
      <c:catAx>
        <c:axId val="1113825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fr-FR"/>
          </a:p>
        </c:txPr>
        <c:crossAx val="111384064"/>
        <c:crosses val="autoZero"/>
        <c:auto val="1"/>
        <c:lblAlgn val="ctr"/>
        <c:lblOffset val="100"/>
      </c:catAx>
      <c:valAx>
        <c:axId val="111384064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900" b="1"/>
            </a:pPr>
            <a:endParaRPr lang="fr-FR"/>
          </a:p>
        </c:txPr>
        <c:crossAx val="11138252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fr-FR" sz="1400" b="1" i="0" baseline="0"/>
              <a:t>Perception de l'évolution passée et future du niveau de vie</a:t>
            </a:r>
          </a:p>
          <a:p>
            <a:pPr algn="ctr">
              <a:defRPr/>
            </a:pPr>
            <a:r>
              <a:rPr lang="fr-FR" sz="1400" b="1" i="0" baseline="0"/>
              <a:t>(soldes d'opinions)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fr'!$A$112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fr'!$B$110:$AE$110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 fr'!$B$112:$AE$112</c:f>
              <c:numCache>
                <c:formatCode>#,##0.0</c:formatCode>
                <c:ptCount val="30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-31.141291421499833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-25.723634629572913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-37.23676034498358</c:v>
                </c:pt>
                <c:pt idx="12">
                  <c:v>-26.050959167650209</c:v>
                </c:pt>
                <c:pt idx="13">
                  <c:v>-16.961438303130777</c:v>
                </c:pt>
                <c:pt idx="14">
                  <c:v>-13.439142519852059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-28.088708351168577</c:v>
                </c:pt>
                <c:pt idx="20">
                  <c:v>-29.212341127418195</c:v>
                </c:pt>
                <c:pt idx="21">
                  <c:v>-23.102864483982131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-17.387590506775545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</c:numCache>
            </c:numRef>
          </c:val>
        </c:ser>
        <c:ser>
          <c:idx val="1"/>
          <c:order val="1"/>
          <c:tx>
            <c:strRef>
              <c:f>'graphe fr'!$A$113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marker>
            <c:symbol val="square"/>
            <c:size val="5"/>
          </c:marker>
          <c:cat>
            <c:strRef>
              <c:f>'graphe fr'!$B$110:$AE$110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 fr'!$B$113:$AE$113</c:f>
              <c:numCache>
                <c:formatCode>#,##0.0</c:formatCode>
                <c:ptCount val="30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8.433430275111356E-2</c:v>
                </c:pt>
                <c:pt idx="7">
                  <c:v>2.1853913991610052</c:v>
                </c:pt>
                <c:pt idx="8">
                  <c:v>0.39154986438085987</c:v>
                </c:pt>
                <c:pt idx="9">
                  <c:v>2.7314646872285109</c:v>
                </c:pt>
                <c:pt idx="10">
                  <c:v>0.1941832579995505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18.132139936578717</c:v>
                </c:pt>
                <c:pt idx="14">
                  <c:v>11.870106120928337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-11.389732068783678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-12.672429336417776</c:v>
                </c:pt>
                <c:pt idx="28">
                  <c:v>-8.8537661336825266</c:v>
                </c:pt>
                <c:pt idx="29">
                  <c:v>-7.2727206831162015</c:v>
                </c:pt>
              </c:numCache>
            </c:numRef>
          </c:val>
        </c:ser>
        <c:marker val="1"/>
        <c:axId val="129582976"/>
        <c:axId val="129584512"/>
      </c:lineChart>
      <c:catAx>
        <c:axId val="1295829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9584512"/>
        <c:crosses val="autoZero"/>
        <c:auto val="1"/>
        <c:lblAlgn val="ctr"/>
        <c:lblOffset val="100"/>
      </c:catAx>
      <c:valAx>
        <c:axId val="12958451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2958297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en-US" sz="1400" b="1" i="0" baseline="0"/>
              <a:t>Perceptions par les ménages de l'évolution future </a:t>
            </a:r>
            <a:endParaRPr lang="fr-FR" sz="1400"/>
          </a:p>
          <a:p>
            <a:pPr>
              <a:defRPr/>
            </a:pPr>
            <a:r>
              <a:rPr lang="en-US" sz="1400" b="1" i="0" baseline="0"/>
              <a:t>du chômage </a:t>
            </a:r>
            <a:r>
              <a:rPr lang="fr-FR" sz="1400" b="1" i="0" baseline="0"/>
              <a:t>(soldes d'opinions)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fr'!$A$111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'graphe fr'!$B$110:$AE$110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 fr'!$B$111:$AE$111</c:f>
              <c:numCache>
                <c:formatCode>#,##0.0</c:formatCode>
                <c:ptCount val="30"/>
                <c:pt idx="0">
                  <c:v>-52.095692279179424</c:v>
                </c:pt>
                <c:pt idx="1">
                  <c:v>-56.601297669292876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-57.930600458568307</c:v>
                </c:pt>
                <c:pt idx="7">
                  <c:v>-57.517749523976327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-52.335316844022621</c:v>
                </c:pt>
                <c:pt idx="12">
                  <c:v>-52.408437207990296</c:v>
                </c:pt>
                <c:pt idx="13">
                  <c:v>-45.98227848623327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-66.49396988110972</c:v>
                </c:pt>
                <c:pt idx="26">
                  <c:v>-68.825577821249368</c:v>
                </c:pt>
                <c:pt idx="27">
                  <c:v>-68.019160185663324</c:v>
                </c:pt>
                <c:pt idx="28">
                  <c:v>-65.155740215393095</c:v>
                </c:pt>
                <c:pt idx="29">
                  <c:v>-67.056481822588822</c:v>
                </c:pt>
              </c:numCache>
            </c:numRef>
          </c:val>
        </c:ser>
        <c:marker val="1"/>
        <c:axId val="129604224"/>
        <c:axId val="129610112"/>
      </c:lineChart>
      <c:catAx>
        <c:axId val="12960422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9610112"/>
        <c:crosses val="autoZero"/>
        <c:auto val="1"/>
        <c:lblAlgn val="ctr"/>
        <c:lblOffset val="100"/>
      </c:catAx>
      <c:valAx>
        <c:axId val="129610112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2960422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en-US" sz="1400" b="1" i="0" baseline="0"/>
              <a:t>Perceptions par les ménages de l'opportunité d'achat des biens durables</a:t>
            </a:r>
            <a:r>
              <a:rPr lang="fr-FR" sz="1400" b="1" i="0" baseline="0"/>
              <a:t> (soldes d'opinions) 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fr'!$A$114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'graphe fr'!$B$110:$AE$110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 fr'!$B$114:$AE$114</c:f>
              <c:numCache>
                <c:formatCode>#,##0.0</c:formatCode>
                <c:ptCount val="30"/>
                <c:pt idx="0">
                  <c:v>-30.018449770831676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-41.7653505090341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-37.532519098272012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-39.860076277616429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-37.388587169100269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-28.348240299081606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</c:numCache>
            </c:numRef>
          </c:val>
        </c:ser>
        <c:marker val="1"/>
        <c:axId val="129617280"/>
        <c:axId val="129627264"/>
      </c:lineChart>
      <c:catAx>
        <c:axId val="12961728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9627264"/>
        <c:crosses val="autoZero"/>
        <c:auto val="1"/>
        <c:lblAlgn val="ctr"/>
        <c:lblOffset val="100"/>
      </c:catAx>
      <c:valAx>
        <c:axId val="129627264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2961728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Perceptions  par les ménages de leurs situations financières</a:t>
            </a:r>
            <a:endParaRPr lang="fr-FR" sz="1400"/>
          </a:p>
          <a:p>
            <a:pPr algn="ctr">
              <a:defRPr sz="1400"/>
            </a:pPr>
            <a:r>
              <a:rPr lang="fr-FR" sz="1400" b="1" i="0" baseline="0"/>
              <a:t>(soldes d'opinions)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fr'!$A$115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fr'!$B$110:$AE$110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 fr'!$B$115:$AE$115</c:f>
              <c:numCache>
                <c:formatCode>#,##0.0</c:formatCode>
                <c:ptCount val="30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-28.06262489249622</c:v>
                </c:pt>
                <c:pt idx="12">
                  <c:v>-30.645498931903649</c:v>
                </c:pt>
                <c:pt idx="13">
                  <c:v>-27.092549889444179</c:v>
                </c:pt>
                <c:pt idx="14">
                  <c:v>-24.28899054728441</c:v>
                </c:pt>
                <c:pt idx="15">
                  <c:v>-25.669712181349645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-30.846093343724117</c:v>
                </c:pt>
                <c:pt idx="19">
                  <c:v>-29.426966691861189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-29.484131282651116</c:v>
                </c:pt>
                <c:pt idx="23">
                  <c:v>-29.485585569479856</c:v>
                </c:pt>
                <c:pt idx="24">
                  <c:v>-31.290770339914989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-30.637429411694143</c:v>
                </c:pt>
                <c:pt idx="28">
                  <c:v>-32.404955656558201</c:v>
                </c:pt>
                <c:pt idx="29">
                  <c:v>-27.9</c:v>
                </c:pt>
              </c:numCache>
            </c:numRef>
          </c:val>
        </c:ser>
        <c:ser>
          <c:idx val="1"/>
          <c:order val="1"/>
          <c:tx>
            <c:strRef>
              <c:f>'graphe fr'!$A$116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marker>
            <c:symbol val="none"/>
          </c:marker>
          <c:cat>
            <c:strRef>
              <c:f>'graphe fr'!$B$110:$AE$110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 fr'!$B$116:$AE$116</c:f>
              <c:numCache>
                <c:formatCode>#,##0.0</c:formatCode>
                <c:ptCount val="30"/>
                <c:pt idx="0">
                  <c:v>-11.760493904860514</c:v>
                </c:pt>
                <c:pt idx="1">
                  <c:v>-11.37643954097425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-18.438210074457267</c:v>
                </c:pt>
                <c:pt idx="5">
                  <c:v>-13.353492384896811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-9.8004349690184593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-21.8919655790686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-26.965288381475663</c:v>
                </c:pt>
                <c:pt idx="29">
                  <c:v>-20.216971341645095</c:v>
                </c:pt>
              </c:numCache>
            </c:numRef>
          </c:val>
        </c:ser>
        <c:ser>
          <c:idx val="2"/>
          <c:order val="2"/>
          <c:tx>
            <c:strRef>
              <c:f>'graphe fr'!$A$117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marker>
            <c:symbol val="square"/>
            <c:size val="5"/>
          </c:marker>
          <c:cat>
            <c:strRef>
              <c:f>'graphe fr'!$B$110:$AE$110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 fr'!$B$117:$AE$117</c:f>
              <c:numCache>
                <c:formatCode>#,##0.0</c:formatCode>
                <c:ptCount val="30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26.70594184910308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17.532817766676601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11.776375704730432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11.230833640450298</c:v>
                </c:pt>
                <c:pt idx="17">
                  <c:v>11.136340416980383</c:v>
                </c:pt>
                <c:pt idx="18">
                  <c:v>7.6658451594012726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-1.7003971659207255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-3.913903848287168</c:v>
                </c:pt>
                <c:pt idx="28">
                  <c:v>8.9330913123193523E-2</c:v>
                </c:pt>
                <c:pt idx="29">
                  <c:v>4.1756310519058966</c:v>
                </c:pt>
              </c:numCache>
            </c:numRef>
          </c:val>
        </c:ser>
        <c:marker val="1"/>
        <c:axId val="128797312"/>
        <c:axId val="128811392"/>
      </c:lineChart>
      <c:catAx>
        <c:axId val="1287973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28811392"/>
        <c:crosses val="autoZero"/>
        <c:auto val="1"/>
        <c:lblAlgn val="ctr"/>
        <c:lblOffset val="100"/>
      </c:catAx>
      <c:valAx>
        <c:axId val="12881139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28797312"/>
        <c:crosses val="autoZero"/>
        <c:crossBetween val="between"/>
      </c:valAx>
    </c:plotArea>
    <c:legend>
      <c:legendPos val="b"/>
      <c:txPr>
        <a:bodyPr/>
        <a:lstStyle/>
        <a:p>
          <a:pPr>
            <a:defRPr sz="900"/>
          </a:pPr>
          <a:endParaRPr lang="fr-F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600" b="1" i="0" baseline="0"/>
              <a:t>Perception des évolutions passée et future des prix des produits alimentaires (soldes d'opinions)</a:t>
            </a:r>
            <a:endParaRPr lang="fr-FR" sz="1600"/>
          </a:p>
        </c:rich>
      </c:tx>
      <c:layout>
        <c:manualLayout>
          <c:xMode val="edge"/>
          <c:yMode val="edge"/>
          <c:x val="0.12986201378082754"/>
          <c:y val="3.8095238095238099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 fr'!$A$121</c:f>
              <c:strCache>
                <c:ptCount val="1"/>
                <c:pt idx="0">
                  <c:v>Evolution  future des prix des produits alimentaires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fr'!$B$110:$AE$110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 fr'!$B$121:$AE$121</c:f>
              <c:numCache>
                <c:formatCode>#,##0.0</c:formatCode>
                <c:ptCount val="30"/>
                <c:pt idx="0">
                  <c:v>-74.061389031284818</c:v>
                </c:pt>
                <c:pt idx="1">
                  <c:v>-77.716574651610699</c:v>
                </c:pt>
                <c:pt idx="2">
                  <c:v>-78.940542419693813</c:v>
                </c:pt>
                <c:pt idx="3">
                  <c:v>-49.653420650313237</c:v>
                </c:pt>
                <c:pt idx="4">
                  <c:v>-34.869529990694446</c:v>
                </c:pt>
                <c:pt idx="5">
                  <c:v>-33.523065681383294</c:v>
                </c:pt>
                <c:pt idx="6">
                  <c:v>-50.919242344766445</c:v>
                </c:pt>
                <c:pt idx="7">
                  <c:v>-47.871947864454384</c:v>
                </c:pt>
                <c:pt idx="8">
                  <c:v>-46.515022811526009</c:v>
                </c:pt>
                <c:pt idx="9">
                  <c:v>-56.832932011428063</c:v>
                </c:pt>
                <c:pt idx="10">
                  <c:v>-62.176731306137086</c:v>
                </c:pt>
                <c:pt idx="11">
                  <c:v>-70.131788082403588</c:v>
                </c:pt>
                <c:pt idx="12">
                  <c:v>-73.412747182583288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-72.965887012434223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-73.578371466433154</c:v>
                </c:pt>
                <c:pt idx="19">
                  <c:v>-70.049698245525676</c:v>
                </c:pt>
                <c:pt idx="20">
                  <c:v>-76.096296687301091</c:v>
                </c:pt>
                <c:pt idx="21">
                  <c:v>-73.375476646911039</c:v>
                </c:pt>
                <c:pt idx="22">
                  <c:v>-76.007455926126042</c:v>
                </c:pt>
                <c:pt idx="23">
                  <c:v>-76.048555842624026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-76.898841721729298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</c:numCache>
            </c:numRef>
          </c:val>
        </c:ser>
        <c:ser>
          <c:idx val="1"/>
          <c:order val="1"/>
          <c:tx>
            <c:strRef>
              <c:f>'graphe fr'!$A$122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marker>
            <c:symbol val="square"/>
            <c:size val="5"/>
          </c:marker>
          <c:cat>
            <c:strRef>
              <c:f>'graphe fr'!$B$110:$AE$110</c:f>
              <c:strCache>
                <c:ptCount val="3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</c:strCache>
            </c:strRef>
          </c:cat>
          <c:val>
            <c:numRef>
              <c:f>'graphe fr'!$B$122:$AE$122</c:f>
              <c:numCache>
                <c:formatCode>#,##0.0</c:formatCode>
                <c:ptCount val="30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-83.2780984781011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-90.967802162493172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-89.924388392525387</c:v>
                </c:pt>
                <c:pt idx="15">
                  <c:v>-92.495216554148143</c:v>
                </c:pt>
                <c:pt idx="16">
                  <c:v>-91.625316584481055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-91.630328830979096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-84.135715875788506</c:v>
                </c:pt>
                <c:pt idx="26">
                  <c:v>-81.763249669624159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</c:numCache>
            </c:numRef>
          </c:val>
        </c:ser>
        <c:marker val="1"/>
        <c:axId val="65012096"/>
        <c:axId val="65013632"/>
      </c:lineChart>
      <c:catAx>
        <c:axId val="650120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65013632"/>
        <c:crosses val="autoZero"/>
        <c:auto val="1"/>
        <c:lblAlgn val="ctr"/>
        <c:lblOffset val="100"/>
      </c:catAx>
      <c:valAx>
        <c:axId val="6501363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700"/>
            </a:pPr>
            <a:endParaRPr lang="fr-FR"/>
          </a:p>
        </c:txPr>
        <c:crossAx val="6501209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0E56-3636-4BA4-9F9E-3B2B6729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9234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 </cp:lastModifiedBy>
  <cp:revision>2</cp:revision>
  <cp:lastPrinted>2015-08-05T10:28:00Z</cp:lastPrinted>
  <dcterms:created xsi:type="dcterms:W3CDTF">2015-08-10T13:21:00Z</dcterms:created>
  <dcterms:modified xsi:type="dcterms:W3CDTF">2015-08-10T13:21:00Z</dcterms:modified>
</cp:coreProperties>
</file>