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E" w:rsidRDefault="0017183F" w:rsidP="00777AEE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rect id="_x0000_s1027" style="position:absolute;left:0;text-align:left;margin-left:-78.35pt;margin-top:-41.05pt;width:655pt;height:347.6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7" DrawAspect="Content" ObjectID="_1494876343" r:id="rId8"/>
        </w:pict>
      </w: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Pr="00064672" w:rsidRDefault="00621354" w:rsidP="00621354">
      <w:pPr>
        <w:bidi/>
        <w:jc w:val="center"/>
        <w:rPr>
          <w:rFonts w:cs="Simplified Arabic"/>
          <w:b/>
          <w:bCs/>
          <w:sz w:val="10"/>
          <w:szCs w:val="10"/>
          <w:rtl/>
        </w:rPr>
      </w:pPr>
    </w:p>
    <w:p w:rsidR="00064672" w:rsidRDefault="004B7C55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</w:rPr>
        <w:t xml:space="preserve">         </w:t>
      </w:r>
      <w:r w:rsidR="00802306">
        <w:rPr>
          <w:rFonts w:cs="Simplified Arabic"/>
          <w:b/>
          <w:bCs/>
          <w:sz w:val="32"/>
          <w:szCs w:val="32"/>
        </w:rPr>
        <w:t xml:space="preserve">     </w:t>
      </w:r>
      <w:r>
        <w:rPr>
          <w:rFonts w:cs="Simplified Arabic"/>
          <w:b/>
          <w:bCs/>
          <w:sz w:val="32"/>
          <w:szCs w:val="32"/>
        </w:rPr>
        <w:t xml:space="preserve">  </w:t>
      </w:r>
    </w:p>
    <w:p w:rsidR="00111ED3" w:rsidRPr="00522EC6" w:rsidRDefault="001306C0" w:rsidP="00064672">
      <w:pPr>
        <w:bidi/>
        <w:jc w:val="center"/>
        <w:rPr>
          <w:rFonts w:cs="Simplified Arabic"/>
          <w:b/>
          <w:bCs/>
          <w:shadow/>
          <w:sz w:val="32"/>
          <w:szCs w:val="32"/>
          <w:rtl/>
          <w:lang w:bidi="ar-MA"/>
        </w:rPr>
      </w:pPr>
      <w:r w:rsidRPr="00522EC6">
        <w:rPr>
          <w:rFonts w:cs="Simplified Arabic" w:hint="cs"/>
          <w:b/>
          <w:bCs/>
          <w:shadow/>
          <w:sz w:val="32"/>
          <w:szCs w:val="32"/>
          <w:rtl/>
        </w:rPr>
        <w:t xml:space="preserve">مذكرة إخبارية حول </w:t>
      </w:r>
      <w:r w:rsidR="00111ED3" w:rsidRPr="00522EC6">
        <w:rPr>
          <w:rFonts w:cs="Simplified Arabic" w:hint="cs"/>
          <w:b/>
          <w:bCs/>
          <w:shadow/>
          <w:sz w:val="32"/>
          <w:szCs w:val="32"/>
          <w:rtl/>
          <w:lang w:bidi="ar-MA"/>
        </w:rPr>
        <w:t>الحسابات الوطنية المؤقتة</w:t>
      </w:r>
      <w:r w:rsidR="00621354" w:rsidRPr="00522EC6">
        <w:rPr>
          <w:rFonts w:cs="Simplified Arabic"/>
          <w:b/>
          <w:bCs/>
          <w:shadow/>
          <w:sz w:val="32"/>
          <w:szCs w:val="32"/>
          <w:rtl/>
          <w:lang w:bidi="ar-MA"/>
        </w:rPr>
        <w:br/>
      </w:r>
      <w:r w:rsidR="00111ED3" w:rsidRPr="00522EC6">
        <w:rPr>
          <w:rFonts w:cs="Simplified Arabic" w:hint="cs"/>
          <w:b/>
          <w:bCs/>
          <w:shadow/>
          <w:sz w:val="32"/>
          <w:szCs w:val="32"/>
          <w:rtl/>
          <w:lang w:bidi="ar-MA"/>
        </w:rPr>
        <w:t>لسنة 2014 حسب سنة الاساس 2007</w:t>
      </w:r>
    </w:p>
    <w:p w:rsidR="00111ED3" w:rsidRPr="00064672" w:rsidRDefault="00111ED3" w:rsidP="00621354">
      <w:pPr>
        <w:bidi/>
        <w:ind w:right="284"/>
        <w:jc w:val="center"/>
        <w:rPr>
          <w:rFonts w:cs="Simplified Arabic"/>
          <w:b/>
          <w:bCs/>
          <w:sz w:val="44"/>
          <w:szCs w:val="44"/>
          <w:rtl/>
          <w:lang w:bidi="ar-MA"/>
        </w:rPr>
      </w:pPr>
    </w:p>
    <w:p w:rsidR="00111ED3" w:rsidRPr="00621354" w:rsidRDefault="00111ED3" w:rsidP="00064672">
      <w:pPr>
        <w:bidi/>
        <w:spacing w:after="120"/>
        <w:ind w:right="284"/>
        <w:jc w:val="both"/>
        <w:rPr>
          <w:rFonts w:cs="Simplified Arabic"/>
          <w:sz w:val="28"/>
          <w:szCs w:val="2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>أظهرت الحسابات الوطنية لسنة 2014 نموا للاقتصاد الوطني بنسبة 2.4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عوض 4.7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2013. ويرجع هذا التطور إلى انخفاض الن</w:t>
      </w:r>
      <w:r w:rsidR="0051309A" w:rsidRPr="00621354">
        <w:rPr>
          <w:rFonts w:cs="Simplified Arabic" w:hint="cs"/>
          <w:sz w:val="28"/>
          <w:szCs w:val="28"/>
          <w:rtl/>
          <w:lang w:bidi="ar-MA"/>
        </w:rPr>
        <w:t xml:space="preserve">شاط الفلاحي </w:t>
      </w:r>
      <w:r w:rsidR="00C63E5F">
        <w:rPr>
          <w:rFonts w:cs="Simplified Arabic" w:hint="cs"/>
          <w:sz w:val="28"/>
          <w:szCs w:val="28"/>
          <w:rtl/>
          <w:lang w:bidi="ar-MA"/>
        </w:rPr>
        <w:t>ووثيرة</w:t>
      </w:r>
      <w:r w:rsidR="0051309A" w:rsidRPr="00621354">
        <w:rPr>
          <w:rFonts w:cs="Simplified Arabic" w:hint="cs"/>
          <w:sz w:val="28"/>
          <w:szCs w:val="28"/>
          <w:rtl/>
          <w:lang w:bidi="ar-MA"/>
        </w:rPr>
        <w:t xml:space="preserve"> متوسط</w:t>
      </w:r>
      <w:r w:rsidR="00C63E5F">
        <w:rPr>
          <w:rFonts w:cs="Simplified Arabic" w:hint="cs"/>
          <w:sz w:val="28"/>
          <w:szCs w:val="28"/>
          <w:rtl/>
          <w:lang w:bidi="ar-MA"/>
        </w:rPr>
        <w:t>ة</w:t>
      </w:r>
      <w:r w:rsidR="0051309A" w:rsidRPr="00621354">
        <w:rPr>
          <w:rFonts w:cs="Simplified Arabic" w:hint="cs"/>
          <w:sz w:val="28"/>
          <w:szCs w:val="28"/>
          <w:rtl/>
          <w:lang w:bidi="ar-MA"/>
        </w:rPr>
        <w:t xml:space="preserve"> لتزايد</w:t>
      </w:r>
      <w:r w:rsidR="0051309A" w:rsidRPr="00621354">
        <w:rPr>
          <w:rFonts w:cs="Simplified Arabic"/>
          <w:sz w:val="28"/>
          <w:szCs w:val="28"/>
          <w:lang w:bidi="ar-MA"/>
        </w:rPr>
        <w:t xml:space="preserve"> 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الأنشطة غير الفلاحية. ويظل النمو الاقتصادي </w:t>
      </w:r>
      <w:r w:rsidR="00DA228F" w:rsidRPr="00621354">
        <w:rPr>
          <w:rFonts w:cs="Simplified Arabic" w:hint="cs"/>
          <w:sz w:val="28"/>
          <w:szCs w:val="28"/>
          <w:rtl/>
          <w:lang w:bidi="ar-MA"/>
        </w:rPr>
        <w:t>مدفوعا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بالطلب الداخلي </w:t>
      </w:r>
      <w:r w:rsidR="00DA228F" w:rsidRPr="00621354">
        <w:rPr>
          <w:rFonts w:cs="Simplified Arabic" w:hint="cs"/>
          <w:sz w:val="28"/>
          <w:szCs w:val="28"/>
          <w:rtl/>
          <w:lang w:bidi="ar-MA"/>
        </w:rPr>
        <w:t>وكذلك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بالطلب الخارجي خلال هذه السنة. </w:t>
      </w:r>
      <w:r w:rsidR="00C63E5F">
        <w:rPr>
          <w:rFonts w:cs="Simplified Arabic" w:hint="cs"/>
          <w:sz w:val="28"/>
          <w:szCs w:val="28"/>
          <w:rtl/>
          <w:lang w:bidi="ar-MA"/>
        </w:rPr>
        <w:t>غير أن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الطلب الداخلي</w:t>
      </w:r>
      <w:r w:rsidR="00C63E5F">
        <w:rPr>
          <w:rFonts w:cs="Simplified Arabic" w:hint="cs"/>
          <w:sz w:val="28"/>
          <w:szCs w:val="28"/>
          <w:rtl/>
          <w:lang w:bidi="ar-MA"/>
        </w:rPr>
        <w:t xml:space="preserve"> سجل تباطؤا واضحا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في </w:t>
      </w:r>
      <w:r w:rsidR="00C63E5F">
        <w:rPr>
          <w:rFonts w:cs="Simplified Arabic" w:hint="cs"/>
          <w:sz w:val="28"/>
          <w:szCs w:val="28"/>
          <w:rtl/>
          <w:lang w:bidi="ar-MA"/>
        </w:rPr>
        <w:t>وثيرة نموه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. </w:t>
      </w:r>
      <w:r w:rsidR="00BD0473" w:rsidRPr="00621354">
        <w:rPr>
          <w:rFonts w:cs="Simplified Arabic" w:hint="cs"/>
          <w:sz w:val="28"/>
          <w:szCs w:val="28"/>
          <w:rtl/>
          <w:lang w:bidi="ar-MA"/>
        </w:rPr>
        <w:t xml:space="preserve">ومن جهته عرفت الحاجة إلى </w:t>
      </w:r>
      <w:r w:rsidRPr="00621354">
        <w:rPr>
          <w:rFonts w:cs="Simplified Arabic" w:hint="cs"/>
          <w:sz w:val="28"/>
          <w:szCs w:val="28"/>
          <w:rtl/>
          <w:lang w:bidi="ar-MA"/>
        </w:rPr>
        <w:t>تمويل الاقتصاد الوطني انخفاضا طفيفا كما</w:t>
      </w:r>
      <w:r w:rsidR="00C63E5F">
        <w:rPr>
          <w:rFonts w:cs="Simplified Arabic" w:hint="cs"/>
          <w:sz w:val="28"/>
          <w:szCs w:val="28"/>
          <w:rtl/>
          <w:lang w:bidi="ar-MA"/>
        </w:rPr>
        <w:t xml:space="preserve"> أن وثيرة  نمو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المستوى العام للأسعار</w:t>
      </w:r>
      <w:r w:rsidR="00C63E5F">
        <w:rPr>
          <w:rFonts w:cs="Simplified Arabic" w:hint="cs"/>
          <w:sz w:val="28"/>
          <w:szCs w:val="28"/>
          <w:rtl/>
          <w:lang w:bidi="ar-MA"/>
        </w:rPr>
        <w:t xml:space="preserve"> عرفت تراجعا</w:t>
      </w:r>
      <w:r w:rsidRPr="00621354">
        <w:rPr>
          <w:rFonts w:cs="Simplified Arabic" w:hint="cs"/>
          <w:sz w:val="28"/>
          <w:szCs w:val="28"/>
          <w:rtl/>
          <w:lang w:bidi="ar-MA"/>
        </w:rPr>
        <w:t>.</w:t>
      </w:r>
    </w:p>
    <w:p w:rsidR="00111ED3" w:rsidRPr="00621354" w:rsidRDefault="00111ED3" w:rsidP="00E8533F">
      <w:pPr>
        <w:bidi/>
        <w:spacing w:after="120"/>
        <w:ind w:right="284"/>
        <w:jc w:val="both"/>
        <w:rPr>
          <w:rFonts w:cs="Simplified Arabic"/>
          <w:sz w:val="28"/>
          <w:szCs w:val="2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>وتجدر الإشارة في هذا الصدد إلى أن</w:t>
      </w:r>
      <w:r w:rsidR="00C63E5F">
        <w:rPr>
          <w:rFonts w:cs="Simplified Arabic" w:hint="cs"/>
          <w:sz w:val="28"/>
          <w:szCs w:val="28"/>
          <w:rtl/>
          <w:lang w:bidi="ar-MA"/>
        </w:rPr>
        <w:t xml:space="preserve"> إعداد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حسابات سنة 2014 </w:t>
      </w:r>
      <w:r w:rsidR="00C63E5F">
        <w:rPr>
          <w:rFonts w:cs="Simplified Arabic" w:hint="cs"/>
          <w:sz w:val="28"/>
          <w:szCs w:val="28"/>
          <w:rtl/>
          <w:lang w:bidi="ar-MA"/>
        </w:rPr>
        <w:t>تم على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أساس 2007 </w:t>
      </w:r>
      <w:r w:rsidR="00C63E5F">
        <w:rPr>
          <w:rFonts w:cs="Simplified Arabic" w:hint="cs"/>
          <w:sz w:val="28"/>
          <w:szCs w:val="28"/>
          <w:rtl/>
          <w:lang w:bidi="ar-MA"/>
        </w:rPr>
        <w:t>نظرا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C63E5F">
        <w:rPr>
          <w:rFonts w:cs="Simplified Arabic" w:hint="cs"/>
          <w:sz w:val="28"/>
          <w:szCs w:val="28"/>
          <w:rtl/>
          <w:lang w:bidi="ar-MA"/>
        </w:rPr>
        <w:t>لتغيير مرجعية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الحسابات الوطنية من</w:t>
      </w:r>
      <w:r w:rsidR="00C63E5F">
        <w:rPr>
          <w:rFonts w:cs="Simplified Arabic" w:hint="cs"/>
          <w:sz w:val="28"/>
          <w:szCs w:val="28"/>
          <w:rtl/>
          <w:lang w:bidi="ar-MA"/>
        </w:rPr>
        <w:t xml:space="preserve"> سنة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1998 إلى </w:t>
      </w:r>
      <w:r w:rsidR="00C63E5F">
        <w:rPr>
          <w:rFonts w:cs="Simplified Arabic" w:hint="cs"/>
          <w:sz w:val="28"/>
          <w:szCs w:val="28"/>
          <w:rtl/>
          <w:lang w:bidi="ar-MA"/>
        </w:rPr>
        <w:t>سنة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2007.</w:t>
      </w:r>
    </w:p>
    <w:p w:rsidR="00111ED3" w:rsidRPr="00621354" w:rsidRDefault="00111ED3" w:rsidP="00E8533F">
      <w:pPr>
        <w:bidi/>
        <w:ind w:right="284"/>
        <w:jc w:val="both"/>
        <w:rPr>
          <w:rFonts w:cs="Simplified Arabic"/>
          <w:sz w:val="28"/>
          <w:szCs w:val="2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>ومن أهم نتائج الحسابات الوطنية ما يلي</w:t>
      </w:r>
      <w:r w:rsidR="003F4B8C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Pr="00621354">
        <w:rPr>
          <w:rFonts w:cs="Simplified Arabic" w:hint="cs"/>
          <w:sz w:val="28"/>
          <w:szCs w:val="28"/>
          <w:rtl/>
          <w:lang w:bidi="ar-MA"/>
        </w:rPr>
        <w:t>:</w:t>
      </w:r>
    </w:p>
    <w:p w:rsidR="00C55777" w:rsidRDefault="00C55777" w:rsidP="00E8533F">
      <w:pPr>
        <w:bidi/>
        <w:ind w:right="284"/>
        <w:rPr>
          <w:rFonts w:cs="Simplified Arabic"/>
          <w:b/>
          <w:bCs/>
          <w:sz w:val="28"/>
          <w:szCs w:val="28"/>
          <w:lang w:bidi="ar-MA"/>
        </w:rPr>
      </w:pPr>
    </w:p>
    <w:p w:rsidR="00111ED3" w:rsidRPr="00621354" w:rsidRDefault="00C63E5F" w:rsidP="00C55777">
      <w:pPr>
        <w:bidi/>
        <w:ind w:right="284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وثيرة</w:t>
      </w:r>
      <w:r w:rsidR="00111ED3" w:rsidRPr="0062135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النمو الاقتصادي في تباطؤ</w:t>
      </w:r>
    </w:p>
    <w:p w:rsidR="00111ED3" w:rsidRPr="00621354" w:rsidRDefault="00111ED3" w:rsidP="00E8533F">
      <w:pPr>
        <w:bidi/>
        <w:ind w:right="284"/>
        <w:jc w:val="both"/>
        <w:rPr>
          <w:rFonts w:cs="Simplified Arabic"/>
          <w:sz w:val="28"/>
          <w:szCs w:val="2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>بلغ معدل نمو الاقتصاد الوطني 2.4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C63E5F">
        <w:rPr>
          <w:rFonts w:cs="Simplified Arabic" w:hint="cs"/>
          <w:sz w:val="28"/>
          <w:szCs w:val="28"/>
          <w:rtl/>
          <w:lang w:bidi="ar-MA"/>
        </w:rPr>
        <w:t xml:space="preserve">سنة 2014 </w:t>
      </w:r>
      <w:r w:rsidRPr="00621354">
        <w:rPr>
          <w:rFonts w:cs="Simplified Arabic" w:hint="cs"/>
          <w:sz w:val="28"/>
          <w:szCs w:val="28"/>
          <w:rtl/>
          <w:lang w:bidi="ar-MA"/>
        </w:rPr>
        <w:t>مقابل 4.7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 سنة 2013 بفضل التأثير المشترك </w:t>
      </w:r>
      <w:r w:rsidR="00C30136" w:rsidRPr="00621354">
        <w:rPr>
          <w:rFonts w:cs="Simplified Arabic" w:hint="cs"/>
          <w:sz w:val="28"/>
          <w:szCs w:val="28"/>
          <w:rtl/>
          <w:lang w:bidi="ar-MA"/>
        </w:rPr>
        <w:t>ل:</w:t>
      </w:r>
    </w:p>
    <w:p w:rsidR="00C30136" w:rsidRPr="00621354" w:rsidRDefault="00C30136" w:rsidP="00E8533F">
      <w:pPr>
        <w:numPr>
          <w:ilvl w:val="0"/>
          <w:numId w:val="3"/>
        </w:numPr>
        <w:bidi/>
        <w:ind w:left="758" w:right="284" w:hanging="283"/>
        <w:jc w:val="both"/>
        <w:rPr>
          <w:rFonts w:cs="Simplified Arabic"/>
          <w:sz w:val="28"/>
          <w:szCs w:val="28"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>انخفاض القيمة المضافة للقطاع الفلاحي بالحجم بنسبة 2.5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(</w:t>
      </w:r>
      <w:r w:rsidR="00C63E5F">
        <w:rPr>
          <w:rFonts w:cs="Simplified Arabic" w:hint="cs"/>
          <w:sz w:val="28"/>
          <w:szCs w:val="28"/>
          <w:rtl/>
          <w:lang w:bidi="ar-MA"/>
        </w:rPr>
        <w:t>بدون احتساب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C63E5F">
        <w:rPr>
          <w:rFonts w:cs="Simplified Arabic" w:hint="cs"/>
          <w:sz w:val="28"/>
          <w:szCs w:val="28"/>
          <w:rtl/>
          <w:lang w:bidi="ar-MA"/>
        </w:rPr>
        <w:t>ا</w:t>
      </w:r>
      <w:r w:rsidRPr="00621354">
        <w:rPr>
          <w:rFonts w:cs="Simplified Arabic" w:hint="cs"/>
          <w:sz w:val="28"/>
          <w:szCs w:val="28"/>
          <w:rtl/>
          <w:lang w:bidi="ar-MA"/>
        </w:rPr>
        <w:t>لصيد البحري) مقابل ارتفاع بنسبة 17.9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2013</w:t>
      </w:r>
      <w:r w:rsidR="00B8432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Pr="00621354">
        <w:rPr>
          <w:rFonts w:cs="Simplified Arabic" w:hint="cs"/>
          <w:sz w:val="28"/>
          <w:szCs w:val="28"/>
          <w:rtl/>
          <w:lang w:bidi="ar-MA"/>
        </w:rPr>
        <w:t>؛</w:t>
      </w:r>
    </w:p>
    <w:p w:rsidR="00C30136" w:rsidRPr="00621354" w:rsidRDefault="00C30136" w:rsidP="00E8533F">
      <w:pPr>
        <w:numPr>
          <w:ilvl w:val="0"/>
          <w:numId w:val="3"/>
        </w:numPr>
        <w:bidi/>
        <w:ind w:left="758" w:right="284" w:hanging="283"/>
        <w:jc w:val="both"/>
        <w:rPr>
          <w:rFonts w:cs="Simplified Arabic"/>
          <w:sz w:val="28"/>
          <w:szCs w:val="28"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>ارتفاع القيمة المضافة لباقي قطاعات الأنشطة غير الفلاحية بنسبة 2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عوض 1.9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C63E5F">
        <w:rPr>
          <w:rFonts w:cs="Simplified Arabic" w:hint="cs"/>
          <w:sz w:val="28"/>
          <w:szCs w:val="28"/>
          <w:rtl/>
          <w:lang w:bidi="ar-MA"/>
        </w:rPr>
        <w:t>ال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سنة </w:t>
      </w:r>
      <w:r w:rsidR="00C63E5F">
        <w:rPr>
          <w:rFonts w:cs="Simplified Arabic" w:hint="cs"/>
          <w:sz w:val="28"/>
          <w:szCs w:val="28"/>
          <w:rtl/>
          <w:lang w:bidi="ar-MA"/>
        </w:rPr>
        <w:t>الفارطة</w:t>
      </w:r>
      <w:r w:rsidR="00621354">
        <w:rPr>
          <w:rFonts w:cs="Simplified Arabic" w:hint="cs"/>
          <w:sz w:val="28"/>
          <w:szCs w:val="28"/>
          <w:rtl/>
          <w:lang w:bidi="ar-MA"/>
        </w:rPr>
        <w:t>.</w:t>
      </w:r>
    </w:p>
    <w:p w:rsidR="00C30136" w:rsidRPr="00621354" w:rsidRDefault="00C30136" w:rsidP="00E8533F">
      <w:pPr>
        <w:bidi/>
        <w:ind w:right="284"/>
        <w:jc w:val="both"/>
        <w:rPr>
          <w:rFonts w:cs="Simplified Arabic"/>
          <w:sz w:val="28"/>
          <w:szCs w:val="2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>و</w:t>
      </w:r>
      <w:r w:rsidR="00636FBD">
        <w:rPr>
          <w:rFonts w:cs="Simplified Arabic" w:hint="cs"/>
          <w:sz w:val="28"/>
          <w:szCs w:val="28"/>
          <w:rtl/>
          <w:lang w:bidi="ar-MA"/>
        </w:rPr>
        <w:t>ذلك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في سياق نمو</w:t>
      </w:r>
      <w:r w:rsidR="00636FBD">
        <w:rPr>
          <w:rFonts w:cs="Simplified Arabic" w:hint="cs"/>
          <w:sz w:val="28"/>
          <w:szCs w:val="28"/>
          <w:rtl/>
          <w:lang w:bidi="ar-MA"/>
        </w:rPr>
        <w:t xml:space="preserve"> صافي الضرائب من </w:t>
      </w:r>
      <w:r w:rsidR="00636FBD" w:rsidRPr="00621354">
        <w:rPr>
          <w:rFonts w:cs="Simplified Arabic" w:hint="cs"/>
          <w:sz w:val="28"/>
          <w:szCs w:val="28"/>
          <w:rtl/>
          <w:lang w:bidi="ar-MA"/>
        </w:rPr>
        <w:t>الإعانات</w:t>
      </w:r>
      <w:r w:rsidR="00BD0473" w:rsidRPr="0062135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636FBD" w:rsidRPr="00621354">
        <w:rPr>
          <w:rFonts w:cs="Simplified Arabic" w:hint="cs"/>
          <w:sz w:val="28"/>
          <w:szCs w:val="28"/>
          <w:rtl/>
          <w:lang w:bidi="ar-MA"/>
        </w:rPr>
        <w:t xml:space="preserve">بنسبة </w:t>
      </w:r>
      <w:r w:rsidRPr="00621354">
        <w:rPr>
          <w:rFonts w:cs="Simplified Arabic" w:hint="cs"/>
          <w:sz w:val="28"/>
          <w:szCs w:val="28"/>
          <w:rtl/>
          <w:lang w:bidi="ar-MA"/>
        </w:rPr>
        <w:t>13.4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636FBD" w:rsidRPr="00621354">
        <w:rPr>
          <w:rFonts w:cs="Simplified Arabic" w:hint="cs"/>
          <w:sz w:val="28"/>
          <w:szCs w:val="28"/>
          <w:rtl/>
          <w:lang w:bidi="ar-MA"/>
        </w:rPr>
        <w:t>بالحجم</w:t>
      </w:r>
      <w:r w:rsidR="00636FBD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Pr="00621354">
        <w:rPr>
          <w:rFonts w:cs="Simplified Arabic" w:hint="cs"/>
          <w:sz w:val="28"/>
          <w:szCs w:val="28"/>
          <w:rtl/>
          <w:lang w:bidi="ar-MA"/>
        </w:rPr>
        <w:t>عوض 14.7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السنة الماضية. </w:t>
      </w:r>
    </w:p>
    <w:p w:rsidR="00302C22" w:rsidRPr="00967225" w:rsidRDefault="00C30136" w:rsidP="00E8533F">
      <w:pPr>
        <w:bidi/>
        <w:ind w:right="284"/>
        <w:jc w:val="both"/>
        <w:rPr>
          <w:rFonts w:cs="Simplified Arabic"/>
          <w:b/>
          <w:bCs/>
          <w:sz w:val="18"/>
          <w:szCs w:val="1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>وفي هذا الإطار انتقل معدل نمو الناتج الداخلي الإجمالي غير الفلاحي بالحجم من 3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2013 إلى 3.1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2014. وارتفع الناتج الداخلي الإجمالي بالقيمة بنسبة 2.6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2014 مقابل 6.3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السنة الماضية، أي بارتفاع المستوى العام للأسعار بنسبة 0.2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عوض 1.6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>.</w:t>
      </w:r>
      <w:r w:rsidR="00621354">
        <w:rPr>
          <w:rFonts w:cs="Simplified Arabic" w:hint="cs"/>
          <w:sz w:val="28"/>
          <w:szCs w:val="28"/>
          <w:rtl/>
          <w:lang w:bidi="ar-MA"/>
        </w:rPr>
        <w:t xml:space="preserve"> </w:t>
      </w:r>
    </w:p>
    <w:p w:rsidR="00E8533F" w:rsidRDefault="00E8533F" w:rsidP="00E8533F">
      <w:pPr>
        <w:bidi/>
        <w:spacing w:before="200"/>
        <w:ind w:right="284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br w:type="page"/>
      </w:r>
    </w:p>
    <w:p w:rsidR="00B259CF" w:rsidRPr="00621354" w:rsidRDefault="00B259CF" w:rsidP="00E8533F">
      <w:pPr>
        <w:bidi/>
        <w:spacing w:before="200"/>
        <w:ind w:right="284"/>
        <w:rPr>
          <w:rFonts w:cs="Simplified Arabic"/>
          <w:b/>
          <w:bCs/>
          <w:sz w:val="28"/>
          <w:szCs w:val="28"/>
          <w:rtl/>
          <w:lang w:bidi="ar-MA"/>
        </w:rPr>
      </w:pPr>
      <w:r w:rsidRPr="00621354">
        <w:rPr>
          <w:rFonts w:cs="Simplified Arabic" w:hint="cs"/>
          <w:b/>
          <w:bCs/>
          <w:sz w:val="28"/>
          <w:szCs w:val="28"/>
          <w:rtl/>
          <w:lang w:bidi="ar-MA"/>
        </w:rPr>
        <w:lastRenderedPageBreak/>
        <w:t xml:space="preserve">مساهمة جد ضعيفة للطلب الداخلي في النمو </w:t>
      </w:r>
    </w:p>
    <w:p w:rsidR="00B259CF" w:rsidRPr="00621354" w:rsidRDefault="00B259CF" w:rsidP="00E8533F">
      <w:pPr>
        <w:bidi/>
        <w:ind w:right="284"/>
        <w:jc w:val="both"/>
        <w:rPr>
          <w:rFonts w:cs="Simplified Arabic"/>
          <w:sz w:val="28"/>
          <w:szCs w:val="2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 xml:space="preserve">سجل الطلب الداخلي نموا </w:t>
      </w:r>
      <w:r w:rsidR="00636FBD">
        <w:rPr>
          <w:rFonts w:cs="Simplified Arabic" w:hint="cs"/>
          <w:sz w:val="28"/>
          <w:szCs w:val="28"/>
          <w:rtl/>
          <w:lang w:bidi="ar-MA"/>
        </w:rPr>
        <w:t>ضعيفا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بنسبة 1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2014 مقابل 4.2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2013. وانخفضت مساهمته في نمو الناتج الداخلي الإجمالي من 4.8 </w:t>
      </w:r>
      <w:r w:rsidR="00BD0473" w:rsidRPr="00621354">
        <w:rPr>
          <w:rFonts w:cs="Simplified Arabic" w:hint="cs"/>
          <w:sz w:val="28"/>
          <w:szCs w:val="28"/>
          <w:rtl/>
          <w:lang w:bidi="ar-MA"/>
        </w:rPr>
        <w:t>نقطة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2013 إلى </w:t>
      </w:r>
      <w:r w:rsidR="00BD0473" w:rsidRPr="00621354">
        <w:rPr>
          <w:rFonts w:cs="Simplified Arabic" w:hint="cs"/>
          <w:sz w:val="28"/>
          <w:szCs w:val="28"/>
          <w:rtl/>
          <w:lang w:bidi="ar-MA"/>
        </w:rPr>
        <w:t>1.2 نقطة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2014.</w:t>
      </w:r>
    </w:p>
    <w:p w:rsidR="00B259CF" w:rsidRPr="00621354" w:rsidRDefault="00B259CF" w:rsidP="00E8533F">
      <w:pPr>
        <w:bidi/>
        <w:spacing w:after="120"/>
        <w:ind w:right="284"/>
        <w:jc w:val="both"/>
        <w:rPr>
          <w:rFonts w:cs="Simplified Arabic"/>
          <w:sz w:val="28"/>
          <w:szCs w:val="2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>وبالحجم ارتفعت نفقات ال</w:t>
      </w:r>
      <w:r w:rsidR="00636FBD">
        <w:rPr>
          <w:rFonts w:cs="Simplified Arabic" w:hint="cs"/>
          <w:sz w:val="28"/>
          <w:szCs w:val="28"/>
          <w:rtl/>
          <w:lang w:bidi="ar-MA"/>
        </w:rPr>
        <w:t>استهلاك النهائي للأسر بنسبة 3.2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بعدما ارتفعت بنسبة 3.7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2013</w:t>
      </w:r>
      <w:r w:rsidR="00DF6B0B" w:rsidRPr="00621354">
        <w:rPr>
          <w:rFonts w:cs="Simplified Arabic" w:hint="cs"/>
          <w:sz w:val="28"/>
          <w:szCs w:val="28"/>
          <w:rtl/>
          <w:lang w:bidi="ar-MA"/>
        </w:rPr>
        <w:t>،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مع مساهمة ب 1.9 نقطة في نمو الناتج الداخلي الإجمال</w:t>
      </w:r>
      <w:r w:rsidR="00636FBD">
        <w:rPr>
          <w:rFonts w:cs="Simplified Arabic" w:hint="cs"/>
          <w:sz w:val="28"/>
          <w:szCs w:val="28"/>
          <w:rtl/>
          <w:lang w:bidi="ar-MA"/>
        </w:rPr>
        <w:t>ي عوض 2.8 نقطة سنة 2013. وبدوره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535D5E" w:rsidRPr="00621354">
        <w:rPr>
          <w:rFonts w:cs="Simplified Arabic" w:hint="cs"/>
          <w:sz w:val="28"/>
          <w:szCs w:val="28"/>
          <w:rtl/>
          <w:lang w:bidi="ar-MA"/>
        </w:rPr>
        <w:t xml:space="preserve">عرف الاستهلاك النهائي العمومي </w:t>
      </w:r>
      <w:r w:rsidR="00636FBD">
        <w:rPr>
          <w:rFonts w:cs="Simplified Arabic" w:hint="cs"/>
          <w:sz w:val="28"/>
          <w:szCs w:val="28"/>
          <w:rtl/>
          <w:lang w:bidi="ar-MA"/>
        </w:rPr>
        <w:t>وثيرة</w:t>
      </w:r>
      <w:r w:rsidR="00535D5E" w:rsidRPr="00621354">
        <w:rPr>
          <w:rFonts w:cs="Simplified Arabic" w:hint="cs"/>
          <w:sz w:val="28"/>
          <w:szCs w:val="28"/>
          <w:rtl/>
          <w:lang w:bidi="ar-MA"/>
        </w:rPr>
        <w:t xml:space="preserve"> بطيئ</w:t>
      </w:r>
      <w:r w:rsidR="00636FBD">
        <w:rPr>
          <w:rFonts w:cs="Simplified Arabic" w:hint="cs"/>
          <w:sz w:val="28"/>
          <w:szCs w:val="28"/>
          <w:rtl/>
          <w:lang w:bidi="ar-MA"/>
        </w:rPr>
        <w:t>ة للنمو منتقلة</w:t>
      </w:r>
      <w:r w:rsidR="00535D5E" w:rsidRPr="00621354">
        <w:rPr>
          <w:rFonts w:cs="Simplified Arabic" w:hint="cs"/>
          <w:sz w:val="28"/>
          <w:szCs w:val="28"/>
          <w:rtl/>
          <w:lang w:bidi="ar-MA"/>
        </w:rPr>
        <w:t xml:space="preserve"> من 4.2</w:t>
      </w:r>
      <w:r w:rsidR="00535D5E" w:rsidRPr="00621354">
        <w:rPr>
          <w:rFonts w:cs="Simplified Arabic"/>
          <w:sz w:val="28"/>
          <w:szCs w:val="28"/>
          <w:lang w:bidi="ar-MA"/>
        </w:rPr>
        <w:t>%</w:t>
      </w:r>
      <w:r w:rsidR="00535D5E" w:rsidRPr="00621354">
        <w:rPr>
          <w:rFonts w:cs="Simplified Arabic" w:hint="cs"/>
          <w:sz w:val="28"/>
          <w:szCs w:val="28"/>
          <w:rtl/>
          <w:lang w:bidi="ar-MA"/>
        </w:rPr>
        <w:t xml:space="preserve"> سنة 2013 إلى 1.8</w:t>
      </w:r>
      <w:r w:rsidR="00535D5E" w:rsidRPr="00621354">
        <w:rPr>
          <w:rFonts w:cs="Simplified Arabic"/>
          <w:sz w:val="28"/>
          <w:szCs w:val="28"/>
          <w:lang w:bidi="ar-MA"/>
        </w:rPr>
        <w:t>%</w:t>
      </w:r>
      <w:r w:rsidR="00535D5E" w:rsidRPr="00621354">
        <w:rPr>
          <w:rFonts w:cs="Simplified Arabic" w:hint="cs"/>
          <w:sz w:val="28"/>
          <w:szCs w:val="28"/>
          <w:rtl/>
          <w:lang w:bidi="ar-MA"/>
        </w:rPr>
        <w:t xml:space="preserve"> سنة 2014 مع مساهمة في النمو بلغت 0.3 نقطة مقابل 0.8 نقطة سنة 2013.</w:t>
      </w:r>
    </w:p>
    <w:p w:rsidR="00535D5E" w:rsidRPr="00621354" w:rsidRDefault="00535D5E" w:rsidP="00E8533F">
      <w:pPr>
        <w:bidi/>
        <w:spacing w:after="120"/>
        <w:ind w:right="284"/>
        <w:jc w:val="both"/>
        <w:rPr>
          <w:rFonts w:cs="Simplified Arabic"/>
          <w:sz w:val="28"/>
          <w:szCs w:val="2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 xml:space="preserve">هذا وسجل </w:t>
      </w:r>
      <w:r w:rsidR="00636FBD">
        <w:rPr>
          <w:rFonts w:cs="Simplified Arabic" w:hint="cs"/>
          <w:sz w:val="28"/>
          <w:szCs w:val="28"/>
          <w:rtl/>
          <w:lang w:bidi="ar-MA"/>
        </w:rPr>
        <w:t>التكوين ال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إجمالي </w:t>
      </w:r>
      <w:r w:rsidR="00636FBD">
        <w:rPr>
          <w:rFonts w:cs="Simplified Arabic" w:hint="cs"/>
          <w:sz w:val="28"/>
          <w:szCs w:val="28"/>
          <w:rtl/>
          <w:lang w:bidi="ar-MA"/>
        </w:rPr>
        <w:t>ل</w:t>
      </w:r>
      <w:r w:rsidRPr="00621354">
        <w:rPr>
          <w:rFonts w:cs="Simplified Arabic" w:hint="cs"/>
          <w:sz w:val="28"/>
          <w:szCs w:val="28"/>
          <w:rtl/>
          <w:lang w:bidi="ar-MA"/>
        </w:rPr>
        <w:t>رأس المال الثابت، المكون الثاني للطلب الداخلي، انخفاضا بنسبة 0.4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عوض انخفاض بنسبة </w:t>
      </w:r>
      <w:r w:rsidR="00BD0473" w:rsidRPr="00621354">
        <w:rPr>
          <w:rFonts w:cs="Simplified Arabic" w:hint="cs"/>
          <w:sz w:val="28"/>
          <w:szCs w:val="28"/>
          <w:rtl/>
          <w:lang w:bidi="ar-MA"/>
        </w:rPr>
        <w:t>1.5</w:t>
      </w:r>
      <w:r w:rsidR="00BD0473" w:rsidRPr="00621354">
        <w:rPr>
          <w:rFonts w:cs="Simplified Arabic"/>
          <w:sz w:val="28"/>
          <w:szCs w:val="28"/>
          <w:lang w:bidi="ar-MA"/>
        </w:rPr>
        <w:t>%</w:t>
      </w:r>
      <w:r w:rsidR="00BD0473" w:rsidRPr="00621354">
        <w:rPr>
          <w:rFonts w:cs="Simplified Arabic" w:hint="cs"/>
          <w:sz w:val="28"/>
          <w:szCs w:val="28"/>
          <w:rtl/>
          <w:lang w:bidi="ar-MA"/>
        </w:rPr>
        <w:t xml:space="preserve"> سنة 2013</w:t>
      </w:r>
      <w:r w:rsidR="00B84324">
        <w:rPr>
          <w:rFonts w:cs="Simplified Arabic" w:hint="cs"/>
          <w:sz w:val="28"/>
          <w:szCs w:val="28"/>
          <w:rtl/>
          <w:lang w:bidi="ar-MA"/>
        </w:rPr>
        <w:t>،</w:t>
      </w:r>
      <w:r w:rsidR="00BD0473" w:rsidRPr="00621354">
        <w:rPr>
          <w:rFonts w:cs="Simplified Arabic" w:hint="cs"/>
          <w:sz w:val="28"/>
          <w:szCs w:val="28"/>
          <w:rtl/>
          <w:lang w:bidi="ar-MA"/>
        </w:rPr>
        <w:t xml:space="preserve"> وانتقلت مساهمته في النمو من </w:t>
      </w:r>
      <w:r w:rsidR="00BD0473" w:rsidRPr="00621354">
        <w:rPr>
          <w:rFonts w:cs="Simplified Arabic"/>
          <w:sz w:val="28"/>
          <w:szCs w:val="28"/>
          <w:lang w:val="en-US" w:bidi="ar-MA"/>
        </w:rPr>
        <w:t>-0.5</w:t>
      </w:r>
      <w:r w:rsidR="00BD0473" w:rsidRPr="00621354">
        <w:rPr>
          <w:rFonts w:cs="Simplified Arabic" w:hint="cs"/>
          <w:sz w:val="28"/>
          <w:szCs w:val="28"/>
          <w:rtl/>
          <w:lang w:bidi="ar-MA"/>
        </w:rPr>
        <w:t xml:space="preserve"> نقطة سنة 2013 إلى </w:t>
      </w:r>
      <w:r w:rsidR="00157EC2">
        <w:rPr>
          <w:rFonts w:cs="Simplified Arabic"/>
          <w:sz w:val="28"/>
          <w:szCs w:val="28"/>
          <w:rtl/>
          <w:lang w:bidi="ar-MA"/>
        </w:rPr>
        <w:br/>
      </w:r>
      <w:r w:rsidR="00BD0473" w:rsidRPr="00621354">
        <w:rPr>
          <w:rFonts w:cs="Simplified Arabic"/>
          <w:sz w:val="28"/>
          <w:szCs w:val="28"/>
          <w:lang w:val="en-US" w:bidi="ar-MA"/>
        </w:rPr>
        <w:t xml:space="preserve">-0.1 </w:t>
      </w:r>
      <w:r w:rsidR="00BD0473" w:rsidRPr="00621354">
        <w:rPr>
          <w:rFonts w:cs="Simplified Arabic" w:hint="cs"/>
          <w:sz w:val="28"/>
          <w:szCs w:val="28"/>
          <w:rtl/>
          <w:lang w:bidi="ar-MA"/>
        </w:rPr>
        <w:t xml:space="preserve"> نقطة سنة 2014</w:t>
      </w:r>
      <w:r w:rsidR="00B84324">
        <w:rPr>
          <w:rFonts w:cs="Simplified Arabic" w:hint="cs"/>
          <w:sz w:val="28"/>
          <w:szCs w:val="28"/>
          <w:rtl/>
          <w:lang w:bidi="ar-MA"/>
        </w:rPr>
        <w:t>.</w:t>
      </w:r>
    </w:p>
    <w:p w:rsidR="00C55777" w:rsidRDefault="00C55777" w:rsidP="00E8533F">
      <w:pPr>
        <w:bidi/>
        <w:ind w:right="284"/>
        <w:rPr>
          <w:rFonts w:cs="Simplified Arabic"/>
          <w:b/>
          <w:bCs/>
          <w:sz w:val="28"/>
          <w:szCs w:val="28"/>
          <w:lang w:bidi="ar-MA"/>
        </w:rPr>
      </w:pPr>
    </w:p>
    <w:p w:rsidR="00BD0473" w:rsidRPr="00621354" w:rsidRDefault="00BD0473" w:rsidP="00C55777">
      <w:pPr>
        <w:bidi/>
        <w:ind w:right="284"/>
        <w:rPr>
          <w:rFonts w:cs="Simplified Arabic"/>
          <w:b/>
          <w:bCs/>
          <w:sz w:val="28"/>
          <w:szCs w:val="28"/>
          <w:rtl/>
          <w:lang w:bidi="ar-MA"/>
        </w:rPr>
      </w:pPr>
      <w:r w:rsidRPr="00621354">
        <w:rPr>
          <w:rFonts w:cs="Simplified Arabic" w:hint="cs"/>
          <w:b/>
          <w:bCs/>
          <w:sz w:val="28"/>
          <w:szCs w:val="28"/>
          <w:rtl/>
          <w:lang w:bidi="ar-MA"/>
        </w:rPr>
        <w:t>مساهمة إيجابية للطلب الخارجي لأول مرة منذ سنة 2010</w:t>
      </w:r>
    </w:p>
    <w:p w:rsidR="00BD0473" w:rsidRPr="00621354" w:rsidRDefault="00BD0473" w:rsidP="00E8533F">
      <w:pPr>
        <w:bidi/>
        <w:ind w:right="284"/>
        <w:jc w:val="both"/>
        <w:rPr>
          <w:rFonts w:cs="Simplified Arabic"/>
          <w:sz w:val="28"/>
          <w:szCs w:val="2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>سجلت الصادرات من السلع والخدمات ارتفاعا بالحجم بنسبة 6.3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2014 عوض 0.9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2013. وعرفت الواردات</w:t>
      </w:r>
      <w:r w:rsidR="00157EC2" w:rsidRPr="00621354">
        <w:rPr>
          <w:rFonts w:cs="Simplified Arabic" w:hint="cs"/>
          <w:sz w:val="28"/>
          <w:szCs w:val="28"/>
          <w:rtl/>
          <w:lang w:bidi="ar-MA"/>
        </w:rPr>
        <w:t>،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بدورها</w:t>
      </w:r>
      <w:r w:rsidR="00157EC2" w:rsidRPr="00621354">
        <w:rPr>
          <w:rFonts w:cs="Simplified Arabic" w:hint="cs"/>
          <w:sz w:val="28"/>
          <w:szCs w:val="28"/>
          <w:rtl/>
          <w:lang w:bidi="ar-MA"/>
        </w:rPr>
        <w:t>،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ارتفاعا بنسبة 1.8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مقابل 0.9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. </w:t>
      </w:r>
      <w:r w:rsidR="00157EC2">
        <w:rPr>
          <w:rFonts w:cs="Simplified Arabic" w:hint="cs"/>
          <w:sz w:val="28"/>
          <w:szCs w:val="28"/>
          <w:rtl/>
          <w:lang w:bidi="ar-MA"/>
        </w:rPr>
        <w:t>وبذلك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انتقلت مساهمة صافي المبادلات الخارجية من</w:t>
      </w:r>
      <w:r w:rsidRPr="00621354">
        <w:rPr>
          <w:rFonts w:cs="Simplified Arabic"/>
          <w:sz w:val="28"/>
          <w:szCs w:val="28"/>
          <w:lang w:val="en-US" w:bidi="ar-MA"/>
        </w:rPr>
        <w:t xml:space="preserve">-0.1 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نقطة سنة 2013 إلى 1.2 نقطة سنة 2014.</w:t>
      </w:r>
    </w:p>
    <w:p w:rsidR="00C55777" w:rsidRDefault="00C55777" w:rsidP="00E8533F">
      <w:pPr>
        <w:bidi/>
        <w:spacing w:before="120"/>
        <w:ind w:right="284"/>
        <w:rPr>
          <w:rFonts w:cs="Simplified Arabic"/>
          <w:b/>
          <w:bCs/>
          <w:sz w:val="28"/>
          <w:szCs w:val="28"/>
          <w:lang w:bidi="ar-MA"/>
        </w:rPr>
      </w:pPr>
    </w:p>
    <w:p w:rsidR="00BD0473" w:rsidRPr="00621354" w:rsidRDefault="00BD0473" w:rsidP="00C55777">
      <w:pPr>
        <w:bidi/>
        <w:spacing w:before="120"/>
        <w:ind w:right="284"/>
        <w:rPr>
          <w:rFonts w:cs="Simplified Arabic"/>
          <w:b/>
          <w:bCs/>
          <w:sz w:val="28"/>
          <w:szCs w:val="28"/>
          <w:rtl/>
          <w:lang w:bidi="ar-MA"/>
        </w:rPr>
      </w:pPr>
      <w:r w:rsidRPr="0062135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استمرار </w:t>
      </w:r>
      <w:r w:rsidR="00D33CA1" w:rsidRPr="0062135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تخفيف </w:t>
      </w:r>
      <w:r w:rsidRPr="00621354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</w:t>
      </w:r>
      <w:r w:rsidR="00D33CA1" w:rsidRPr="0062135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الاقتصاد الوطني</w:t>
      </w:r>
    </w:p>
    <w:p w:rsidR="00D33CA1" w:rsidRPr="00621354" w:rsidRDefault="00B8760C" w:rsidP="00E8533F">
      <w:pPr>
        <w:bidi/>
        <w:spacing w:after="120"/>
        <w:ind w:right="284"/>
        <w:jc w:val="both"/>
        <w:rPr>
          <w:rFonts w:cs="Simplified Arabic"/>
          <w:sz w:val="28"/>
          <w:szCs w:val="2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 xml:space="preserve">مع ارتفاع الناتج الداخلي الإجمالي بالقيمة بنسبة 2.6 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2014 وانخفاض صافي </w:t>
      </w:r>
      <w:r w:rsidR="00157EC2">
        <w:rPr>
          <w:rFonts w:cs="Simplified Arabic" w:hint="cs"/>
          <w:sz w:val="28"/>
          <w:szCs w:val="28"/>
          <w:rtl/>
          <w:lang w:bidi="ar-MA"/>
        </w:rPr>
        <w:t>المداخيل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الخارجية بنسبة 0.5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>، عرف إجمالي الدخل الوطني الم</w:t>
      </w:r>
      <w:r w:rsidR="00157EC2">
        <w:rPr>
          <w:rFonts w:cs="Simplified Arabic" w:hint="cs"/>
          <w:sz w:val="28"/>
          <w:szCs w:val="28"/>
          <w:rtl/>
          <w:lang w:bidi="ar-MA"/>
        </w:rPr>
        <w:t>ت</w:t>
      </w:r>
      <w:r w:rsidRPr="00621354">
        <w:rPr>
          <w:rFonts w:cs="Simplified Arabic" w:hint="cs"/>
          <w:sz w:val="28"/>
          <w:szCs w:val="28"/>
          <w:rtl/>
          <w:lang w:bidi="ar-MA"/>
        </w:rPr>
        <w:t>اح ارتفاعا بنسبة 2.4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مقابل 7.3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2013 ليستقر في</w:t>
      </w:r>
      <w:r w:rsidR="00157EC2">
        <w:rPr>
          <w:rFonts w:cs="Simplified Arabic" w:hint="cs"/>
          <w:sz w:val="28"/>
          <w:szCs w:val="28"/>
          <w:rtl/>
          <w:lang w:bidi="ar-MA"/>
        </w:rPr>
        <w:t xml:space="preserve"> مستوى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985 مليار درهم سنة 2</w:t>
      </w:r>
      <w:r w:rsidR="00157EC2">
        <w:rPr>
          <w:rFonts w:cs="Simplified Arabic" w:hint="cs"/>
          <w:sz w:val="28"/>
          <w:szCs w:val="28"/>
          <w:rtl/>
          <w:lang w:bidi="ar-MA"/>
        </w:rPr>
        <w:t>014</w:t>
      </w:r>
      <w:r w:rsidRPr="00621354">
        <w:rPr>
          <w:rFonts w:cs="Simplified Arabic" w:hint="cs"/>
          <w:sz w:val="28"/>
          <w:szCs w:val="28"/>
          <w:rtl/>
          <w:lang w:bidi="ar-MA"/>
        </w:rPr>
        <w:t>.</w:t>
      </w:r>
    </w:p>
    <w:p w:rsidR="00B8760C" w:rsidRPr="00621354" w:rsidRDefault="00B8760C" w:rsidP="00E8533F">
      <w:pPr>
        <w:bidi/>
        <w:spacing w:after="120"/>
        <w:ind w:right="284"/>
        <w:jc w:val="both"/>
        <w:rPr>
          <w:rFonts w:cs="Simplified Arabic"/>
          <w:sz w:val="28"/>
          <w:szCs w:val="28"/>
          <w:rtl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 xml:space="preserve">وتحت </w:t>
      </w:r>
      <w:r w:rsidR="00157EC2" w:rsidRPr="00621354">
        <w:rPr>
          <w:rFonts w:cs="Simplified Arabic" w:hint="cs"/>
          <w:sz w:val="28"/>
          <w:szCs w:val="28"/>
          <w:rtl/>
          <w:lang w:bidi="ar-MA"/>
        </w:rPr>
        <w:t>تأثير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تحسن الاستهلاك النهائي الوطني بنسبة 3.2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="00B84324">
        <w:rPr>
          <w:rFonts w:cs="Simplified Arabic" w:hint="cs"/>
          <w:sz w:val="28"/>
          <w:szCs w:val="28"/>
          <w:rtl/>
          <w:lang w:bidi="ar-MA"/>
        </w:rPr>
        <w:t>،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بلغ إجمالي الادخار الوطني 26.4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من الناتج الداخلي الإجمالي بعدما سجل 27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السنة الماضية.</w:t>
      </w:r>
    </w:p>
    <w:p w:rsidR="00621354" w:rsidRDefault="00B8760C" w:rsidP="00064672">
      <w:pPr>
        <w:bidi/>
        <w:spacing w:after="120"/>
        <w:ind w:right="284"/>
        <w:jc w:val="both"/>
        <w:rPr>
          <w:rFonts w:cs="Simplified Arabic"/>
          <w:sz w:val="28"/>
          <w:szCs w:val="28"/>
          <w:lang w:bidi="ar-MA"/>
        </w:rPr>
      </w:pPr>
      <w:r w:rsidRPr="00621354">
        <w:rPr>
          <w:rFonts w:cs="Simplified Arabic" w:hint="cs"/>
          <w:sz w:val="28"/>
          <w:szCs w:val="28"/>
          <w:rtl/>
          <w:lang w:bidi="ar-MA"/>
        </w:rPr>
        <w:t>وشكل إجمالي الاستثمار (</w:t>
      </w:r>
      <w:r w:rsidR="00157EC2">
        <w:rPr>
          <w:rFonts w:cs="Simplified Arabic" w:hint="cs"/>
          <w:sz w:val="28"/>
          <w:szCs w:val="28"/>
          <w:rtl/>
          <w:lang w:bidi="ar-MA"/>
        </w:rPr>
        <w:t>التكوين ال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إجمالي </w:t>
      </w:r>
      <w:r w:rsidR="00157EC2">
        <w:rPr>
          <w:rFonts w:cs="Simplified Arabic" w:hint="cs"/>
          <w:sz w:val="28"/>
          <w:szCs w:val="28"/>
          <w:rtl/>
          <w:lang w:bidi="ar-MA"/>
        </w:rPr>
        <w:t>ل</w:t>
      </w:r>
      <w:r w:rsidRPr="00621354">
        <w:rPr>
          <w:rFonts w:cs="Simplified Arabic" w:hint="cs"/>
          <w:sz w:val="28"/>
          <w:szCs w:val="28"/>
          <w:rtl/>
          <w:lang w:bidi="ar-MA"/>
        </w:rPr>
        <w:t>رأس المال الثابت والتغير في المخزون) 32.2</w:t>
      </w:r>
      <w:r w:rsidR="00CA57FB" w:rsidRPr="00621354">
        <w:rPr>
          <w:rFonts w:cs="Simplified Arabic"/>
          <w:sz w:val="28"/>
          <w:szCs w:val="28"/>
          <w:lang w:bidi="ar-MA"/>
        </w:rPr>
        <w:t>%</w:t>
      </w:r>
      <w:r w:rsidR="00CA57FB" w:rsidRPr="0062135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Pr="00621354">
        <w:rPr>
          <w:rFonts w:cs="Simplified Arabic" w:hint="cs"/>
          <w:sz w:val="28"/>
          <w:szCs w:val="28"/>
          <w:rtl/>
          <w:lang w:bidi="ar-MA"/>
        </w:rPr>
        <w:t>من الناتج الداخلي الإجمالي سنة 2014 عوض 34.7</w:t>
      </w:r>
      <w:r w:rsidR="00AB79C7" w:rsidRPr="00621354">
        <w:rPr>
          <w:rFonts w:cs="Simplified Arabic"/>
          <w:sz w:val="28"/>
          <w:szCs w:val="28"/>
          <w:lang w:bidi="ar-MA"/>
        </w:rPr>
        <w:t>%</w:t>
      </w:r>
      <w:r w:rsidR="00AB79C7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Pr="00621354">
        <w:rPr>
          <w:rFonts w:cs="Simplified Arabic" w:hint="cs"/>
          <w:sz w:val="28"/>
          <w:szCs w:val="28"/>
          <w:rtl/>
          <w:lang w:bidi="ar-MA"/>
        </w:rPr>
        <w:t>سنة 2013</w:t>
      </w:r>
      <w:r w:rsidR="00CA57FB" w:rsidRPr="00621354">
        <w:rPr>
          <w:rFonts w:cs="Simplified Arabic" w:hint="cs"/>
          <w:sz w:val="28"/>
          <w:szCs w:val="28"/>
          <w:rtl/>
          <w:lang w:bidi="ar-MA"/>
        </w:rPr>
        <w:t>،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ممول </w:t>
      </w:r>
      <w:r w:rsidR="00AB79C7">
        <w:rPr>
          <w:rFonts w:cs="Simplified Arabic" w:hint="cs"/>
          <w:sz w:val="28"/>
          <w:szCs w:val="28"/>
          <w:rtl/>
          <w:lang w:bidi="ar-MA"/>
        </w:rPr>
        <w:t>ب</w:t>
      </w:r>
      <w:r w:rsidR="00AB79C7" w:rsidRPr="00621354">
        <w:rPr>
          <w:rFonts w:cs="Simplified Arabic" w:hint="cs"/>
          <w:sz w:val="28"/>
          <w:szCs w:val="28"/>
          <w:rtl/>
          <w:lang w:bidi="ar-MA"/>
        </w:rPr>
        <w:t>إجمالي ا</w:t>
      </w:r>
      <w:r w:rsidR="00064672">
        <w:rPr>
          <w:rFonts w:cs="Simplified Arabic" w:hint="cs"/>
          <w:sz w:val="28"/>
          <w:szCs w:val="28"/>
          <w:rtl/>
          <w:lang w:bidi="ar-MA"/>
        </w:rPr>
        <w:t>لإ</w:t>
      </w:r>
      <w:r w:rsidR="00AB79C7" w:rsidRPr="00621354">
        <w:rPr>
          <w:rFonts w:cs="Simplified Arabic" w:hint="cs"/>
          <w:sz w:val="28"/>
          <w:szCs w:val="28"/>
          <w:rtl/>
          <w:lang w:bidi="ar-MA"/>
        </w:rPr>
        <w:t xml:space="preserve">دخار الوطني </w:t>
      </w:r>
      <w:r w:rsidRPr="00621354">
        <w:rPr>
          <w:rFonts w:cs="Simplified Arabic" w:hint="cs"/>
          <w:sz w:val="28"/>
          <w:szCs w:val="28"/>
          <w:rtl/>
          <w:lang w:bidi="ar-MA"/>
        </w:rPr>
        <w:t>بنسبة 82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AB79C7">
        <w:rPr>
          <w:rFonts w:cs="Simplified Arabic" w:hint="cs"/>
          <w:sz w:val="28"/>
          <w:szCs w:val="28"/>
          <w:rtl/>
          <w:lang w:bidi="ar-MA"/>
        </w:rPr>
        <w:t xml:space="preserve">عوض </w:t>
      </w:r>
      <w:r w:rsidRPr="00621354">
        <w:rPr>
          <w:rFonts w:cs="Simplified Arabic" w:hint="cs"/>
          <w:sz w:val="28"/>
          <w:szCs w:val="28"/>
          <w:rtl/>
          <w:lang w:bidi="ar-MA"/>
        </w:rPr>
        <w:t>78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2013. وهكذا تقلصت الحاجة إلى تمويل ا</w:t>
      </w:r>
      <w:r w:rsidR="00AB79C7">
        <w:rPr>
          <w:rFonts w:cs="Simplified Arabic" w:hint="cs"/>
          <w:sz w:val="28"/>
          <w:szCs w:val="28"/>
          <w:rtl/>
          <w:lang w:bidi="ar-MA"/>
        </w:rPr>
        <w:t>لإ</w:t>
      </w:r>
      <w:r w:rsidRPr="00621354">
        <w:rPr>
          <w:rFonts w:cs="Simplified Arabic" w:hint="cs"/>
          <w:sz w:val="28"/>
          <w:szCs w:val="28"/>
          <w:rtl/>
          <w:lang w:bidi="ar-MA"/>
        </w:rPr>
        <w:t>قتصاد الوطني من</w:t>
      </w:r>
      <w:r w:rsidR="00AB79C7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Pr="00621354">
        <w:rPr>
          <w:rFonts w:cs="Simplified Arabic" w:hint="cs"/>
          <w:sz w:val="28"/>
          <w:szCs w:val="28"/>
          <w:rtl/>
          <w:lang w:bidi="ar-MA"/>
        </w:rPr>
        <w:t>7.7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من الناتج الداخلي الإجمالي سنة 2013  إلى 5.8</w:t>
      </w:r>
      <w:r w:rsidRPr="00621354">
        <w:rPr>
          <w:rFonts w:cs="Simplified Arabic"/>
          <w:sz w:val="28"/>
          <w:szCs w:val="28"/>
          <w:lang w:bidi="ar-MA"/>
        </w:rPr>
        <w:t>%</w:t>
      </w:r>
      <w:r w:rsidRPr="00621354">
        <w:rPr>
          <w:rFonts w:cs="Simplified Arabic" w:hint="cs"/>
          <w:sz w:val="28"/>
          <w:szCs w:val="28"/>
          <w:rtl/>
          <w:lang w:bidi="ar-MA"/>
        </w:rPr>
        <w:t xml:space="preserve"> سنة 2014</w:t>
      </w:r>
      <w:r w:rsidR="00F72BF6" w:rsidRPr="00621354">
        <w:rPr>
          <w:rFonts w:cs="Simplified Arabic"/>
          <w:sz w:val="28"/>
          <w:szCs w:val="28"/>
          <w:lang w:bidi="ar-MA"/>
        </w:rPr>
        <w:t>.</w:t>
      </w:r>
    </w:p>
    <w:p w:rsidR="00E8533F" w:rsidRPr="00064672" w:rsidRDefault="00621354" w:rsidP="00621354">
      <w:pPr>
        <w:bidi/>
        <w:jc w:val="center"/>
        <w:rPr>
          <w:rFonts w:cs="Simplified Arabic"/>
          <w:sz w:val="6"/>
          <w:szCs w:val="6"/>
          <w:rtl/>
          <w:lang w:bidi="ar-MA"/>
        </w:rPr>
      </w:pPr>
      <w:r>
        <w:rPr>
          <w:rFonts w:cs="Simplified Arabic"/>
          <w:sz w:val="28"/>
          <w:szCs w:val="28"/>
          <w:lang w:bidi="ar-MA"/>
        </w:rPr>
        <w:br w:type="page"/>
      </w:r>
    </w:p>
    <w:p w:rsidR="00621354" w:rsidRPr="00A9498C" w:rsidRDefault="00621354" w:rsidP="00E8533F">
      <w:pPr>
        <w:bidi/>
        <w:jc w:val="center"/>
        <w:rPr>
          <w:b/>
          <w:bCs/>
          <w:color w:val="76923C"/>
          <w:sz w:val="32"/>
          <w:szCs w:val="32"/>
          <w:rtl/>
        </w:rPr>
      </w:pPr>
      <w:r w:rsidRPr="00A9498C">
        <w:rPr>
          <w:rFonts w:hint="cs"/>
          <w:b/>
          <w:bCs/>
          <w:color w:val="76923C"/>
          <w:sz w:val="32"/>
          <w:szCs w:val="32"/>
          <w:rtl/>
        </w:rPr>
        <w:t>تطور</w:t>
      </w:r>
      <w:r w:rsidRPr="00A9498C">
        <w:rPr>
          <w:b/>
          <w:bCs/>
          <w:color w:val="76923C"/>
          <w:sz w:val="32"/>
          <w:szCs w:val="32"/>
          <w:rtl/>
        </w:rPr>
        <w:t xml:space="preserve"> </w:t>
      </w:r>
      <w:r w:rsidRPr="00A9498C">
        <w:rPr>
          <w:rFonts w:hint="cs"/>
          <w:b/>
          <w:bCs/>
          <w:color w:val="76923C"/>
          <w:sz w:val="32"/>
          <w:szCs w:val="32"/>
          <w:rtl/>
        </w:rPr>
        <w:t>المجاميع</w:t>
      </w:r>
      <w:r w:rsidRPr="00A9498C">
        <w:rPr>
          <w:b/>
          <w:bCs/>
          <w:color w:val="76923C"/>
          <w:sz w:val="32"/>
          <w:szCs w:val="32"/>
          <w:rtl/>
        </w:rPr>
        <w:t xml:space="preserve"> </w:t>
      </w:r>
      <w:r w:rsidRPr="00A9498C">
        <w:rPr>
          <w:rFonts w:hint="cs"/>
          <w:b/>
          <w:bCs/>
          <w:color w:val="76923C"/>
          <w:sz w:val="32"/>
          <w:szCs w:val="32"/>
          <w:rtl/>
        </w:rPr>
        <w:t>الاقتصادية</w:t>
      </w:r>
      <w:r w:rsidRPr="00A9498C">
        <w:rPr>
          <w:b/>
          <w:bCs/>
          <w:color w:val="76923C"/>
          <w:sz w:val="32"/>
          <w:szCs w:val="32"/>
          <w:rtl/>
        </w:rPr>
        <w:t xml:space="preserve"> </w:t>
      </w:r>
      <w:r w:rsidRPr="00A9498C">
        <w:rPr>
          <w:rFonts w:hint="cs"/>
          <w:b/>
          <w:bCs/>
          <w:color w:val="76923C"/>
          <w:sz w:val="32"/>
          <w:szCs w:val="32"/>
          <w:rtl/>
        </w:rPr>
        <w:t>الأساسية</w:t>
      </w:r>
    </w:p>
    <w:p w:rsidR="00621354" w:rsidRPr="00E30C9F" w:rsidRDefault="00621354" w:rsidP="00621354">
      <w:pPr>
        <w:jc w:val="center"/>
        <w:rPr>
          <w:b/>
          <w:bCs/>
          <w:color w:val="76923C"/>
          <w:sz w:val="18"/>
          <w:szCs w:val="18"/>
        </w:rPr>
      </w:pPr>
    </w:p>
    <w:tbl>
      <w:tblPr>
        <w:tblW w:w="9207" w:type="dxa"/>
        <w:jc w:val="center"/>
        <w:tblBorders>
          <w:top w:val="single" w:sz="12" w:space="0" w:color="4F6228"/>
          <w:bottom w:val="single" w:sz="12" w:space="0" w:color="4F6228"/>
        </w:tblBorders>
        <w:tblLook w:val="00A0"/>
      </w:tblPr>
      <w:tblGrid>
        <w:gridCol w:w="1090"/>
        <w:gridCol w:w="1026"/>
        <w:gridCol w:w="1046"/>
        <w:gridCol w:w="6045"/>
      </w:tblGrid>
      <w:tr w:rsidR="00621354" w:rsidRPr="000F254E" w:rsidTr="00360ED9">
        <w:trPr>
          <w:trHeight w:val="330"/>
          <w:jc w:val="center"/>
        </w:trPr>
        <w:tc>
          <w:tcPr>
            <w:tcW w:w="1090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621354" w:rsidRPr="000F254E" w:rsidRDefault="00621354" w:rsidP="00360ED9">
            <w:pPr>
              <w:bidi/>
              <w:jc w:val="center"/>
              <w:rPr>
                <w:rFonts w:ascii="Arial" w:hAnsi="Arial"/>
                <w:b/>
                <w:bCs/>
                <w:color w:val="800080"/>
                <w:sz w:val="24"/>
                <w:szCs w:val="24"/>
              </w:rPr>
            </w:pPr>
            <w:r w:rsidRPr="000F254E">
              <w:rPr>
                <w:rFonts w:ascii="Arial" w:hAnsi="Arial"/>
                <w:b/>
                <w:bCs/>
                <w:color w:val="800080"/>
                <w:sz w:val="24"/>
                <w:szCs w:val="24"/>
                <w:rtl/>
              </w:rPr>
              <w:t>201</w:t>
            </w:r>
            <w:r w:rsidRPr="000F254E">
              <w:rPr>
                <w:rFonts w:ascii="Arial" w:hAnsi="Arial" w:hint="cs"/>
                <w:b/>
                <w:bCs/>
                <w:color w:val="800080"/>
                <w:sz w:val="24"/>
                <w:szCs w:val="24"/>
                <w:rtl/>
              </w:rPr>
              <w:t>4</w:t>
            </w:r>
          </w:p>
        </w:tc>
        <w:tc>
          <w:tcPr>
            <w:tcW w:w="1026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621354" w:rsidRPr="000F254E" w:rsidRDefault="00621354" w:rsidP="00360ED9">
            <w:pPr>
              <w:bidi/>
              <w:jc w:val="center"/>
              <w:rPr>
                <w:rFonts w:ascii="Arial" w:hAnsi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800080"/>
                <w:sz w:val="24"/>
                <w:szCs w:val="24"/>
                <w:rtl/>
              </w:rPr>
              <w:t>2013</w:t>
            </w:r>
          </w:p>
        </w:tc>
        <w:tc>
          <w:tcPr>
            <w:tcW w:w="1046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621354" w:rsidRPr="000F254E" w:rsidRDefault="00621354" w:rsidP="00360ED9">
            <w:pPr>
              <w:bidi/>
              <w:jc w:val="center"/>
              <w:rPr>
                <w:rFonts w:ascii="Arial" w:hAnsi="Arial"/>
                <w:b/>
                <w:bCs/>
                <w:color w:val="800080"/>
                <w:sz w:val="24"/>
                <w:szCs w:val="24"/>
              </w:rPr>
            </w:pPr>
            <w:r w:rsidRPr="000F254E">
              <w:rPr>
                <w:rFonts w:ascii="Arial" w:hAnsi="Arial" w:hint="cs"/>
                <w:b/>
                <w:bCs/>
                <w:color w:val="800080"/>
                <w:sz w:val="24"/>
                <w:szCs w:val="24"/>
                <w:rtl/>
              </w:rPr>
              <w:t>2012</w:t>
            </w:r>
          </w:p>
        </w:tc>
        <w:tc>
          <w:tcPr>
            <w:tcW w:w="6045" w:type="dxa"/>
            <w:tcBorders>
              <w:top w:val="single" w:sz="12" w:space="0" w:color="4F6228"/>
              <w:bottom w:val="single" w:sz="12" w:space="0" w:color="4F6228"/>
            </w:tcBorders>
          </w:tcPr>
          <w:p w:rsidR="00621354" w:rsidRPr="000F254E" w:rsidRDefault="00621354" w:rsidP="00360ED9">
            <w:pPr>
              <w:bidi/>
              <w:jc w:val="center"/>
              <w:rPr>
                <w:rFonts w:ascii="Arial" w:hAnsi="Arial"/>
                <w:b/>
                <w:bCs/>
                <w:color w:val="800080"/>
                <w:sz w:val="24"/>
                <w:szCs w:val="24"/>
                <w:lang w:bidi="ar-MA"/>
              </w:rPr>
            </w:pPr>
            <w:r w:rsidRPr="000F254E">
              <w:rPr>
                <w:rFonts w:ascii="Arial" w:hAnsi="Arial"/>
                <w:b/>
                <w:bCs/>
                <w:color w:val="800080"/>
                <w:sz w:val="32"/>
                <w:szCs w:val="32"/>
                <w:rtl/>
                <w:lang w:bidi="ar-MA"/>
              </w:rPr>
              <w:t>العمليات</w:t>
            </w:r>
          </w:p>
        </w:tc>
      </w:tr>
      <w:tr w:rsidR="00621354" w:rsidRPr="000F254E" w:rsidTr="00360ED9">
        <w:trPr>
          <w:trHeight w:val="510"/>
          <w:jc w:val="center"/>
        </w:trPr>
        <w:tc>
          <w:tcPr>
            <w:tcW w:w="3162" w:type="dxa"/>
            <w:gridSpan w:val="3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النمو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الاقتصادي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السنوي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b/>
                <w:bCs/>
                <w:color w:val="993300"/>
                <w:sz w:val="22"/>
                <w:szCs w:val="22"/>
              </w:rPr>
              <w:t xml:space="preserve"> %</w:t>
            </w:r>
          </w:p>
          <w:p w:rsidR="00621354" w:rsidRPr="00621354" w:rsidRDefault="00621354" w:rsidP="00360ED9">
            <w:pPr>
              <w:bidi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>(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بأسعار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السنة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الماضية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>)</w:t>
            </w:r>
          </w:p>
        </w:tc>
        <w:tc>
          <w:tcPr>
            <w:tcW w:w="6045" w:type="dxa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تقسيم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الناتج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الداخلي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الإجمالي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2,4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4,7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3,0</w:t>
            </w:r>
          </w:p>
        </w:tc>
        <w:tc>
          <w:tcPr>
            <w:tcW w:w="6045" w:type="dxa"/>
          </w:tcPr>
          <w:p w:rsidR="00621354" w:rsidRPr="000F254E" w:rsidRDefault="00621354" w:rsidP="00B85109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الإجالي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1,4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3,9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2,7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-2,5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17,9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-9,1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</w:rPr>
              <w:t xml:space="preserve">    </w:t>
            </w:r>
            <w:r w:rsidRPr="00E8533F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2,0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1,9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4,5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</w:rPr>
              <w:t xml:space="preserve">    </w:t>
            </w:r>
            <w:r w:rsidRPr="00E8533F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13,4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14,7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6,8</w:t>
            </w:r>
          </w:p>
        </w:tc>
        <w:tc>
          <w:tcPr>
            <w:tcW w:w="6045" w:type="dxa"/>
            <w:tcBorders>
              <w:bottom w:val="nil"/>
            </w:tcBorders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tcBorders>
              <w:top w:val="nil"/>
              <w:bottom w:val="single" w:sz="6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3,1</w:t>
            </w:r>
          </w:p>
        </w:tc>
        <w:tc>
          <w:tcPr>
            <w:tcW w:w="1026" w:type="dxa"/>
            <w:tcBorders>
              <w:top w:val="nil"/>
              <w:bottom w:val="single" w:sz="6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3,0</w:t>
            </w:r>
          </w:p>
        </w:tc>
        <w:tc>
          <w:tcPr>
            <w:tcW w:w="1046" w:type="dxa"/>
            <w:tcBorders>
              <w:top w:val="nil"/>
              <w:bottom w:val="single" w:sz="6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4,7</w:t>
            </w:r>
          </w:p>
        </w:tc>
        <w:tc>
          <w:tcPr>
            <w:tcW w:w="6045" w:type="dxa"/>
            <w:tcBorders>
              <w:top w:val="nil"/>
              <w:bottom w:val="single" w:sz="6" w:space="0" w:color="4F6228"/>
            </w:tcBorders>
          </w:tcPr>
          <w:p w:rsidR="00621354" w:rsidRPr="000F254E" w:rsidRDefault="00621354" w:rsidP="00B85109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0F254E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621354" w:rsidRPr="000F254E" w:rsidTr="00360ED9">
        <w:trPr>
          <w:trHeight w:val="283"/>
          <w:jc w:val="center"/>
        </w:trPr>
        <w:tc>
          <w:tcPr>
            <w:tcW w:w="3162" w:type="dxa"/>
            <w:gridSpan w:val="3"/>
            <w:tcBorders>
              <w:top w:val="single" w:sz="6" w:space="0" w:color="4F6228"/>
            </w:tcBorders>
            <w:vAlign w:val="center"/>
          </w:tcPr>
          <w:p w:rsidR="00621354" w:rsidRPr="000F254E" w:rsidRDefault="00621354" w:rsidP="00360ED9">
            <w:pPr>
              <w:bidi/>
              <w:rPr>
                <w:rFonts w:ascii="Arial" w:hAnsi="Arial"/>
                <w:b/>
                <w:bCs/>
                <w:color w:val="7030A0"/>
              </w:rPr>
            </w:pPr>
          </w:p>
        </w:tc>
        <w:tc>
          <w:tcPr>
            <w:tcW w:w="6045" w:type="dxa"/>
            <w:tcBorders>
              <w:top w:val="single" w:sz="6" w:space="0" w:color="4F6228"/>
            </w:tcBorders>
          </w:tcPr>
          <w:p w:rsidR="00621354" w:rsidRPr="006F25EE" w:rsidRDefault="00621354" w:rsidP="00360ED9">
            <w:pPr>
              <w:bidi/>
              <w:rPr>
                <w:rFonts w:ascii="Calibri" w:hAnsi="Calibri"/>
                <w:b/>
                <w:bCs/>
                <w:color w:val="993300"/>
              </w:rPr>
            </w:pPr>
            <w:r w:rsidRPr="006F25EE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3,2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3,7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4,1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1,8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4,2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8,5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14,0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1,9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6,9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  <w:r w:rsidRPr="00E8533F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-0,4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-1,5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3,6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1,8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0,9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3,3</w:t>
            </w:r>
          </w:p>
        </w:tc>
        <w:tc>
          <w:tcPr>
            <w:tcW w:w="6045" w:type="dxa"/>
            <w:tcBorders>
              <w:bottom w:val="nil"/>
            </w:tcBorders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tcBorders>
              <w:top w:val="nil"/>
              <w:bottom w:val="single" w:sz="12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6,3</w:t>
            </w:r>
          </w:p>
        </w:tc>
        <w:tc>
          <w:tcPr>
            <w:tcW w:w="1026" w:type="dxa"/>
            <w:tcBorders>
              <w:top w:val="nil"/>
              <w:bottom w:val="single" w:sz="12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0,9</w:t>
            </w:r>
          </w:p>
        </w:tc>
        <w:tc>
          <w:tcPr>
            <w:tcW w:w="1046" w:type="dxa"/>
            <w:tcBorders>
              <w:top w:val="nil"/>
              <w:bottom w:val="single" w:sz="12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2,7</w:t>
            </w:r>
          </w:p>
        </w:tc>
        <w:tc>
          <w:tcPr>
            <w:tcW w:w="6045" w:type="dxa"/>
            <w:tcBorders>
              <w:top w:val="nil"/>
              <w:bottom w:val="single" w:sz="12" w:space="0" w:color="4F6228"/>
            </w:tcBorders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621354" w:rsidRPr="000F254E" w:rsidTr="00621354">
        <w:trPr>
          <w:trHeight w:val="340"/>
          <w:jc w:val="center"/>
        </w:trPr>
        <w:tc>
          <w:tcPr>
            <w:tcW w:w="3162" w:type="dxa"/>
            <w:gridSpan w:val="3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jc w:val="center"/>
              <w:rPr>
                <w:b/>
                <w:bCs/>
                <w:color w:val="993300"/>
                <w:sz w:val="22"/>
                <w:szCs w:val="22"/>
                <w:rtl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بالأسعار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 xml:space="preserve">الجارية </w:t>
            </w:r>
          </w:p>
          <w:p w:rsidR="00621354" w:rsidRPr="00621354" w:rsidRDefault="00621354" w:rsidP="00360ED9">
            <w:pPr>
              <w:bidi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>(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بمليون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درهم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>)</w:t>
            </w:r>
          </w:p>
        </w:tc>
        <w:tc>
          <w:tcPr>
            <w:tcW w:w="6045" w:type="dxa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تقسيم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الناتج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الداخلي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الإجمالي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924 769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901 366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847 881</w:t>
            </w:r>
          </w:p>
        </w:tc>
        <w:tc>
          <w:tcPr>
            <w:tcW w:w="6045" w:type="dxa"/>
          </w:tcPr>
          <w:p w:rsidR="00621354" w:rsidRPr="000F254E" w:rsidRDefault="00621354" w:rsidP="00B85109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الإجالي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830 734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821 856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781 813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99 121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113 128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97 582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</w:rPr>
              <w:t xml:space="preserve">    </w:t>
            </w:r>
            <w:r w:rsidRPr="00E8533F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731 613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708</w:t>
            </w:r>
            <w:r>
              <w:rPr>
                <w:rFonts w:hint="cs"/>
                <w:bCs/>
                <w:rtl/>
              </w:rPr>
              <w:t xml:space="preserve"> </w:t>
            </w:r>
            <w:r w:rsidRPr="003C770D">
              <w:rPr>
                <w:bCs/>
              </w:rPr>
              <w:t>728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684 231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</w:rPr>
              <w:t xml:space="preserve">    </w:t>
            </w:r>
            <w:r w:rsidRPr="00E8533F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94 035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79</w:t>
            </w:r>
            <w:r>
              <w:rPr>
                <w:rFonts w:hint="cs"/>
                <w:bCs/>
                <w:rtl/>
              </w:rPr>
              <w:t xml:space="preserve"> </w:t>
            </w:r>
            <w:r w:rsidRPr="003C770D">
              <w:rPr>
                <w:bCs/>
              </w:rPr>
              <w:t>510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66 068</w:t>
            </w:r>
          </w:p>
        </w:tc>
        <w:tc>
          <w:tcPr>
            <w:tcW w:w="6045" w:type="dxa"/>
            <w:tcBorders>
              <w:bottom w:val="nil"/>
            </w:tcBorders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tcBorders>
              <w:top w:val="nil"/>
              <w:bottom w:val="single" w:sz="6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825 648</w:t>
            </w:r>
          </w:p>
        </w:tc>
        <w:tc>
          <w:tcPr>
            <w:tcW w:w="1026" w:type="dxa"/>
            <w:tcBorders>
              <w:top w:val="nil"/>
              <w:bottom w:val="single" w:sz="6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788 238</w:t>
            </w:r>
          </w:p>
        </w:tc>
        <w:tc>
          <w:tcPr>
            <w:tcW w:w="1046" w:type="dxa"/>
            <w:tcBorders>
              <w:top w:val="nil"/>
              <w:bottom w:val="single" w:sz="6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750 299</w:t>
            </w:r>
          </w:p>
        </w:tc>
        <w:tc>
          <w:tcPr>
            <w:tcW w:w="6045" w:type="dxa"/>
            <w:tcBorders>
              <w:top w:val="nil"/>
              <w:bottom w:val="single" w:sz="6" w:space="0" w:color="4F6228"/>
            </w:tcBorders>
          </w:tcPr>
          <w:p w:rsidR="00621354" w:rsidRPr="000F254E" w:rsidRDefault="00621354" w:rsidP="00B85109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0F254E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621354" w:rsidRPr="000F254E" w:rsidTr="00360ED9">
        <w:trPr>
          <w:trHeight w:val="283"/>
          <w:jc w:val="center"/>
        </w:trPr>
        <w:tc>
          <w:tcPr>
            <w:tcW w:w="3162" w:type="dxa"/>
            <w:gridSpan w:val="3"/>
            <w:tcBorders>
              <w:top w:val="single" w:sz="6" w:space="0" w:color="4F6228"/>
            </w:tcBorders>
            <w:vAlign w:val="center"/>
          </w:tcPr>
          <w:p w:rsidR="00621354" w:rsidRPr="000F254E" w:rsidRDefault="00621354" w:rsidP="00360ED9">
            <w:pPr>
              <w:bidi/>
              <w:rPr>
                <w:rFonts w:ascii="Arial" w:hAnsi="Arial"/>
                <w:b/>
                <w:bCs/>
                <w:color w:val="7030A0"/>
              </w:rPr>
            </w:pPr>
          </w:p>
        </w:tc>
        <w:tc>
          <w:tcPr>
            <w:tcW w:w="6045" w:type="dxa"/>
            <w:tcBorders>
              <w:top w:val="single" w:sz="6" w:space="0" w:color="4F6228"/>
            </w:tcBorders>
          </w:tcPr>
          <w:p w:rsidR="00621354" w:rsidRPr="000F254E" w:rsidRDefault="00621354" w:rsidP="00967225">
            <w:pPr>
              <w:bidi/>
              <w:ind w:left="126"/>
              <w:rPr>
                <w:rFonts w:ascii="Arial" w:hAnsi="Arial"/>
                <w:b/>
                <w:bCs/>
                <w:color w:val="7030A0"/>
              </w:rPr>
            </w:pPr>
            <w:r w:rsidRPr="006F25EE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552 595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535 861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508 124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183 853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178 309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168 190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4 923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4 242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4 083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  <w:lang w:bidi="ar-MA"/>
              </w:rPr>
            </w:pPr>
            <w:r w:rsidRPr="00E8533F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272 094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273 392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276 390</w:t>
            </w:r>
          </w:p>
        </w:tc>
        <w:tc>
          <w:tcPr>
            <w:tcW w:w="6045" w:type="dxa"/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431 136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424 205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425 597</w:t>
            </w:r>
          </w:p>
        </w:tc>
        <w:tc>
          <w:tcPr>
            <w:tcW w:w="6045" w:type="dxa"/>
            <w:tcBorders>
              <w:bottom w:val="nil"/>
            </w:tcBorders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tcBorders>
              <w:top w:val="nil"/>
              <w:bottom w:val="single" w:sz="6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316 855</w:t>
            </w:r>
          </w:p>
        </w:tc>
        <w:tc>
          <w:tcPr>
            <w:tcW w:w="1026" w:type="dxa"/>
            <w:tcBorders>
              <w:top w:val="nil"/>
              <w:bottom w:val="single" w:sz="6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294 318</w:t>
            </w:r>
          </w:p>
        </w:tc>
        <w:tc>
          <w:tcPr>
            <w:tcW w:w="1046" w:type="dxa"/>
            <w:tcBorders>
              <w:top w:val="nil"/>
              <w:bottom w:val="single" w:sz="6" w:space="0" w:color="4F6228"/>
            </w:tcBorders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296 161</w:t>
            </w:r>
          </w:p>
        </w:tc>
        <w:tc>
          <w:tcPr>
            <w:tcW w:w="6045" w:type="dxa"/>
            <w:tcBorders>
              <w:top w:val="nil"/>
              <w:bottom w:val="single" w:sz="6" w:space="0" w:color="4F6228"/>
            </w:tcBorders>
          </w:tcPr>
          <w:p w:rsidR="00621354" w:rsidRPr="00E8533F" w:rsidRDefault="00621354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tcBorders>
              <w:top w:val="single" w:sz="6" w:space="0" w:color="4F6228"/>
            </w:tcBorders>
            <w:vAlign w:val="center"/>
          </w:tcPr>
          <w:p w:rsidR="00621354" w:rsidRDefault="00621354" w:rsidP="00360ED9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985 174</w:t>
            </w:r>
          </w:p>
        </w:tc>
        <w:tc>
          <w:tcPr>
            <w:tcW w:w="1026" w:type="dxa"/>
            <w:tcBorders>
              <w:top w:val="single" w:sz="6" w:space="0" w:color="4F6228"/>
            </w:tcBorders>
            <w:vAlign w:val="center"/>
          </w:tcPr>
          <w:p w:rsidR="00621354" w:rsidRDefault="00621354" w:rsidP="00360ED9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962 071</w:t>
            </w:r>
          </w:p>
        </w:tc>
        <w:tc>
          <w:tcPr>
            <w:tcW w:w="1046" w:type="dxa"/>
            <w:tcBorders>
              <w:top w:val="single" w:sz="6" w:space="0" w:color="4F6228"/>
            </w:tcBorders>
            <w:vAlign w:val="center"/>
          </w:tcPr>
          <w:p w:rsidR="00621354" w:rsidRDefault="00621354" w:rsidP="00360ED9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896 669</w:t>
            </w:r>
          </w:p>
        </w:tc>
        <w:tc>
          <w:tcPr>
            <w:tcW w:w="6045" w:type="dxa"/>
            <w:tcBorders>
              <w:top w:val="single" w:sz="6" w:space="0" w:color="4F6228"/>
            </w:tcBorders>
          </w:tcPr>
          <w:p w:rsidR="00621354" w:rsidRPr="000F254E" w:rsidRDefault="00621354" w:rsidP="00967225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الدخل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الوطني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المتاح</w:t>
            </w:r>
          </w:p>
        </w:tc>
      </w:tr>
      <w:tr w:rsidR="00621354" w:rsidRPr="000F254E" w:rsidTr="00360ED9">
        <w:trPr>
          <w:trHeight w:val="283"/>
          <w:jc w:val="center"/>
        </w:trPr>
        <w:tc>
          <w:tcPr>
            <w:tcW w:w="1090" w:type="dxa"/>
            <w:tcBorders>
              <w:bottom w:val="nil"/>
            </w:tcBorders>
            <w:vAlign w:val="center"/>
          </w:tcPr>
          <w:p w:rsidR="00621354" w:rsidRDefault="00621354" w:rsidP="00360ED9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243 803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621354" w:rsidRDefault="00621354" w:rsidP="00360ED9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243 659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621354" w:rsidRDefault="00621354" w:rsidP="00360ED9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216 272</w:t>
            </w:r>
          </w:p>
        </w:tc>
        <w:tc>
          <w:tcPr>
            <w:tcW w:w="6045" w:type="dxa"/>
            <w:tcBorders>
              <w:bottom w:val="nil"/>
            </w:tcBorders>
          </w:tcPr>
          <w:p w:rsidR="00621354" w:rsidRPr="000F254E" w:rsidRDefault="00621354" w:rsidP="00967225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الادخار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الوطني</w:t>
            </w:r>
          </w:p>
        </w:tc>
      </w:tr>
      <w:tr w:rsidR="00621354" w:rsidRPr="000F254E" w:rsidTr="00360ED9">
        <w:trPr>
          <w:trHeight w:val="283"/>
          <w:jc w:val="center"/>
        </w:trPr>
        <w:tc>
          <w:tcPr>
            <w:tcW w:w="1090" w:type="dxa"/>
            <w:tcBorders>
              <w:top w:val="nil"/>
              <w:bottom w:val="single" w:sz="12" w:space="0" w:color="4F6228"/>
            </w:tcBorders>
            <w:vAlign w:val="center"/>
          </w:tcPr>
          <w:p w:rsidR="00621354" w:rsidRDefault="00621354" w:rsidP="00360ED9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53 857</w:t>
            </w:r>
          </w:p>
        </w:tc>
        <w:tc>
          <w:tcPr>
            <w:tcW w:w="1026" w:type="dxa"/>
            <w:tcBorders>
              <w:top w:val="nil"/>
              <w:bottom w:val="single" w:sz="12" w:space="0" w:color="4F6228"/>
            </w:tcBorders>
            <w:vAlign w:val="center"/>
          </w:tcPr>
          <w:p w:rsidR="00621354" w:rsidRDefault="00621354" w:rsidP="00360ED9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69 183</w:t>
            </w:r>
          </w:p>
        </w:tc>
        <w:tc>
          <w:tcPr>
            <w:tcW w:w="1046" w:type="dxa"/>
            <w:tcBorders>
              <w:top w:val="nil"/>
              <w:bottom w:val="single" w:sz="12" w:space="0" w:color="4F6228"/>
            </w:tcBorders>
            <w:vAlign w:val="center"/>
          </w:tcPr>
          <w:p w:rsidR="00621354" w:rsidRDefault="00621354" w:rsidP="00360ED9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80 647</w:t>
            </w:r>
          </w:p>
        </w:tc>
        <w:tc>
          <w:tcPr>
            <w:tcW w:w="6045" w:type="dxa"/>
            <w:tcBorders>
              <w:top w:val="nil"/>
              <w:bottom w:val="single" w:sz="12" w:space="0" w:color="4F6228"/>
            </w:tcBorders>
          </w:tcPr>
          <w:p w:rsidR="00621354" w:rsidRPr="000F254E" w:rsidRDefault="00621354" w:rsidP="00967225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الحاجة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التمويلية</w:t>
            </w:r>
          </w:p>
        </w:tc>
      </w:tr>
      <w:tr w:rsidR="00621354" w:rsidRPr="000F254E" w:rsidTr="00360ED9">
        <w:trPr>
          <w:trHeight w:val="397"/>
          <w:jc w:val="center"/>
        </w:trPr>
        <w:tc>
          <w:tcPr>
            <w:tcW w:w="3162" w:type="dxa"/>
            <w:gridSpan w:val="3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b/>
                <w:bCs/>
                <w:color w:val="993300"/>
                <w:sz w:val="22"/>
                <w:szCs w:val="22"/>
              </w:rPr>
              <w:t xml:space="preserve"> %</w:t>
            </w:r>
          </w:p>
        </w:tc>
        <w:tc>
          <w:tcPr>
            <w:tcW w:w="6045" w:type="dxa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بعض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النسب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الاقتصادية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27 768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27 356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26 011</w:t>
            </w:r>
          </w:p>
        </w:tc>
        <w:tc>
          <w:tcPr>
            <w:tcW w:w="6045" w:type="dxa"/>
          </w:tcPr>
          <w:p w:rsidR="00621354" w:rsidRPr="00E8533F" w:rsidRDefault="00621354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الناتج الداخلي الاجمالي حسب الفرد (بالدرهم)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29 581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29 198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27 508</w:t>
            </w:r>
          </w:p>
        </w:tc>
        <w:tc>
          <w:tcPr>
            <w:tcW w:w="6045" w:type="dxa"/>
          </w:tcPr>
          <w:p w:rsidR="00621354" w:rsidRPr="00E8533F" w:rsidRDefault="00621354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إجمالي الدخل الوطني المتاح حسب الفرد (بالدرهم)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59,8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59,4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59,9</w:t>
            </w:r>
          </w:p>
        </w:tc>
        <w:tc>
          <w:tcPr>
            <w:tcW w:w="6045" w:type="dxa"/>
          </w:tcPr>
          <w:p w:rsidR="00621354" w:rsidRPr="00E8533F" w:rsidRDefault="00621354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استهلاك الأسر / الناتج الداخلي الإجمالي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19,9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19,8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19,8</w:t>
            </w:r>
          </w:p>
        </w:tc>
        <w:tc>
          <w:tcPr>
            <w:tcW w:w="6045" w:type="dxa"/>
          </w:tcPr>
          <w:p w:rsidR="00621354" w:rsidRPr="00E8533F" w:rsidRDefault="00621354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 للإدارات العمومية / الناتج الداخلي الإجمالي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0,5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0,5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0,5</w:t>
            </w:r>
          </w:p>
        </w:tc>
        <w:tc>
          <w:tcPr>
            <w:tcW w:w="6045" w:type="dxa"/>
          </w:tcPr>
          <w:p w:rsidR="00621354" w:rsidRPr="00E8533F" w:rsidRDefault="00621354" w:rsidP="00967225">
            <w:pPr>
              <w:bidi/>
              <w:ind w:left="126"/>
              <w:rPr>
                <w:rFonts w:ascii="Arial" w:hAnsi="Arial"/>
                <w:color w:val="000000"/>
                <w:rtl/>
                <w:lang w:bidi="ar-MA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</w:t>
            </w:r>
            <w:r w:rsidRPr="00E8533F">
              <w:rPr>
                <w:rFonts w:ascii="Arial" w:hAnsi="Arial" w:hint="cs"/>
                <w:color w:val="000000"/>
                <w:rtl/>
              </w:rPr>
              <w:t xml:space="preserve"> للمؤسسات الغير الهادفة للربح</w:t>
            </w:r>
            <w:r w:rsidRPr="00E8533F">
              <w:rPr>
                <w:rFonts w:ascii="Arial" w:hAnsi="Arial" w:hint="cs"/>
                <w:color w:val="000000"/>
                <w:rtl/>
                <w:lang w:bidi="ar-MA"/>
              </w:rPr>
              <w:t xml:space="preserve"> / </w:t>
            </w:r>
            <w:r w:rsidRPr="00E8533F">
              <w:rPr>
                <w:rFonts w:ascii="Arial" w:hAnsi="Arial"/>
                <w:color w:val="000000"/>
                <w:rtl/>
              </w:rPr>
              <w:t>الناتج الداخلي الإجمالي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34,3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32,7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34,9</w:t>
            </w:r>
          </w:p>
        </w:tc>
        <w:tc>
          <w:tcPr>
            <w:tcW w:w="6045" w:type="dxa"/>
          </w:tcPr>
          <w:p w:rsidR="00621354" w:rsidRPr="00E8533F" w:rsidRDefault="00621354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الصادرات من السلع والخدمات / الناتج الداخلي الإجمالي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46,6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47,1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50,2</w:t>
            </w:r>
          </w:p>
        </w:tc>
        <w:tc>
          <w:tcPr>
            <w:tcW w:w="6045" w:type="dxa"/>
          </w:tcPr>
          <w:p w:rsidR="00621354" w:rsidRPr="00E8533F" w:rsidRDefault="00621354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الواردات من السلع والخدمات / الناتج الداخلي الإجمالي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>
              <w:rPr>
                <w:bCs/>
              </w:rPr>
              <w:t>32,2</w:t>
            </w:r>
          </w:p>
        </w:tc>
        <w:tc>
          <w:tcPr>
            <w:tcW w:w="1026" w:type="dxa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</w:t>
            </w:r>
            <w:r>
              <w:rPr>
                <w:bCs/>
              </w:rPr>
              <w:t>4,7</w:t>
            </w:r>
          </w:p>
        </w:tc>
        <w:tc>
          <w:tcPr>
            <w:tcW w:w="1046" w:type="dxa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</w:t>
            </w:r>
            <w:r>
              <w:rPr>
                <w:bCs/>
              </w:rPr>
              <w:t>5,0</w:t>
            </w:r>
          </w:p>
        </w:tc>
        <w:tc>
          <w:tcPr>
            <w:tcW w:w="6045" w:type="dxa"/>
          </w:tcPr>
          <w:p w:rsidR="00621354" w:rsidRPr="00E8533F" w:rsidRDefault="00621354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معدل الاستثمار (إجمالي تكوين رأس المال الثابت</w:t>
            </w:r>
            <w:r w:rsidRPr="00E8533F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E8533F">
              <w:rPr>
                <w:rFonts w:ascii="Arial" w:hAnsi="Arial" w:hint="cs"/>
                <w:color w:val="000000"/>
                <w:rtl/>
                <w:lang w:bidi="ar-MA"/>
              </w:rPr>
              <w:t xml:space="preserve">+ التغير في المخزون / </w:t>
            </w:r>
            <w:r w:rsidRPr="00E8533F">
              <w:rPr>
                <w:rFonts w:ascii="Arial" w:hAnsi="Arial"/>
                <w:color w:val="000000"/>
                <w:rtl/>
              </w:rPr>
              <w:t xml:space="preserve">الناتج الداخلي </w:t>
            </w:r>
            <w:r w:rsidRPr="00E8533F">
              <w:rPr>
                <w:rFonts w:ascii="Arial" w:hAnsi="Arial" w:hint="cs"/>
                <w:color w:val="000000"/>
                <w:rtl/>
              </w:rPr>
              <w:t>الإجمالي</w:t>
            </w:r>
            <w:r w:rsidRPr="00E8533F">
              <w:rPr>
                <w:rFonts w:ascii="Arial" w:hAnsi="Arial"/>
                <w:color w:val="000000"/>
                <w:rtl/>
              </w:rPr>
              <w:t>)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102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1046" w:type="dxa"/>
            <w:vAlign w:val="center"/>
          </w:tcPr>
          <w:p w:rsidR="00621354" w:rsidRPr="003C770D" w:rsidRDefault="00621354" w:rsidP="00360ED9">
            <w:pPr>
              <w:jc w:val="right"/>
              <w:rPr>
                <w:bCs/>
              </w:rPr>
            </w:pPr>
            <w:r>
              <w:rPr>
                <w:bCs/>
              </w:rPr>
              <w:t>25,5</w:t>
            </w:r>
          </w:p>
        </w:tc>
        <w:tc>
          <w:tcPr>
            <w:tcW w:w="6045" w:type="dxa"/>
          </w:tcPr>
          <w:p w:rsidR="00621354" w:rsidRPr="00E8533F" w:rsidRDefault="00621354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معدل الادخار الوطني (إجمالي الادخار الوطني</w:t>
            </w:r>
            <w:r w:rsidRPr="00E8533F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E8533F">
              <w:rPr>
                <w:rFonts w:ascii="Arial" w:hAnsi="Arial"/>
                <w:color w:val="000000"/>
                <w:rtl/>
              </w:rPr>
              <w:t xml:space="preserve">/ </w:t>
            </w:r>
            <w:r w:rsidR="00E8533F" w:rsidRPr="00E8533F">
              <w:rPr>
                <w:rFonts w:ascii="Arial" w:hAnsi="Arial"/>
                <w:color w:val="000000"/>
                <w:rtl/>
              </w:rPr>
              <w:t>الناتج الداخلي الإجمالي</w:t>
            </w:r>
            <w:r w:rsidRPr="00E8533F">
              <w:rPr>
                <w:rFonts w:ascii="Arial" w:hAnsi="Arial"/>
                <w:color w:val="000000"/>
                <w:rtl/>
              </w:rPr>
              <w:t>)</w:t>
            </w:r>
          </w:p>
        </w:tc>
      </w:tr>
      <w:tr w:rsidR="00621354" w:rsidRPr="000F254E" w:rsidTr="00064672">
        <w:trPr>
          <w:trHeight w:val="283"/>
          <w:jc w:val="center"/>
        </w:trPr>
        <w:tc>
          <w:tcPr>
            <w:tcW w:w="1090" w:type="dxa"/>
            <w:tcBorders>
              <w:bottom w:val="single" w:sz="12" w:space="0" w:color="4F6228"/>
            </w:tcBorders>
            <w:vAlign w:val="bottom"/>
          </w:tcPr>
          <w:p w:rsidR="00621354" w:rsidRDefault="00621354" w:rsidP="00360ED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-5,5</w:t>
            </w:r>
          </w:p>
        </w:tc>
        <w:tc>
          <w:tcPr>
            <w:tcW w:w="1026" w:type="dxa"/>
            <w:tcBorders>
              <w:bottom w:val="single" w:sz="12" w:space="0" w:color="4F6228"/>
            </w:tcBorders>
            <w:vAlign w:val="bottom"/>
          </w:tcPr>
          <w:p w:rsidR="00621354" w:rsidRDefault="00621354" w:rsidP="00360ED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-7,7</w:t>
            </w:r>
          </w:p>
        </w:tc>
        <w:tc>
          <w:tcPr>
            <w:tcW w:w="1046" w:type="dxa"/>
            <w:tcBorders>
              <w:bottom w:val="single" w:sz="12" w:space="0" w:color="4F6228"/>
            </w:tcBorders>
            <w:vAlign w:val="bottom"/>
          </w:tcPr>
          <w:p w:rsidR="00621354" w:rsidRDefault="00621354" w:rsidP="00360ED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-9,5</w:t>
            </w:r>
          </w:p>
        </w:tc>
        <w:tc>
          <w:tcPr>
            <w:tcW w:w="6045" w:type="dxa"/>
            <w:tcBorders>
              <w:bottom w:val="single" w:sz="12" w:space="0" w:color="4F6228"/>
            </w:tcBorders>
          </w:tcPr>
          <w:p w:rsidR="00621354" w:rsidRPr="00E8533F" w:rsidRDefault="00621354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الحاجة التمويلية/الناتج الداخلي الإجمالي</w:t>
            </w:r>
          </w:p>
        </w:tc>
      </w:tr>
    </w:tbl>
    <w:p w:rsidR="00B8760C" w:rsidRPr="00621354" w:rsidRDefault="00621354" w:rsidP="00621354">
      <w:pPr>
        <w:bidi/>
        <w:spacing w:before="120"/>
        <w:rPr>
          <w:rFonts w:cs="Simplified Arabic"/>
          <w:sz w:val="28"/>
          <w:szCs w:val="28"/>
          <w:rtl/>
          <w:lang w:bidi="ar-MA"/>
        </w:rPr>
      </w:pPr>
      <w:r w:rsidRPr="008D2E6B">
        <w:rPr>
          <w:rFonts w:ascii="Arial" w:hAnsi="Arial"/>
          <w:b/>
          <w:bCs/>
          <w:sz w:val="24"/>
          <w:szCs w:val="24"/>
          <w:rtl/>
        </w:rPr>
        <w:t>(*) القيمة المضافة غير الفلاحية مضاف إليها صافي الضرائب من الإعانات على المنتجات</w:t>
      </w:r>
    </w:p>
    <w:sectPr w:rsidR="00B8760C" w:rsidRPr="00621354" w:rsidSect="00064672">
      <w:footerReference w:type="default" r:id="rId9"/>
      <w:pgSz w:w="12240" w:h="15840"/>
      <w:pgMar w:top="709" w:right="1417" w:bottom="709" w:left="1134" w:header="720" w:footer="2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41" w:rsidRDefault="00A25241" w:rsidP="00064672">
      <w:r>
        <w:separator/>
      </w:r>
    </w:p>
  </w:endnote>
  <w:endnote w:type="continuationSeparator" w:id="0">
    <w:p w:rsidR="00A25241" w:rsidRDefault="00A25241" w:rsidP="0006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72" w:rsidRDefault="0017183F" w:rsidP="00254B4D">
    <w:pPr>
      <w:pStyle w:val="Pieddepage"/>
      <w:jc w:val="center"/>
    </w:pPr>
    <w:fldSimple w:instr=" PAGE   \* MERGEFORMAT ">
      <w:r w:rsidR="00A25241">
        <w:rPr>
          <w:noProof/>
        </w:rPr>
        <w:t>1</w:t>
      </w:r>
    </w:fldSimple>
  </w:p>
  <w:p w:rsidR="00064672" w:rsidRDefault="000646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41" w:rsidRDefault="00A25241" w:rsidP="00064672">
      <w:r>
        <w:separator/>
      </w:r>
    </w:p>
  </w:footnote>
  <w:footnote w:type="continuationSeparator" w:id="0">
    <w:p w:rsidR="00A25241" w:rsidRDefault="00A25241" w:rsidP="00064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11B"/>
    <w:multiLevelType w:val="hybridMultilevel"/>
    <w:tmpl w:val="6FA2FCC2"/>
    <w:lvl w:ilvl="0" w:tplc="0342603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1705D2"/>
    <w:multiLevelType w:val="hybridMultilevel"/>
    <w:tmpl w:val="EBBC4554"/>
    <w:lvl w:ilvl="0" w:tplc="7000391C"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b w:val="0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16B4F"/>
    <w:multiLevelType w:val="hybridMultilevel"/>
    <w:tmpl w:val="61F46332"/>
    <w:lvl w:ilvl="0" w:tplc="0068F4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06C0"/>
    <w:rsid w:val="00007D44"/>
    <w:rsid w:val="00014F3A"/>
    <w:rsid w:val="0002681C"/>
    <w:rsid w:val="00056C78"/>
    <w:rsid w:val="00064672"/>
    <w:rsid w:val="000720A3"/>
    <w:rsid w:val="00080039"/>
    <w:rsid w:val="00083662"/>
    <w:rsid w:val="0009278D"/>
    <w:rsid w:val="00092C80"/>
    <w:rsid w:val="000A1308"/>
    <w:rsid w:val="000A5CB4"/>
    <w:rsid w:val="000B75CA"/>
    <w:rsid w:val="000C12D8"/>
    <w:rsid w:val="000C40D2"/>
    <w:rsid w:val="000D4269"/>
    <w:rsid w:val="000E2DF1"/>
    <w:rsid w:val="001020CF"/>
    <w:rsid w:val="00105ACC"/>
    <w:rsid w:val="00111ED3"/>
    <w:rsid w:val="0011562F"/>
    <w:rsid w:val="0011686D"/>
    <w:rsid w:val="00120826"/>
    <w:rsid w:val="00121025"/>
    <w:rsid w:val="001306C0"/>
    <w:rsid w:val="00131926"/>
    <w:rsid w:val="00133029"/>
    <w:rsid w:val="00136DA2"/>
    <w:rsid w:val="00146BED"/>
    <w:rsid w:val="001535E3"/>
    <w:rsid w:val="00153808"/>
    <w:rsid w:val="0015444A"/>
    <w:rsid w:val="0015643B"/>
    <w:rsid w:val="00157EC2"/>
    <w:rsid w:val="001633D6"/>
    <w:rsid w:val="00165099"/>
    <w:rsid w:val="0017183F"/>
    <w:rsid w:val="00173D46"/>
    <w:rsid w:val="00174245"/>
    <w:rsid w:val="001747BF"/>
    <w:rsid w:val="0018062B"/>
    <w:rsid w:val="001811F0"/>
    <w:rsid w:val="00196DD3"/>
    <w:rsid w:val="001A7951"/>
    <w:rsid w:val="001A7E45"/>
    <w:rsid w:val="001D35CA"/>
    <w:rsid w:val="001E4B42"/>
    <w:rsid w:val="001F6DC2"/>
    <w:rsid w:val="00201934"/>
    <w:rsid w:val="002023D3"/>
    <w:rsid w:val="00204D7C"/>
    <w:rsid w:val="00221C96"/>
    <w:rsid w:val="00222D0A"/>
    <w:rsid w:val="00227176"/>
    <w:rsid w:val="002329A4"/>
    <w:rsid w:val="00243076"/>
    <w:rsid w:val="00244C85"/>
    <w:rsid w:val="0024515C"/>
    <w:rsid w:val="00246125"/>
    <w:rsid w:val="00254B4D"/>
    <w:rsid w:val="002630F1"/>
    <w:rsid w:val="00266C01"/>
    <w:rsid w:val="002714D1"/>
    <w:rsid w:val="00276A6F"/>
    <w:rsid w:val="00285AD6"/>
    <w:rsid w:val="002862AF"/>
    <w:rsid w:val="002B0CE7"/>
    <w:rsid w:val="002B3AB3"/>
    <w:rsid w:val="002B4770"/>
    <w:rsid w:val="002B6732"/>
    <w:rsid w:val="002C2E42"/>
    <w:rsid w:val="002C53CB"/>
    <w:rsid w:val="002C663B"/>
    <w:rsid w:val="00302C22"/>
    <w:rsid w:val="00314B1A"/>
    <w:rsid w:val="00317FB5"/>
    <w:rsid w:val="00327E5C"/>
    <w:rsid w:val="003416D9"/>
    <w:rsid w:val="0034298A"/>
    <w:rsid w:val="00342C1A"/>
    <w:rsid w:val="003441E8"/>
    <w:rsid w:val="003503A5"/>
    <w:rsid w:val="003504A0"/>
    <w:rsid w:val="00350C69"/>
    <w:rsid w:val="00360ED9"/>
    <w:rsid w:val="0036541F"/>
    <w:rsid w:val="003770AC"/>
    <w:rsid w:val="00382CDA"/>
    <w:rsid w:val="00386AAA"/>
    <w:rsid w:val="00392DD3"/>
    <w:rsid w:val="003937FD"/>
    <w:rsid w:val="00396539"/>
    <w:rsid w:val="003A1AAA"/>
    <w:rsid w:val="003A1AF0"/>
    <w:rsid w:val="003A3A23"/>
    <w:rsid w:val="003A55BD"/>
    <w:rsid w:val="003B372D"/>
    <w:rsid w:val="003B5E87"/>
    <w:rsid w:val="003C32C8"/>
    <w:rsid w:val="003C3626"/>
    <w:rsid w:val="003C43D7"/>
    <w:rsid w:val="003D5F38"/>
    <w:rsid w:val="003D72BC"/>
    <w:rsid w:val="003E11F8"/>
    <w:rsid w:val="003E1688"/>
    <w:rsid w:val="003E1706"/>
    <w:rsid w:val="003E3E6A"/>
    <w:rsid w:val="003E6943"/>
    <w:rsid w:val="003F0796"/>
    <w:rsid w:val="003F4B8C"/>
    <w:rsid w:val="0040531B"/>
    <w:rsid w:val="00406304"/>
    <w:rsid w:val="00411FC3"/>
    <w:rsid w:val="00423563"/>
    <w:rsid w:val="00431500"/>
    <w:rsid w:val="00432DBC"/>
    <w:rsid w:val="00433E0C"/>
    <w:rsid w:val="00434513"/>
    <w:rsid w:val="00444CB3"/>
    <w:rsid w:val="00451DBD"/>
    <w:rsid w:val="004522EC"/>
    <w:rsid w:val="0045348D"/>
    <w:rsid w:val="0045360F"/>
    <w:rsid w:val="0045625D"/>
    <w:rsid w:val="00457C95"/>
    <w:rsid w:val="00465DDC"/>
    <w:rsid w:val="00471DFC"/>
    <w:rsid w:val="00476694"/>
    <w:rsid w:val="004951FA"/>
    <w:rsid w:val="004A1731"/>
    <w:rsid w:val="004A30EF"/>
    <w:rsid w:val="004A3426"/>
    <w:rsid w:val="004A7092"/>
    <w:rsid w:val="004A7B48"/>
    <w:rsid w:val="004B2645"/>
    <w:rsid w:val="004B652C"/>
    <w:rsid w:val="004B7C55"/>
    <w:rsid w:val="004C30F9"/>
    <w:rsid w:val="004C5CE4"/>
    <w:rsid w:val="004D02FB"/>
    <w:rsid w:val="004D5C78"/>
    <w:rsid w:val="004E3B33"/>
    <w:rsid w:val="004E3E91"/>
    <w:rsid w:val="004E4ED2"/>
    <w:rsid w:val="004E5167"/>
    <w:rsid w:val="004E61E8"/>
    <w:rsid w:val="004F7B80"/>
    <w:rsid w:val="004F7BC7"/>
    <w:rsid w:val="00503BCB"/>
    <w:rsid w:val="0051309A"/>
    <w:rsid w:val="0051548F"/>
    <w:rsid w:val="005169D5"/>
    <w:rsid w:val="00522EC6"/>
    <w:rsid w:val="00526526"/>
    <w:rsid w:val="00530CBC"/>
    <w:rsid w:val="00534193"/>
    <w:rsid w:val="00535D5E"/>
    <w:rsid w:val="005371D4"/>
    <w:rsid w:val="00537EE6"/>
    <w:rsid w:val="0054132A"/>
    <w:rsid w:val="00545BD7"/>
    <w:rsid w:val="005471BB"/>
    <w:rsid w:val="00560FE0"/>
    <w:rsid w:val="00591AAE"/>
    <w:rsid w:val="00597DFF"/>
    <w:rsid w:val="005A2AEF"/>
    <w:rsid w:val="005A3F6A"/>
    <w:rsid w:val="005B3AD6"/>
    <w:rsid w:val="005B7670"/>
    <w:rsid w:val="005C024E"/>
    <w:rsid w:val="005C29EC"/>
    <w:rsid w:val="005D7582"/>
    <w:rsid w:val="005E19AA"/>
    <w:rsid w:val="005E452F"/>
    <w:rsid w:val="005E4F96"/>
    <w:rsid w:val="005F7AEF"/>
    <w:rsid w:val="00606B55"/>
    <w:rsid w:val="00611D67"/>
    <w:rsid w:val="00621354"/>
    <w:rsid w:val="00625415"/>
    <w:rsid w:val="00630177"/>
    <w:rsid w:val="0063038D"/>
    <w:rsid w:val="00636C2F"/>
    <w:rsid w:val="00636FBD"/>
    <w:rsid w:val="0064202B"/>
    <w:rsid w:val="00646A9E"/>
    <w:rsid w:val="00664D29"/>
    <w:rsid w:val="00665DEF"/>
    <w:rsid w:val="00667438"/>
    <w:rsid w:val="006A2D9B"/>
    <w:rsid w:val="006A2E2A"/>
    <w:rsid w:val="006B4E3E"/>
    <w:rsid w:val="006B4FCF"/>
    <w:rsid w:val="006B6F1D"/>
    <w:rsid w:val="006C17FC"/>
    <w:rsid w:val="006C6866"/>
    <w:rsid w:val="006E014E"/>
    <w:rsid w:val="006F0F12"/>
    <w:rsid w:val="006F4897"/>
    <w:rsid w:val="00710DC2"/>
    <w:rsid w:val="007133DA"/>
    <w:rsid w:val="007142E8"/>
    <w:rsid w:val="00717842"/>
    <w:rsid w:val="00722123"/>
    <w:rsid w:val="007274FE"/>
    <w:rsid w:val="0074109A"/>
    <w:rsid w:val="007416A3"/>
    <w:rsid w:val="007466E0"/>
    <w:rsid w:val="007543E8"/>
    <w:rsid w:val="00755999"/>
    <w:rsid w:val="00766F6F"/>
    <w:rsid w:val="00767607"/>
    <w:rsid w:val="00777AEE"/>
    <w:rsid w:val="007921F7"/>
    <w:rsid w:val="007936D1"/>
    <w:rsid w:val="0079390C"/>
    <w:rsid w:val="007A22A8"/>
    <w:rsid w:val="007C08BD"/>
    <w:rsid w:val="007C6337"/>
    <w:rsid w:val="007D497E"/>
    <w:rsid w:val="007E08E0"/>
    <w:rsid w:val="007F4397"/>
    <w:rsid w:val="00802306"/>
    <w:rsid w:val="00806609"/>
    <w:rsid w:val="00816F7A"/>
    <w:rsid w:val="00833AF6"/>
    <w:rsid w:val="00835D02"/>
    <w:rsid w:val="00840264"/>
    <w:rsid w:val="0084171E"/>
    <w:rsid w:val="00841C0F"/>
    <w:rsid w:val="00851C28"/>
    <w:rsid w:val="00856C4A"/>
    <w:rsid w:val="00862523"/>
    <w:rsid w:val="00865C76"/>
    <w:rsid w:val="008725F6"/>
    <w:rsid w:val="00882F7E"/>
    <w:rsid w:val="0089734D"/>
    <w:rsid w:val="008C013A"/>
    <w:rsid w:val="008C28CF"/>
    <w:rsid w:val="008D45DA"/>
    <w:rsid w:val="008E23EF"/>
    <w:rsid w:val="008E3A9A"/>
    <w:rsid w:val="008E48E6"/>
    <w:rsid w:val="008E57D2"/>
    <w:rsid w:val="008F712A"/>
    <w:rsid w:val="009012D4"/>
    <w:rsid w:val="00915A0E"/>
    <w:rsid w:val="00917C47"/>
    <w:rsid w:val="00922DB8"/>
    <w:rsid w:val="00924854"/>
    <w:rsid w:val="00940861"/>
    <w:rsid w:val="00944A3E"/>
    <w:rsid w:val="009453B1"/>
    <w:rsid w:val="00954B41"/>
    <w:rsid w:val="00967225"/>
    <w:rsid w:val="00970B7A"/>
    <w:rsid w:val="00977448"/>
    <w:rsid w:val="009824C8"/>
    <w:rsid w:val="00985DE4"/>
    <w:rsid w:val="009913D7"/>
    <w:rsid w:val="009A40DB"/>
    <w:rsid w:val="009A7266"/>
    <w:rsid w:val="009A7DC2"/>
    <w:rsid w:val="009B0996"/>
    <w:rsid w:val="009B3976"/>
    <w:rsid w:val="009C1871"/>
    <w:rsid w:val="009C22DC"/>
    <w:rsid w:val="009C6C69"/>
    <w:rsid w:val="009C7D4D"/>
    <w:rsid w:val="009D02A3"/>
    <w:rsid w:val="009E1582"/>
    <w:rsid w:val="009E4B2B"/>
    <w:rsid w:val="009F109B"/>
    <w:rsid w:val="00A028AE"/>
    <w:rsid w:val="00A17210"/>
    <w:rsid w:val="00A25241"/>
    <w:rsid w:val="00A32B53"/>
    <w:rsid w:val="00A33FAF"/>
    <w:rsid w:val="00A36F31"/>
    <w:rsid w:val="00A40C43"/>
    <w:rsid w:val="00A54905"/>
    <w:rsid w:val="00A63355"/>
    <w:rsid w:val="00A64AC8"/>
    <w:rsid w:val="00A725FF"/>
    <w:rsid w:val="00A87930"/>
    <w:rsid w:val="00A9107F"/>
    <w:rsid w:val="00A9548C"/>
    <w:rsid w:val="00AB79C7"/>
    <w:rsid w:val="00AB7A95"/>
    <w:rsid w:val="00AC106C"/>
    <w:rsid w:val="00AC1463"/>
    <w:rsid w:val="00AC5294"/>
    <w:rsid w:val="00AD46FD"/>
    <w:rsid w:val="00AD51F1"/>
    <w:rsid w:val="00AD5517"/>
    <w:rsid w:val="00AD6643"/>
    <w:rsid w:val="00AD6AF2"/>
    <w:rsid w:val="00AD789E"/>
    <w:rsid w:val="00AE0F46"/>
    <w:rsid w:val="00AE235A"/>
    <w:rsid w:val="00AF28EA"/>
    <w:rsid w:val="00B01046"/>
    <w:rsid w:val="00B02624"/>
    <w:rsid w:val="00B07924"/>
    <w:rsid w:val="00B114B4"/>
    <w:rsid w:val="00B12D5F"/>
    <w:rsid w:val="00B22997"/>
    <w:rsid w:val="00B23F1D"/>
    <w:rsid w:val="00B2596F"/>
    <w:rsid w:val="00B259CF"/>
    <w:rsid w:val="00B3234F"/>
    <w:rsid w:val="00B44A67"/>
    <w:rsid w:val="00B50820"/>
    <w:rsid w:val="00B517E6"/>
    <w:rsid w:val="00B52446"/>
    <w:rsid w:val="00B54E44"/>
    <w:rsid w:val="00B70CF8"/>
    <w:rsid w:val="00B714C3"/>
    <w:rsid w:val="00B73DFA"/>
    <w:rsid w:val="00B763A7"/>
    <w:rsid w:val="00B835A8"/>
    <w:rsid w:val="00B84324"/>
    <w:rsid w:val="00B84849"/>
    <w:rsid w:val="00B85109"/>
    <w:rsid w:val="00B8760C"/>
    <w:rsid w:val="00BB2304"/>
    <w:rsid w:val="00BB64E6"/>
    <w:rsid w:val="00BC6B2D"/>
    <w:rsid w:val="00BD0473"/>
    <w:rsid w:val="00BE4F03"/>
    <w:rsid w:val="00BE5F29"/>
    <w:rsid w:val="00BF4B6F"/>
    <w:rsid w:val="00BF7529"/>
    <w:rsid w:val="00C04A1B"/>
    <w:rsid w:val="00C1211F"/>
    <w:rsid w:val="00C17FAC"/>
    <w:rsid w:val="00C21AEB"/>
    <w:rsid w:val="00C23184"/>
    <w:rsid w:val="00C25204"/>
    <w:rsid w:val="00C25CFB"/>
    <w:rsid w:val="00C25ED6"/>
    <w:rsid w:val="00C30136"/>
    <w:rsid w:val="00C35EAA"/>
    <w:rsid w:val="00C4516E"/>
    <w:rsid w:val="00C5083A"/>
    <w:rsid w:val="00C50F66"/>
    <w:rsid w:val="00C55777"/>
    <w:rsid w:val="00C60146"/>
    <w:rsid w:val="00C63E5F"/>
    <w:rsid w:val="00C6782D"/>
    <w:rsid w:val="00C70C06"/>
    <w:rsid w:val="00C85221"/>
    <w:rsid w:val="00C85E66"/>
    <w:rsid w:val="00C865CA"/>
    <w:rsid w:val="00C86D07"/>
    <w:rsid w:val="00C91327"/>
    <w:rsid w:val="00C92B40"/>
    <w:rsid w:val="00CA57FB"/>
    <w:rsid w:val="00CB05F1"/>
    <w:rsid w:val="00CB2476"/>
    <w:rsid w:val="00CC22B1"/>
    <w:rsid w:val="00CC37F9"/>
    <w:rsid w:val="00CF12AF"/>
    <w:rsid w:val="00CF311C"/>
    <w:rsid w:val="00CF4EAD"/>
    <w:rsid w:val="00CF7FBA"/>
    <w:rsid w:val="00D11A76"/>
    <w:rsid w:val="00D12479"/>
    <w:rsid w:val="00D1531F"/>
    <w:rsid w:val="00D309C6"/>
    <w:rsid w:val="00D339B6"/>
    <w:rsid w:val="00D33CA1"/>
    <w:rsid w:val="00D35D0D"/>
    <w:rsid w:val="00D3747F"/>
    <w:rsid w:val="00D51D0B"/>
    <w:rsid w:val="00D81EC3"/>
    <w:rsid w:val="00D857A8"/>
    <w:rsid w:val="00D857BE"/>
    <w:rsid w:val="00D87562"/>
    <w:rsid w:val="00D9157B"/>
    <w:rsid w:val="00D94BF3"/>
    <w:rsid w:val="00DA228F"/>
    <w:rsid w:val="00DB2A43"/>
    <w:rsid w:val="00DB42EA"/>
    <w:rsid w:val="00DB6B17"/>
    <w:rsid w:val="00DC3391"/>
    <w:rsid w:val="00DC51F2"/>
    <w:rsid w:val="00DC6983"/>
    <w:rsid w:val="00DD001E"/>
    <w:rsid w:val="00DD0F46"/>
    <w:rsid w:val="00DE4BC2"/>
    <w:rsid w:val="00DE56D9"/>
    <w:rsid w:val="00DF2732"/>
    <w:rsid w:val="00DF2B4E"/>
    <w:rsid w:val="00DF6B0B"/>
    <w:rsid w:val="00E03EFE"/>
    <w:rsid w:val="00E154D8"/>
    <w:rsid w:val="00E15910"/>
    <w:rsid w:val="00E15AEB"/>
    <w:rsid w:val="00E27D40"/>
    <w:rsid w:val="00E358AD"/>
    <w:rsid w:val="00E467DB"/>
    <w:rsid w:val="00E475E3"/>
    <w:rsid w:val="00E70941"/>
    <w:rsid w:val="00E75A93"/>
    <w:rsid w:val="00E83FB6"/>
    <w:rsid w:val="00E8533F"/>
    <w:rsid w:val="00E939CA"/>
    <w:rsid w:val="00E940FA"/>
    <w:rsid w:val="00E96A25"/>
    <w:rsid w:val="00EB0634"/>
    <w:rsid w:val="00EB1EA6"/>
    <w:rsid w:val="00EB2842"/>
    <w:rsid w:val="00EB772D"/>
    <w:rsid w:val="00ED117F"/>
    <w:rsid w:val="00EE4B65"/>
    <w:rsid w:val="00EF1C23"/>
    <w:rsid w:val="00EF263E"/>
    <w:rsid w:val="00EF7704"/>
    <w:rsid w:val="00EF7A45"/>
    <w:rsid w:val="00F10A8F"/>
    <w:rsid w:val="00F27103"/>
    <w:rsid w:val="00F3283A"/>
    <w:rsid w:val="00F47E28"/>
    <w:rsid w:val="00F55FF3"/>
    <w:rsid w:val="00F66872"/>
    <w:rsid w:val="00F72BF6"/>
    <w:rsid w:val="00F77F18"/>
    <w:rsid w:val="00F872AB"/>
    <w:rsid w:val="00F90ED0"/>
    <w:rsid w:val="00F916C5"/>
    <w:rsid w:val="00F921F1"/>
    <w:rsid w:val="00F93246"/>
    <w:rsid w:val="00FA0C9E"/>
    <w:rsid w:val="00FA120E"/>
    <w:rsid w:val="00FA1C17"/>
    <w:rsid w:val="00FA42CF"/>
    <w:rsid w:val="00FB187C"/>
    <w:rsid w:val="00FB1EE8"/>
    <w:rsid w:val="00FB21EC"/>
    <w:rsid w:val="00FB3524"/>
    <w:rsid w:val="00FC4408"/>
    <w:rsid w:val="00FF5D63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C0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1306C0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06C0"/>
    <w:rPr>
      <w:rFonts w:ascii="Arial" w:eastAsia="Times New Roman" w:hAnsi="Arial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146BED"/>
  </w:style>
  <w:style w:type="character" w:customStyle="1" w:styleId="NotedebasdepageCar">
    <w:name w:val="Note de bas de page Car"/>
    <w:basedOn w:val="Policepardfaut"/>
    <w:link w:val="Notedebasdepage"/>
    <w:rsid w:val="00146BE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46BE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6467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467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6467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67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إخبارية حول نتائج الحساب التابع</vt:lpstr>
    </vt:vector>
  </TitlesOfParts>
  <Company>Hewlett-Packard Company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إخبارية حول نتائج الحساب التابع</dc:title>
  <dc:creator>admin</dc:creator>
  <cp:lastModifiedBy>user</cp:lastModifiedBy>
  <cp:revision>7</cp:revision>
  <cp:lastPrinted>2015-06-03T09:22:00Z</cp:lastPrinted>
  <dcterms:created xsi:type="dcterms:W3CDTF">2015-06-03T21:21:00Z</dcterms:created>
  <dcterms:modified xsi:type="dcterms:W3CDTF">2015-06-03T21:39:00Z</dcterms:modified>
</cp:coreProperties>
</file>