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C238D1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</w:t>
      </w:r>
      <w:r w:rsidR="0035750D"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F043B0" w:rsidRPr="00642C11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DU HAUT COMMISSARIAT AU PLAN </w:t>
      </w:r>
    </w:p>
    <w:p w:rsidR="009B7BDC" w:rsidRPr="00642C11" w:rsidRDefault="009B7BDC" w:rsidP="00642C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SUJET DE LA SITUATION DU MARCHE DU TRAVAIL </w:t>
      </w:r>
      <w:r w:rsidR="00642C11"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EN </w:t>
      </w:r>
      <w:r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2014</w:t>
      </w:r>
    </w:p>
    <w:p w:rsidR="009B7BDC" w:rsidRPr="00642C11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6"/>
          <w:szCs w:val="26"/>
        </w:rPr>
      </w:pPr>
    </w:p>
    <w:p w:rsidR="009B7BDC" w:rsidRPr="000C2EE5" w:rsidRDefault="009B7BDC" w:rsidP="009B7BDC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 w:rsidRPr="000C2EE5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>Principaux indicateurs</w:t>
      </w:r>
    </w:p>
    <w:p w:rsidR="000535DC" w:rsidRPr="002F73C3" w:rsidRDefault="00642C11" w:rsidP="000535DC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Entre les années 2013 et 2014</w:t>
      </w:r>
      <w:r w:rsidR="000535DC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 :</w:t>
      </w:r>
    </w:p>
    <w:p w:rsidR="00642C11" w:rsidRPr="002F73C3" w:rsidRDefault="00642C11" w:rsidP="002F73C3">
      <w:pPr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L’économie marocaine </w:t>
      </w:r>
      <w:r w:rsidR="000535DC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a créé 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21</w:t>
      </w:r>
      <w:r w:rsidR="00D2154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.000 </w:t>
      </w:r>
      <w:r w:rsidR="009F58F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postes d’</w:t>
      </w:r>
      <w:r w:rsidR="006A27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emploi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, résulta</w:t>
      </w:r>
      <w:r w:rsidR="0057235B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n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t d’une création de 27.000 </w:t>
      </w:r>
      <w:r w:rsid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postes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en milieu urbain et une perte de 6.000 en milieu rural.</w:t>
      </w:r>
    </w:p>
    <w:p w:rsidR="00303C6A" w:rsidRPr="002F73C3" w:rsidRDefault="00642C11" w:rsidP="00DB580E">
      <w:pPr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Les 21.000 nouveaux emplois </w:t>
      </w:r>
      <w:r w:rsid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constituent</w:t>
      </w:r>
      <w:r w:rsidR="00023B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le solde entre u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ne création de </w:t>
      </w:r>
      <w:r w:rsidR="00023B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58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.000 postes dans le</w:t>
      </w:r>
      <w:r w:rsidR="00023B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s 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secteur</w:t>
      </w:r>
      <w:r w:rsidR="00023B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s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des </w:t>
      </w:r>
      <w:r w:rsidR="002A786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"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services</w:t>
      </w:r>
      <w:r w:rsidR="002A786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"</w:t>
      </w:r>
      <w:r w:rsidR="00023B2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et 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de l’"agriculture, forêt et pêche" et une perte de 37.000 par celui de l’"industrie y compris l'artisanat". Le secteur des BTP</w:t>
      </w:r>
      <w:r w:rsidR="00DB580E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a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, </w:t>
      </w:r>
      <w:r w:rsid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quant à lui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, connu </w:t>
      </w:r>
      <w:r w:rsidR="00DB580E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une stagnation </w:t>
      </w: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dans son volume d’emploi</w:t>
      </w:r>
      <w:r w:rsidR="00D2154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 </w:t>
      </w:r>
    </w:p>
    <w:p w:rsidR="009F58FE" w:rsidRPr="002F73C3" w:rsidRDefault="00303C6A" w:rsidP="00327BD8">
      <w:pPr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L</w:t>
      </w:r>
      <w:r w:rsidR="00791E7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e nombre de chômeurs </w:t>
      </w:r>
      <w:r w:rsidR="0038352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s’est accru </w:t>
      </w:r>
      <w:r w:rsidR="006B076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de </w:t>
      </w:r>
      <w:r w:rsidR="00327BD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86</w:t>
      </w:r>
      <w:r w:rsidR="006B076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.000 personnes</w:t>
      </w:r>
      <w:r w:rsidR="005146C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, </w:t>
      </w:r>
      <w:r w:rsidR="00327BD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63</w:t>
      </w:r>
      <w:r w:rsidR="005146C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.000 en milieu urbain et 2</w:t>
      </w:r>
      <w:r w:rsidR="00327BD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3</w:t>
      </w:r>
      <w:r w:rsidR="005146C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.000 en milieu rural</w:t>
      </w:r>
      <w:r w:rsidR="0038352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portant le volume </w:t>
      </w:r>
      <w:r w:rsidR="00782432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global </w:t>
      </w:r>
      <w:r w:rsidR="0038352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du chômage au niveau national à </w:t>
      </w:r>
      <w:r w:rsidR="0076468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1.1</w:t>
      </w:r>
      <w:r w:rsidR="00327BD8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67</w:t>
      </w:r>
      <w:r w:rsidR="00764681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.000 </w:t>
      </w:r>
      <w:r w:rsidR="006B076E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personnes</w:t>
      </w:r>
      <w:r w:rsidR="009B7BDC" w:rsidRPr="002F73C3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 </w:t>
      </w:r>
    </w:p>
    <w:p w:rsidR="002F73C3" w:rsidRPr="00F65ADC" w:rsidRDefault="00782432" w:rsidP="003035A3">
      <w:pPr>
        <w:numPr>
          <w:ilvl w:val="0"/>
          <w:numId w:val="19"/>
        </w:num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Compte tenu de l’évolution de la population active, </w:t>
      </w:r>
      <w:r w:rsidR="00D61357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le taux de chômage </w:t>
      </w: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est passé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,</w:t>
      </w: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de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</w:t>
      </w: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9,</w:t>
      </w:r>
      <w:r w:rsidR="00F860E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</w:t>
      </w: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</w:t>
      </w:r>
      <w:r w:rsidR="00D61357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à 9,</w:t>
      </w:r>
      <w:r w:rsidR="00F860E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9</w:t>
      </w:r>
      <w:r w:rsidR="00D61357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% au niveau national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,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de 14% à 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14,</w:t>
      </w:r>
      <w:r w:rsidR="00F860E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8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en 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milieu urbain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et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de 3,</w:t>
      </w:r>
      <w:r w:rsidR="00F860E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8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à 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4,</w:t>
      </w:r>
      <w:r w:rsidR="00F860E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% en milieu rural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 </w:t>
      </w:r>
      <w:r w:rsidR="00387079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P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armi la tranche d’âge 15</w:t>
      </w:r>
      <w:r w:rsidR="00387079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à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24</w:t>
      </w:r>
      <w:r w:rsidR="00387079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ans,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</w:t>
      </w:r>
      <w:r w:rsidR="00387079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il est passé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de 19,</w:t>
      </w:r>
      <w:r w:rsidR="003035A3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3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à 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20,</w:t>
      </w:r>
      <w:r w:rsidR="003035A3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et </w:t>
      </w:r>
      <w:r w:rsidR="00CF16A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parmi les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détenteurs de diplômes de 16</w:t>
      </w:r>
      <w:r w:rsidR="00387079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,</w:t>
      </w:r>
      <w:r w:rsidR="003035A3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3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à </w:t>
      </w:r>
      <w:r w:rsidR="009B1B4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</w:t>
      </w:r>
      <w:r w:rsidR="003035A3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7</w:t>
      </w:r>
      <w:r w:rsidR="009B1B4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,</w:t>
      </w:r>
      <w:r w:rsidR="003035A3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</w:t>
      </w:r>
      <w:r w:rsidR="009B1B4B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%.</w:t>
      </w:r>
      <w:r w:rsidR="009B7BDC" w:rsidRPr="00F65ADC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</w:p>
    <w:p w:rsidR="009B7BDC" w:rsidRPr="00F65ADC" w:rsidRDefault="00C56D59" w:rsidP="002A7861">
      <w:pPr>
        <w:numPr>
          <w:ilvl w:val="0"/>
          <w:numId w:val="19"/>
        </w:num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L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e taux de sous-emploi,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de son côté, </w:t>
      </w:r>
      <w:r w:rsidR="002A786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a augmenté de plus d’un point de pourcentage, passant de 9,2% 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à 10,</w:t>
      </w:r>
      <w:r w:rsidR="0021639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% au niveau national</w:t>
      </w:r>
      <w:r w:rsidR="00902541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,</w:t>
      </w:r>
      <w:r w:rsidR="0021639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et est passé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de </w:t>
      </w:r>
      <w:r w:rsidR="00346C90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8,</w:t>
      </w:r>
      <w:r w:rsidR="0021639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4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à 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9,</w:t>
      </w:r>
      <w:r w:rsidR="00706D1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5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en milieu urbain et 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de </w:t>
      </w:r>
      <w:r w:rsidR="00346C90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10,</w:t>
      </w:r>
      <w:r w:rsidR="00706D1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</w:t>
      </w:r>
      <w:r w:rsidR="00F75AF5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% à 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11,</w:t>
      </w:r>
      <w:r w:rsidR="00706D1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2</w:t>
      </w:r>
      <w:r w:rsidR="009B7BDC" w:rsidRPr="00F65ADC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% en milieu rural.</w:t>
      </w:r>
    </w:p>
    <w:p w:rsidR="009B7BDC" w:rsidRPr="000C2EE5" w:rsidRDefault="009B7BDC" w:rsidP="00587F1E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4"/>
          <w:szCs w:val="34"/>
        </w:rPr>
      </w:pPr>
      <w:r w:rsidRPr="000C2EE5">
        <w:rPr>
          <w:rFonts w:ascii="Book Antiqua" w:hAnsi="Book Antiqua" w:cs="Times New Roman"/>
          <w:b/>
          <w:bCs/>
          <w:noProof w:val="0"/>
          <w:color w:val="B33B69"/>
          <w:sz w:val="34"/>
          <w:szCs w:val="34"/>
        </w:rPr>
        <w:lastRenderedPageBreak/>
        <w:t>Situation et évolution du marché du travail</w:t>
      </w:r>
    </w:p>
    <w:p w:rsidR="0087218B" w:rsidRPr="000C2EE5" w:rsidRDefault="0087218B" w:rsidP="0087218B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0"/>
          <w:szCs w:val="30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30"/>
          <w:szCs w:val="30"/>
        </w:rPr>
        <w:t>Légère baisse des taux d’activité et d’emploi</w:t>
      </w:r>
    </w:p>
    <w:p w:rsidR="0087218B" w:rsidRDefault="0087218B" w:rsidP="00014CF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Pr="00F65ADC" w:rsidRDefault="001D6147" w:rsidP="00DB580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Avec 11.8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>13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.000 personnes, l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a population active âgée de 15 ans et plus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s’est accrue, entre les 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 xml:space="preserve">années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2013 et 2014, 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>0,9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>% au niveau national (+1,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>4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>% en milieu  u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rbain et +</w:t>
      </w:r>
      <w:r w:rsidR="00FD363F" w:rsidRPr="00F65ADC">
        <w:rPr>
          <w:rFonts w:ascii="Book Antiqua" w:hAnsi="Book Antiqua" w:cs="Times New Roman"/>
          <w:noProof w:val="0"/>
          <w:sz w:val="26"/>
          <w:szCs w:val="26"/>
        </w:rPr>
        <w:t>0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,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935004" w:rsidRPr="00F65ADC"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milieu rural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>)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(population âgée de 15 ans et plus), quant à </w:t>
      </w:r>
      <w:r w:rsidR="00DB580E" w:rsidRPr="00F65ADC">
        <w:rPr>
          <w:rFonts w:ascii="Book Antiqua" w:hAnsi="Book Antiqua" w:cs="Times New Roman"/>
          <w:noProof w:val="0"/>
          <w:sz w:val="26"/>
          <w:szCs w:val="26"/>
        </w:rPr>
        <w:t>elle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 xml:space="preserve">, s’est accrue de 1,5%. </w:t>
      </w:r>
      <w:r w:rsidR="00DB580E" w:rsidRPr="00F65ADC">
        <w:rPr>
          <w:rFonts w:ascii="Book Antiqua" w:hAnsi="Book Antiqua" w:cs="Times New Roman"/>
          <w:noProof w:val="0"/>
          <w:sz w:val="26"/>
          <w:szCs w:val="26"/>
        </w:rPr>
        <w:t>Ainsi, l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 xml:space="preserve">e taux d’activité, avec un </w:t>
      </w:r>
      <w:r w:rsidR="00992B57" w:rsidRPr="00F65ADC">
        <w:rPr>
          <w:rFonts w:ascii="Book Antiqua" w:hAnsi="Book Antiqua" w:cs="Times New Roman"/>
          <w:noProof w:val="0"/>
          <w:sz w:val="26"/>
          <w:szCs w:val="26"/>
        </w:rPr>
        <w:t xml:space="preserve">accroissement </w:t>
      </w:r>
      <w:r w:rsidR="00F65ADC" w:rsidRPr="00F65ADC">
        <w:rPr>
          <w:rFonts w:ascii="Book Antiqua" w:hAnsi="Book Antiqua" w:cs="Times New Roman"/>
          <w:noProof w:val="0"/>
          <w:sz w:val="26"/>
          <w:szCs w:val="26"/>
        </w:rPr>
        <w:t xml:space="preserve">du volume 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 xml:space="preserve">de la population en </w:t>
      </w:r>
      <w:r w:rsidR="00275F0E" w:rsidRPr="00F65ADC">
        <w:rPr>
          <w:rFonts w:ascii="Book Antiqua" w:hAnsi="Book Antiqua" w:cs="Times New Roman"/>
          <w:noProof w:val="0"/>
          <w:sz w:val="26"/>
          <w:szCs w:val="26"/>
        </w:rPr>
        <w:t>âge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 xml:space="preserve"> d’activité </w:t>
      </w:r>
      <w:r w:rsidR="00992B57" w:rsidRPr="00F65ADC">
        <w:rPr>
          <w:rFonts w:ascii="Book Antiqua" w:hAnsi="Book Antiqua" w:cs="Times New Roman"/>
          <w:noProof w:val="0"/>
          <w:sz w:val="26"/>
          <w:szCs w:val="26"/>
        </w:rPr>
        <w:t xml:space="preserve">plus important </w:t>
      </w:r>
      <w:r w:rsidR="00A835C5" w:rsidRPr="00F65ADC">
        <w:rPr>
          <w:rFonts w:ascii="Book Antiqua" w:hAnsi="Book Antiqua" w:cs="Times New Roman"/>
          <w:noProof w:val="0"/>
          <w:sz w:val="26"/>
          <w:szCs w:val="26"/>
        </w:rPr>
        <w:t xml:space="preserve">que </w:t>
      </w:r>
      <w:r w:rsidR="00D41611" w:rsidRPr="00F65ADC">
        <w:rPr>
          <w:rFonts w:ascii="Book Antiqua" w:hAnsi="Book Antiqua" w:cs="Times New Roman"/>
          <w:noProof w:val="0"/>
          <w:sz w:val="26"/>
          <w:szCs w:val="26"/>
        </w:rPr>
        <w:t>celui de la population active</w:t>
      </w:r>
      <w:r w:rsidR="0074595C" w:rsidRPr="00F65ADC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>est passé</w:t>
      </w:r>
      <w:r w:rsidR="00014CF6" w:rsidRPr="00F65ADC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de 48,</w:t>
      </w:r>
      <w:r w:rsidR="004E6FB0" w:rsidRPr="00F65ADC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% à 48%</w:t>
      </w:r>
      <w:r w:rsidR="00B33A95" w:rsidRPr="00F65ADC">
        <w:rPr>
          <w:rFonts w:ascii="Book Antiqua" w:hAnsi="Book Antiqua" w:cs="Times New Roman"/>
          <w:noProof w:val="0"/>
          <w:sz w:val="26"/>
          <w:szCs w:val="26"/>
        </w:rPr>
        <w:t>, enregistrant une diminution de 0,3 point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FD363F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F65ADC" w:rsidRDefault="00A72BAA" w:rsidP="00F65A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Au cours de cette période, </w:t>
      </w:r>
      <w:r w:rsidR="008B7DD6" w:rsidRPr="00F65ADC">
        <w:rPr>
          <w:rFonts w:ascii="Book Antiqua" w:hAnsi="Book Antiqua" w:cs="Times New Roman"/>
          <w:noProof w:val="0"/>
          <w:sz w:val="26"/>
          <w:szCs w:val="26"/>
        </w:rPr>
        <w:t>24.000 postes d’emplois rémunérés ont été perdus, résultat d’une création de 43.000 en milieu urbain et d’une perte de 67.000 en milieu rural. L’emploi non rémunéré a enregistré une hausse de 6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1</w:t>
      </w:r>
      <w:r w:rsidR="008B7DD6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postes en zones rurales et une perte de 16.000 postes en zones urbaines, </w:t>
      </w:r>
      <w:r w:rsidR="00F65ADC" w:rsidRPr="00F65ADC">
        <w:rPr>
          <w:rFonts w:ascii="Book Antiqua" w:hAnsi="Book Antiqua" w:cs="Times New Roman"/>
          <w:noProof w:val="0"/>
          <w:sz w:val="26"/>
          <w:szCs w:val="26"/>
        </w:rPr>
        <w:t xml:space="preserve">ce qui correspond à la création de </w:t>
      </w:r>
      <w:r w:rsidR="008B7DD6" w:rsidRPr="00F65ADC">
        <w:rPr>
          <w:rFonts w:ascii="Book Antiqua" w:hAnsi="Book Antiqua" w:cs="Times New Roman"/>
          <w:noProof w:val="0"/>
          <w:sz w:val="26"/>
          <w:szCs w:val="26"/>
        </w:rPr>
        <w:t xml:space="preserve">45.000 postes </w:t>
      </w:r>
      <w:r w:rsidR="00F65ADC" w:rsidRPr="00F65ADC">
        <w:rPr>
          <w:rFonts w:ascii="Book Antiqua" w:hAnsi="Book Antiqua" w:cs="Times New Roman"/>
          <w:noProof w:val="0"/>
          <w:sz w:val="26"/>
          <w:szCs w:val="26"/>
        </w:rPr>
        <w:t>au niveau national</w:t>
      </w:r>
      <w:r w:rsidR="008B7DD6" w:rsidRPr="00F65ADC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F65A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54D0C" w:rsidRDefault="009B7BDC" w:rsidP="005E69FF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 w:rsidR="005E69F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années 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>2013 et 2014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 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C238D1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>
        <w:drawing>
          <wp:inline distT="0" distB="0" distL="0" distR="0">
            <wp:extent cx="5973950" cy="2072981"/>
            <wp:effectExtent l="6097" t="4369" r="7368" b="2275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E0457E" w:rsidRPr="00F65ADC" w:rsidRDefault="00ED7C0C" w:rsidP="00D87F7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’économie marocaine a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7277B9" w:rsidRPr="00F65ADC">
        <w:rPr>
          <w:rFonts w:ascii="Book Antiqua" w:hAnsi="Book Antiqua" w:cs="Times New Roman"/>
          <w:noProof w:val="0"/>
          <w:sz w:val="26"/>
          <w:szCs w:val="26"/>
        </w:rPr>
        <w:t xml:space="preserve">connu la création nette de 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21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postes d’emploi, 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résultat d’une création 27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d’une perte de 6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en milieu rural.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De 10.6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25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.000</w:t>
      </w:r>
      <w:r w:rsidR="00D702F1" w:rsidRPr="00F65ADC">
        <w:rPr>
          <w:rFonts w:ascii="Book Antiqua" w:hAnsi="Book Antiqua" w:cs="Times New Roman"/>
          <w:noProof w:val="0"/>
          <w:sz w:val="26"/>
          <w:szCs w:val="26"/>
        </w:rPr>
        <w:t xml:space="preserve"> emplois</w:t>
      </w:r>
      <w:r w:rsidR="00657783" w:rsidRPr="00F65ADC">
        <w:rPr>
          <w:rFonts w:ascii="Book Antiqua" w:hAnsi="Book Antiqua" w:cs="Times New Roman"/>
          <w:noProof w:val="0"/>
          <w:sz w:val="26"/>
          <w:szCs w:val="26"/>
        </w:rPr>
        <w:t xml:space="preserve"> en 2013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D87F73" w:rsidRPr="00F65ADC">
        <w:rPr>
          <w:rFonts w:ascii="Book Antiqua" w:hAnsi="Book Antiqua" w:cs="Times New Roman"/>
          <w:noProof w:val="0"/>
          <w:sz w:val="26"/>
          <w:szCs w:val="26"/>
        </w:rPr>
        <w:t>le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volume </w:t>
      </w:r>
      <w:r w:rsidR="00D87F73" w:rsidRPr="00F65ADC">
        <w:rPr>
          <w:rFonts w:ascii="Book Antiqua" w:hAnsi="Book Antiqua" w:cs="Times New Roman"/>
          <w:noProof w:val="0"/>
          <w:sz w:val="26"/>
          <w:szCs w:val="26"/>
        </w:rPr>
        <w:t xml:space="preserve">de l’emploi </w:t>
      </w:r>
      <w:r w:rsidR="00D702F1" w:rsidRPr="00F65ADC">
        <w:rPr>
          <w:rFonts w:ascii="Book Antiqua" w:hAnsi="Book Antiqua" w:cs="Times New Roman"/>
          <w:noProof w:val="0"/>
          <w:sz w:val="26"/>
          <w:szCs w:val="26"/>
        </w:rPr>
        <w:t>est</w:t>
      </w:r>
      <w:r w:rsidR="00923A85" w:rsidRPr="00F65ADC">
        <w:rPr>
          <w:rFonts w:ascii="Book Antiqua" w:hAnsi="Book Antiqua" w:cs="Times New Roman"/>
          <w:noProof w:val="0"/>
          <w:sz w:val="26"/>
          <w:szCs w:val="26"/>
        </w:rPr>
        <w:t xml:space="preserve"> passé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 xml:space="preserve"> en </w:t>
      </w:r>
      <w:r w:rsidR="00D702F1" w:rsidRPr="00F65ADC">
        <w:rPr>
          <w:rFonts w:ascii="Book Antiqua" w:hAnsi="Book Antiqua" w:cs="Times New Roman"/>
          <w:noProof w:val="0"/>
          <w:sz w:val="26"/>
          <w:szCs w:val="26"/>
        </w:rPr>
        <w:t xml:space="preserve">2014, à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10.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646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.000. </w:t>
      </w:r>
      <w:r w:rsidR="000D2029" w:rsidRPr="00F65ADC">
        <w:rPr>
          <w:rFonts w:ascii="Book Antiqua" w:hAnsi="Book Antiqua" w:cs="Times New Roman"/>
          <w:noProof w:val="0"/>
          <w:sz w:val="26"/>
          <w:szCs w:val="26"/>
        </w:rPr>
        <w:t xml:space="preserve">Le taux d’emploi, quant à lui, </w:t>
      </w:r>
      <w:r w:rsidR="00D44710" w:rsidRPr="00F65ADC">
        <w:rPr>
          <w:rFonts w:ascii="Book Antiqua" w:hAnsi="Book Antiqua" w:cs="Times New Roman"/>
          <w:noProof w:val="0"/>
          <w:sz w:val="26"/>
          <w:szCs w:val="26"/>
        </w:rPr>
        <w:t xml:space="preserve">avec un accroissement du volume de la population en âge d'activité plus important que celui de la population active occupée,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a reculé de 0,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point au niveau national, passant de 4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3,8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% à 43,</w:t>
      </w:r>
      <w:r w:rsidR="00BD7FC2" w:rsidRPr="00F65ADC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  <w:r w:rsidR="00E0457E" w:rsidRPr="00F65ADC">
        <w:rPr>
          <w:rFonts w:ascii="Book Antiqua" w:hAnsi="Book Antiqua" w:cs="Times New Roman"/>
          <w:noProof w:val="0"/>
          <w:sz w:val="26"/>
          <w:szCs w:val="26"/>
        </w:rPr>
        <w:t>Il a également baissé de 0,5 point dans les deux milieux de résidence, de 36,4% à 35,9% en milieu urbain et de 55,2% à 54,7% en milieu rural.</w:t>
      </w:r>
    </w:p>
    <w:p w:rsidR="009B7BDC" w:rsidRDefault="009B7BDC" w:rsidP="00E0457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Pr="000C2EE5" w:rsidRDefault="00204CC1" w:rsidP="00CA7892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lastRenderedPageBreak/>
        <w:t>L</w:t>
      </w:r>
      <w:r w:rsidR="004726D3"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>e secteur des services</w:t>
      </w:r>
      <w:r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 xml:space="preserve"> </w:t>
      </w:r>
      <w:r w:rsidR="00D3452B"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 xml:space="preserve">à l’origine </w:t>
      </w:r>
      <w:r w:rsidR="00DB6160"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>d</w:t>
      </w:r>
      <w:r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>es emplois créés</w:t>
      </w:r>
      <w:r w:rsidR="009B7BDC"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 xml:space="preserve">  </w:t>
      </w: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Pr="00F65ADC" w:rsidRDefault="00204CC1" w:rsidP="0072199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color w:val="FF000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En effet, a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u niveau national, le secteur des "services" a créé </w:t>
      </w:r>
      <w:r w:rsidR="004726D3" w:rsidRPr="00F65ADC">
        <w:rPr>
          <w:rFonts w:ascii="Book Antiqua" w:hAnsi="Book Antiqua" w:cs="Times New Roman"/>
          <w:noProof w:val="0"/>
          <w:sz w:val="26"/>
          <w:szCs w:val="26"/>
        </w:rPr>
        <w:t>42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postes, ce qui correspond à un accroissement de 1% du volume d’emploi du secteur, </w:t>
      </w:r>
      <w:r w:rsidR="00F55849" w:rsidRPr="00F65ADC">
        <w:rPr>
          <w:rFonts w:ascii="Book Antiqua" w:hAnsi="Book Antiqua" w:cs="Times New Roman"/>
          <w:noProof w:val="0"/>
          <w:sz w:val="26"/>
          <w:szCs w:val="26"/>
        </w:rPr>
        <w:t xml:space="preserve">contre </w:t>
      </w:r>
      <w:r w:rsidR="00F90B74" w:rsidRPr="00F65ADC">
        <w:rPr>
          <w:rFonts w:ascii="Book Antiqua" w:hAnsi="Book Antiqua" w:cs="Times New Roman"/>
          <w:noProof w:val="0"/>
          <w:sz w:val="26"/>
          <w:szCs w:val="26"/>
        </w:rPr>
        <w:t xml:space="preserve">une création </w:t>
      </w:r>
      <w:r w:rsidR="004726D3" w:rsidRPr="00F65ADC">
        <w:rPr>
          <w:rFonts w:ascii="Book Antiqua" w:hAnsi="Book Antiqua" w:cs="Times New Roman"/>
          <w:color w:val="000000"/>
          <w:sz w:val="26"/>
          <w:szCs w:val="26"/>
        </w:rPr>
        <w:t>annuelle moyenne de 109.000 emplois au cours des trois dernières années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 Les nouveaux emplois cré</w:t>
      </w:r>
      <w:r w:rsidR="0044517B" w:rsidRPr="00F65ADC">
        <w:rPr>
          <w:rFonts w:ascii="Book Antiqua" w:hAnsi="Book Antiqua" w:cs="Times New Roman"/>
          <w:noProof w:val="0"/>
          <w:sz w:val="26"/>
          <w:szCs w:val="26"/>
        </w:rPr>
        <w:t>é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s au niveau de ce secteur, </w:t>
      </w:r>
      <w:r w:rsidR="0044517B" w:rsidRPr="00F65ADC">
        <w:rPr>
          <w:rFonts w:ascii="Book Antiqua" w:hAnsi="Book Antiqua" w:cs="Times New Roman"/>
          <w:noProof w:val="0"/>
          <w:sz w:val="26"/>
          <w:szCs w:val="26"/>
        </w:rPr>
        <w:t xml:space="preserve">résultent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principalement de la création de </w:t>
      </w:r>
      <w:r w:rsidR="002B629F" w:rsidRPr="00F65ADC">
        <w:rPr>
          <w:rFonts w:ascii="Book Antiqua" w:hAnsi="Book Antiqua" w:cs="Times New Roman"/>
          <w:noProof w:val="0"/>
          <w:sz w:val="26"/>
          <w:szCs w:val="26"/>
        </w:rPr>
        <w:t>29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.000 postes par la branche du "commerce de détail et réparation d’articles domestiques" et de 1</w:t>
      </w:r>
      <w:r w:rsidR="002B629F" w:rsidRPr="00F65ADC">
        <w:rPr>
          <w:rFonts w:ascii="Book Antiqua" w:hAnsi="Book Antiqua" w:cs="Times New Roman"/>
          <w:noProof w:val="0"/>
          <w:sz w:val="26"/>
          <w:szCs w:val="26"/>
        </w:rPr>
        <w:t>0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F55849" w:rsidRPr="00F65ADC">
        <w:rPr>
          <w:rFonts w:ascii="Book Antiqua" w:hAnsi="Book Antiqua" w:cs="Times New Roman"/>
          <w:noProof w:val="0"/>
          <w:sz w:val="26"/>
          <w:szCs w:val="26"/>
        </w:rPr>
        <w:t xml:space="preserve">postes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par celle des "services personnels". </w:t>
      </w:r>
    </w:p>
    <w:p w:rsidR="009B7BDC" w:rsidRPr="00F65A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FF36C0" w:rsidRPr="00F65ADC" w:rsidRDefault="00FF36C0" w:rsidP="007B36E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De même, l’"agriculture, forêt et pêche" a créé 16.000 postes d’emploi, représentant  une hausse de 0,4% du volume d’emploi du secteur, contre une création de 58.000 postes l’année dernière et </w:t>
      </w:r>
      <w:r w:rsidR="00B93465" w:rsidRPr="00F65ADC">
        <w:rPr>
          <w:rFonts w:ascii="Book Antiqua" w:hAnsi="Book Antiqua" w:cs="Times New Roman"/>
          <w:noProof w:val="0"/>
          <w:sz w:val="26"/>
          <w:szCs w:val="26"/>
        </w:rPr>
        <w:t xml:space="preserve">une perte de 3.000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postes, </w:t>
      </w:r>
      <w:r w:rsidR="007B36EA">
        <w:rPr>
          <w:rFonts w:ascii="Book Antiqua" w:hAnsi="Book Antiqua" w:cs="Times New Roman"/>
          <w:noProof w:val="0"/>
          <w:sz w:val="26"/>
          <w:szCs w:val="26"/>
        </w:rPr>
        <w:t>en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moyenne, au cours des trois dernières années.</w:t>
      </w:r>
    </w:p>
    <w:p w:rsidR="00FF36C0" w:rsidRPr="00F65ADC" w:rsidRDefault="00FF36C0" w:rsidP="0005326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F65ADC" w:rsidRDefault="00FF36C0" w:rsidP="0072199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le secteur de l’"industrie" qui comprend aussi l’artisanat a </w:t>
      </w:r>
      <w:r w:rsidR="00FB140D" w:rsidRPr="00F65ADC">
        <w:rPr>
          <w:rFonts w:ascii="Book Antiqua" w:hAnsi="Book Antiqua" w:cs="Times New Roman"/>
          <w:noProof w:val="0"/>
          <w:sz w:val="26"/>
          <w:szCs w:val="26"/>
        </w:rPr>
        <w:t>perdu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3</w:t>
      </w:r>
      <w:r w:rsidR="00FB140D" w:rsidRPr="00F65ADC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postes d’emploi, ce qui correspond à une </w:t>
      </w:r>
      <w:r w:rsidR="00FB140D" w:rsidRPr="00F65ADC">
        <w:rPr>
          <w:rFonts w:ascii="Book Antiqua" w:hAnsi="Book Antiqua" w:cs="Times New Roman"/>
          <w:noProof w:val="0"/>
          <w:sz w:val="26"/>
          <w:szCs w:val="26"/>
        </w:rPr>
        <w:t>baisse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FB140D" w:rsidRPr="00F65ADC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secteur, </w:t>
      </w:r>
      <w:r w:rsidR="0005611A" w:rsidRPr="00F65ADC">
        <w:rPr>
          <w:rFonts w:ascii="Book Antiqua" w:hAnsi="Book Antiqua" w:cs="Times New Roman"/>
          <w:noProof w:val="0"/>
          <w:sz w:val="26"/>
          <w:szCs w:val="26"/>
        </w:rPr>
        <w:t xml:space="preserve">enregistrant </w:t>
      </w:r>
      <w:r w:rsidR="00C036B7" w:rsidRPr="00F65ADC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05611A" w:rsidRPr="00F65ADC">
        <w:rPr>
          <w:rFonts w:ascii="Book Antiqua" w:hAnsi="Book Antiqua" w:cs="Times New Roman"/>
          <w:noProof w:val="0"/>
          <w:sz w:val="26"/>
          <w:szCs w:val="26"/>
        </w:rPr>
        <w:t xml:space="preserve">presque le double de la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perte </w:t>
      </w:r>
      <w:r w:rsidR="00053261" w:rsidRPr="00F65ADC">
        <w:rPr>
          <w:rFonts w:ascii="Book Antiqua" w:hAnsi="Book Antiqua" w:cs="Times New Roman"/>
          <w:noProof w:val="0"/>
          <w:sz w:val="26"/>
          <w:szCs w:val="26"/>
        </w:rPr>
        <w:t xml:space="preserve">annuelle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moyenne</w:t>
      </w:r>
      <w:r w:rsidR="006028B8" w:rsidRPr="00F65ADC">
        <w:rPr>
          <w:rFonts w:ascii="Book Antiqua" w:hAnsi="Book Antiqua" w:cs="Times New Roman"/>
          <w:noProof w:val="0"/>
          <w:sz w:val="26"/>
          <w:szCs w:val="26"/>
        </w:rPr>
        <w:t xml:space="preserve"> des trois dernières années</w:t>
      </w:r>
      <w:r w:rsidR="0005611A" w:rsidRPr="00F65ADC">
        <w:rPr>
          <w:rFonts w:ascii="Book Antiqua" w:hAnsi="Book Antiqua" w:cs="Times New Roman"/>
          <w:noProof w:val="0"/>
          <w:sz w:val="26"/>
          <w:szCs w:val="26"/>
        </w:rPr>
        <w:t xml:space="preserve">, estimée à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1</w:t>
      </w:r>
      <w:r w:rsidR="00FB140D" w:rsidRPr="00F65ADC">
        <w:rPr>
          <w:rFonts w:ascii="Book Antiqua" w:hAnsi="Book Antiqua" w:cs="Times New Roman"/>
          <w:noProof w:val="0"/>
          <w:sz w:val="26"/>
          <w:szCs w:val="26"/>
        </w:rPr>
        <w:t>8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.000</w:t>
      </w:r>
      <w:r w:rsidR="00C32FD0" w:rsidRPr="00F65ADC">
        <w:rPr>
          <w:rFonts w:ascii="Book Antiqua" w:hAnsi="Book Antiqua" w:cs="Times New Roman"/>
          <w:noProof w:val="0"/>
          <w:sz w:val="26"/>
          <w:szCs w:val="26"/>
        </w:rPr>
        <w:t xml:space="preserve"> postes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5611A" w:rsidRPr="00F65ADC">
        <w:rPr>
          <w:rFonts w:ascii="Book Antiqua" w:hAnsi="Book Antiqua" w:cs="Times New Roman"/>
          <w:noProof w:val="0"/>
          <w:sz w:val="26"/>
          <w:szCs w:val="26"/>
        </w:rPr>
        <w:t xml:space="preserve">Le recul du volume d’emploi dans ce secteur est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le fait </w:t>
      </w:r>
      <w:r w:rsidR="00533D58" w:rsidRPr="00F65ADC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de la </w:t>
      </w:r>
      <w:r w:rsidR="0005611A" w:rsidRPr="00F65ADC">
        <w:rPr>
          <w:rFonts w:ascii="Book Antiqua" w:hAnsi="Book Antiqua" w:cs="Times New Roman"/>
          <w:noProof w:val="0"/>
          <w:sz w:val="26"/>
          <w:szCs w:val="26"/>
        </w:rPr>
        <w:t>perte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533D58" w:rsidRPr="00F65ADC">
        <w:rPr>
          <w:rFonts w:ascii="Book Antiqua" w:hAnsi="Book Antiqua" w:cs="Times New Roman"/>
          <w:noProof w:val="0"/>
          <w:sz w:val="26"/>
          <w:szCs w:val="26"/>
        </w:rPr>
        <w:t>32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.000 emplois par la branche du "textile</w:t>
      </w:r>
      <w:r w:rsidR="00436F02" w:rsidRPr="00F65ADC">
        <w:rPr>
          <w:rFonts w:ascii="Book Antiqua" w:hAnsi="Book Antiqua" w:cs="Times New Roman"/>
          <w:noProof w:val="0"/>
          <w:sz w:val="26"/>
          <w:szCs w:val="26"/>
        </w:rPr>
        <w:t>,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bonneterie et habillement"</w:t>
      </w:r>
      <w:r w:rsidR="00834DCB" w:rsidRPr="00F65ADC">
        <w:rPr>
          <w:rFonts w:ascii="Book Antiqua" w:hAnsi="Book Antiqua" w:cs="Times New Roman"/>
          <w:noProof w:val="0"/>
          <w:sz w:val="26"/>
          <w:szCs w:val="26"/>
        </w:rPr>
        <w:t>.</w:t>
      </w:r>
      <w:r w:rsidR="00DE673C" w:rsidRPr="00F65AD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F65A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6"/>
          <w:szCs w:val="16"/>
        </w:rPr>
      </w:pPr>
    </w:p>
    <w:p w:rsidR="002B629F" w:rsidRPr="00F65ADC" w:rsidRDefault="002B629F" w:rsidP="0084117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De son côté, le secteur des BTP</w:t>
      </w:r>
      <w:r w:rsidR="0084117D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84117D" w:rsidRPr="00F65ADC">
        <w:rPr>
          <w:rFonts w:ascii="Book Antiqua" w:hAnsi="Book Antiqua" w:cs="Times New Roman"/>
          <w:noProof w:val="0"/>
          <w:sz w:val="26"/>
          <w:szCs w:val="26"/>
        </w:rPr>
        <w:t>après avoir perdu en moyenne annuelle 14.000 postes d’emploi au cours des trois dernières années</w:t>
      </w:r>
      <w:r w:rsidR="0084117D">
        <w:rPr>
          <w:rFonts w:ascii="Book Antiqua" w:hAnsi="Book Antiqua" w:cs="Times New Roman"/>
          <w:noProof w:val="0"/>
          <w:sz w:val="26"/>
          <w:szCs w:val="26"/>
        </w:rPr>
        <w:t>,</w:t>
      </w:r>
      <w:r w:rsidR="00DB6160" w:rsidRPr="00F65ADC">
        <w:rPr>
          <w:rFonts w:ascii="Book Antiqua" w:hAnsi="Book Antiqua" w:cs="Times New Roman"/>
          <w:noProof w:val="0"/>
          <w:sz w:val="26"/>
          <w:szCs w:val="26"/>
        </w:rPr>
        <w:t xml:space="preserve"> a connu une stagnation </w:t>
      </w:r>
      <w:r w:rsidR="008E1CEA" w:rsidRPr="00F65ADC">
        <w:rPr>
          <w:rFonts w:ascii="Book Antiqua" w:hAnsi="Book Antiqua" w:cs="Times New Roman"/>
          <w:noProof w:val="0"/>
          <w:sz w:val="26"/>
          <w:szCs w:val="26"/>
        </w:rPr>
        <w:t>d</w:t>
      </w:r>
      <w:r w:rsidR="0084117D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DB6160" w:rsidRPr="00F65ADC">
        <w:rPr>
          <w:rFonts w:ascii="Book Antiqua" w:hAnsi="Book Antiqua" w:cs="Times New Roman"/>
          <w:noProof w:val="0"/>
          <w:sz w:val="26"/>
          <w:szCs w:val="26"/>
        </w:rPr>
        <w:t xml:space="preserve"> son volume d’emploi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CA34D5" w:rsidRPr="00CA34D5" w:rsidRDefault="00CA34D5" w:rsidP="00CA34D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732456" w:rsidRPr="00F65ADC" w:rsidRDefault="009B7BDC" w:rsidP="005B6C0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65ADC">
        <w:rPr>
          <w:rFonts w:ascii="Book Antiqua" w:hAnsi="Book Antiqua" w:cs="Times New Roman"/>
          <w:b/>
          <w:bCs/>
          <w:noProof w:val="0"/>
          <w:sz w:val="24"/>
          <w:szCs w:val="24"/>
        </w:rPr>
        <w:t>Figure 2. Créations nettes d’emplois</w:t>
      </w:r>
      <w:r w:rsidR="005B6C05" w:rsidRPr="00F65ADC">
        <w:rPr>
          <w:rFonts w:ascii="Book Antiqua" w:hAnsi="Book Antiqua" w:cs="Times New Roman"/>
          <w:b/>
          <w:bCs/>
          <w:noProof w:val="0"/>
          <w:sz w:val="24"/>
          <w:szCs w:val="24"/>
        </w:rPr>
        <w:t>,</w:t>
      </w:r>
      <w:r w:rsidRPr="00F65AD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5B6C05" w:rsidRPr="00F65AD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2013 et 2014, </w:t>
      </w:r>
      <w:r w:rsidRPr="00F65AD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C238D1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drawing>
          <wp:inline distT="0" distB="0" distL="0" distR="0">
            <wp:extent cx="5973950" cy="2384313"/>
            <wp:effectExtent l="6097" t="5578" r="7368" b="2789"/>
            <wp:docPr id="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84117D" w:rsidRDefault="0084117D" w:rsidP="0084117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Pr="00F65ADC" w:rsidRDefault="009B7BDC" w:rsidP="0084117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Par milieu de résidence, l’évolution se présente comme suit : </w:t>
      </w:r>
    </w:p>
    <w:p w:rsidR="009B7BDC" w:rsidRPr="00F65A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F65ADC" w:rsidRDefault="009B7BDC" w:rsidP="00777E3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26"/>
          <w:szCs w:val="26"/>
        </w:rPr>
        <w:t>En milieu urbain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F65ADC">
        <w:rPr>
          <w:rFonts w:ascii="Book Antiqua" w:hAnsi="Book Antiqua" w:cs="Times New Roman"/>
          <w:noProof w:val="0"/>
          <w:sz w:val="26"/>
          <w:szCs w:val="26"/>
          <w:rtl/>
        </w:rPr>
        <w:t>à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l’exception du secteur de </w:t>
      </w:r>
      <w:r w:rsidR="0001609E" w:rsidRPr="00F65ADC">
        <w:rPr>
          <w:rFonts w:ascii="Book Antiqua" w:hAnsi="Book Antiqua" w:cs="Times New Roman"/>
          <w:noProof w:val="0"/>
          <w:sz w:val="26"/>
          <w:szCs w:val="26"/>
        </w:rPr>
        <w:t>l’"industrie y compris l'artisanat"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qui a </w:t>
      </w:r>
      <w:r w:rsidR="00777E3D" w:rsidRPr="00F65ADC">
        <w:rPr>
          <w:rFonts w:ascii="Book Antiqua" w:hAnsi="Book Antiqua" w:cs="Times New Roman"/>
          <w:noProof w:val="0"/>
          <w:sz w:val="26"/>
          <w:szCs w:val="26"/>
        </w:rPr>
        <w:t>perdu 20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.000 emplois, correspondant à une baisse de 2,</w:t>
      </w:r>
      <w:r w:rsidR="00777E3D" w:rsidRPr="00F65ADC">
        <w:rPr>
          <w:rFonts w:ascii="Book Antiqua" w:hAnsi="Book Antiqua" w:cs="Times New Roman"/>
          <w:noProof w:val="0"/>
          <w:sz w:val="26"/>
          <w:szCs w:val="26"/>
        </w:rPr>
        <w:t>1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% du volume d’emploi dans le secteur, tous les autres secteurs ont vu leur volume d’emploi augmenter:</w:t>
      </w:r>
    </w:p>
    <w:p w:rsidR="009B7BDC" w:rsidRPr="00F65ADC" w:rsidRDefault="00777E3D" w:rsidP="00777E3D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41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.000 postes d’emploi dans le secteur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des "services"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 (+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,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secteur); </w:t>
      </w:r>
      <w:r w:rsidR="0001609E" w:rsidRPr="00F65AD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F65ADC" w:rsidRDefault="00273D96" w:rsidP="0087452E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.000 emplois dans celui de</w:t>
      </w:r>
      <w:r w:rsidR="0087452E" w:rsidRPr="00F65AD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77E3D" w:rsidRPr="00F65ADC">
        <w:rPr>
          <w:rFonts w:ascii="Book Antiqua" w:hAnsi="Book Antiqua" w:cs="Times New Roman"/>
          <w:noProof w:val="0"/>
          <w:sz w:val="26"/>
          <w:szCs w:val="26"/>
        </w:rPr>
        <w:t xml:space="preserve">l’"agriculture, forêt et pêche" 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(+</w:t>
      </w:r>
      <w:r w:rsidR="00777E3D" w:rsidRPr="00F65ADC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,3%);</w:t>
      </w:r>
    </w:p>
    <w:p w:rsidR="00B32C82" w:rsidRPr="00F65ADC" w:rsidRDefault="00B32C82" w:rsidP="00B32C82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.000 emplois dans les BTP (+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0,3</w:t>
      </w:r>
      <w:r w:rsidR="009B7BDC" w:rsidRPr="00F65ADC">
        <w:rPr>
          <w:rFonts w:ascii="Book Antiqua" w:hAnsi="Book Antiqua" w:cs="Times New Roman"/>
          <w:noProof w:val="0"/>
          <w:sz w:val="26"/>
          <w:szCs w:val="26"/>
        </w:rPr>
        <w:t>%)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B32C82" w:rsidRPr="00F65ADC" w:rsidRDefault="00B32C82" w:rsidP="00273D96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1.000 postes</w:t>
      </w:r>
      <w:r w:rsidR="00273D96" w:rsidRPr="00F65ADC">
        <w:rPr>
          <w:rFonts w:ascii="Book Antiqua" w:hAnsi="Book Antiqua" w:cs="Times New Roman"/>
          <w:noProof w:val="0"/>
          <w:sz w:val="26"/>
          <w:szCs w:val="26"/>
        </w:rPr>
        <w:t xml:space="preserve"> en tant qu’"activités mal désignées"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F65A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16"/>
          <w:szCs w:val="16"/>
        </w:rPr>
      </w:pPr>
    </w:p>
    <w:p w:rsidR="009B7BDC" w:rsidRPr="00F65ADC" w:rsidRDefault="009B7BDC" w:rsidP="00D15AB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26"/>
          <w:szCs w:val="26"/>
        </w:rPr>
        <w:t>En milieu rural</w:t>
      </w:r>
      <w:r w:rsidRPr="00F65ADC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, </w:t>
      </w:r>
      <w:r w:rsidR="00D16A36" w:rsidRPr="00F65ADC">
        <w:rPr>
          <w:rFonts w:ascii="Book Antiqua" w:hAnsi="Book Antiqua" w:cs="Times New Roman"/>
          <w:noProof w:val="0"/>
          <w:sz w:val="26"/>
          <w:szCs w:val="26"/>
        </w:rPr>
        <w:t>hormis le</w:t>
      </w:r>
      <w:r w:rsidR="00D16A36" w:rsidRPr="00F65ADC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  <w:r w:rsidR="00090934" w:rsidRPr="00F65ADC">
        <w:rPr>
          <w:rFonts w:ascii="Book Antiqua" w:hAnsi="Book Antiqua" w:cs="Times New Roman"/>
          <w:noProof w:val="0"/>
          <w:sz w:val="26"/>
          <w:szCs w:val="26"/>
        </w:rPr>
        <w:t xml:space="preserve">secteur de l’"agriculture, forêt et pêche" qui a créé 13.000 postes d’emploi, </w:t>
      </w:r>
      <w:r w:rsidR="00D16A36" w:rsidRPr="00F65ADC">
        <w:rPr>
          <w:rFonts w:ascii="Book Antiqua" w:hAnsi="Book Antiqua" w:cs="Times New Roman"/>
          <w:noProof w:val="0"/>
          <w:sz w:val="26"/>
          <w:szCs w:val="26"/>
        </w:rPr>
        <w:t xml:space="preserve">correspondant </w:t>
      </w:r>
      <w:r w:rsidR="00090934" w:rsidRPr="00F65ADC">
        <w:rPr>
          <w:rFonts w:ascii="Book Antiqua" w:hAnsi="Book Antiqua" w:cs="Times New Roman"/>
          <w:noProof w:val="0"/>
          <w:sz w:val="26"/>
          <w:szCs w:val="26"/>
        </w:rPr>
        <w:t>à un accroissement de 0,3% du volume de l’emploi du secteur, et celui des "services" qui a presque stagné, connaissant une création de 1.000 postes d’emploi (+0,2%), tous les autres secteurs ont vu leur volume d’emploi diminuer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 :</w:t>
      </w:r>
    </w:p>
    <w:p w:rsidR="00090934" w:rsidRPr="00F65ADC" w:rsidRDefault="00090934" w:rsidP="00090934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17.000 postes d’emploi dans le secteur de l’"industrie y compris l'artisanat" </w:t>
      </w:r>
      <w:r w:rsidR="006628EA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 w:rsidRPr="00F65ADC">
        <w:rPr>
          <w:rFonts w:ascii="Book Antiqua" w:hAnsi="Book Antiqua" w:cs="Times New Roman"/>
          <w:noProof w:val="0"/>
          <w:sz w:val="26"/>
          <w:szCs w:val="26"/>
        </w:rPr>
        <w:t xml:space="preserve">(-7,2% du volume de l’emploi du secteur); </w:t>
      </w:r>
    </w:p>
    <w:p w:rsidR="00090934" w:rsidRPr="00F65ADC" w:rsidRDefault="00090934" w:rsidP="00090934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2.000 emplois dans celui des BTP (-0,6%);</w:t>
      </w:r>
    </w:p>
    <w:p w:rsidR="00090934" w:rsidRPr="00F65ADC" w:rsidRDefault="00090934" w:rsidP="00090934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F65ADC">
        <w:rPr>
          <w:rFonts w:ascii="Book Antiqua" w:hAnsi="Book Antiqua" w:cs="Times New Roman"/>
          <w:noProof w:val="0"/>
          <w:sz w:val="26"/>
          <w:szCs w:val="26"/>
        </w:rPr>
        <w:t>les "activités mal désignées" avec 1.000 postes.</w:t>
      </w:r>
    </w:p>
    <w:p w:rsidR="00B7581A" w:rsidRPr="00012209" w:rsidRDefault="00B7581A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10"/>
          <w:szCs w:val="10"/>
        </w:rPr>
      </w:pPr>
    </w:p>
    <w:p w:rsidR="00381B61" w:rsidRPr="000C2EE5" w:rsidRDefault="00EA0D38" w:rsidP="00EA0D38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</w:pPr>
      <w:r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 xml:space="preserve">Principaux enseignements </w:t>
      </w:r>
      <w:r w:rsidR="00381B61"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 xml:space="preserve">sur la qualité de l’emploi </w:t>
      </w:r>
    </w:p>
    <w:p w:rsidR="00381B61" w:rsidRDefault="00381B61" w:rsidP="00BF4FB3">
      <w:pPr>
        <w:shd w:val="clear" w:color="auto" w:fill="FFFFFF"/>
        <w:spacing w:before="120"/>
        <w:ind w:left="-93" w:hanging="93"/>
        <w:jc w:val="right"/>
        <w:rPr>
          <w:rFonts w:ascii="Book Antiqua" w:hAnsi="Book Antiqua" w:cs="Times New Roman"/>
          <w:color w:val="333333"/>
          <w:sz w:val="26"/>
          <w:szCs w:val="26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</w:rPr>
        <w:t xml:space="preserve">Il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ressort de l’analyse des principales caractéristiques de la population active occupée que</w:t>
      </w:r>
      <w:r w:rsidRPr="000C2EE5">
        <w:rPr>
          <w:rFonts w:ascii="Book Antiqua" w:hAnsi="Book Antiqua" w:cs="Times New Roman"/>
          <w:color w:val="000000"/>
          <w:sz w:val="26"/>
          <w:szCs w:val="26"/>
        </w:rPr>
        <w:t>:</w:t>
      </w:r>
      <w:r w:rsidRPr="000C2EE5">
        <w:rPr>
          <w:rFonts w:ascii="Book Antiqua" w:hAnsi="Book Antiqua" w:cs="Times New Roman"/>
          <w:color w:val="333333"/>
          <w:sz w:val="26"/>
          <w:szCs w:val="26"/>
        </w:rPr>
        <w:t>  </w:t>
      </w:r>
    </w:p>
    <w:p w:rsidR="008D1A74" w:rsidRPr="008D1A74" w:rsidRDefault="008D1A74" w:rsidP="00BF4FB3">
      <w:pPr>
        <w:shd w:val="clear" w:color="auto" w:fill="FFFFFF"/>
        <w:spacing w:before="120"/>
        <w:ind w:left="-93" w:hanging="93"/>
        <w:jc w:val="right"/>
        <w:rPr>
          <w:rFonts w:ascii="Book Antiqua" w:hAnsi="Book Antiqua" w:cs="Times New Roman"/>
          <w:noProof w:val="0"/>
          <w:sz w:val="16"/>
          <w:szCs w:val="16"/>
        </w:rPr>
      </w:pPr>
    </w:p>
    <w:p w:rsidR="00381B61" w:rsidRPr="000C2EE5" w:rsidRDefault="00381B61" w:rsidP="008D1A74">
      <w:pPr>
        <w:pStyle w:val="Paragraphedeliste"/>
        <w:numPr>
          <w:ilvl w:val="0"/>
          <w:numId w:val="12"/>
        </w:numPr>
        <w:shd w:val="clear" w:color="auto" w:fill="FFFFFF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62% des actifs  occupés sont sans diplôme, 2</w:t>
      </w:r>
      <w:r w:rsidR="00D758AC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D758AC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ont un diplôme de niveau moyen</w:t>
      </w:r>
      <w:r w:rsidRPr="000C2EE5">
        <w:rPr>
          <w:rStyle w:val="Appelnotedebasdep"/>
          <w:rFonts w:ascii="Book Antiqua" w:hAnsi="Book Antiqua" w:cs="Times New Roman"/>
          <w:b/>
          <w:bCs/>
          <w:color w:val="000000"/>
          <w:sz w:val="26"/>
          <w:szCs w:val="26"/>
          <w:lang w:val="fr-FR" w:eastAsia="fr-FR"/>
        </w:rPr>
        <w:footnoteReference w:id="2"/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et 1</w:t>
      </w:r>
      <w:r w:rsidR="00D758AC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D758AC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un diplôme de niveau supérieur</w:t>
      </w:r>
      <w:r w:rsidRPr="000C2EE5">
        <w:rPr>
          <w:rStyle w:val="Appelnotedebasdep"/>
          <w:rFonts w:ascii="Book Antiqua" w:hAnsi="Book Antiqua" w:cs="Times New Roman"/>
          <w:b/>
          <w:bCs/>
          <w:color w:val="000000"/>
          <w:sz w:val="26"/>
          <w:szCs w:val="26"/>
          <w:lang w:val="fr-FR" w:eastAsia="fr-FR"/>
        </w:rPr>
        <w:footnoteReference w:id="3"/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 Selon le secteur d’activité, la part des actifs  occupés n’ayant aucun diplôme passe de 42,</w:t>
      </w:r>
      <w:r w:rsidR="0086512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8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services à 5</w:t>
      </w:r>
      <w:r w:rsidR="0086512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86512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9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l'industrie</w:t>
      </w:r>
      <w:r w:rsidR="008D1A7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et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à 6</w:t>
      </w:r>
      <w:r w:rsidR="0086512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BTP pour atteindre 84,</w:t>
      </w:r>
      <w:r w:rsidR="00D758AC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l'</w:t>
      </w:r>
      <w:r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agriculture, forêt et pêche</w:t>
      </w:r>
      <w:r w:rsidR="00474B68"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;</w:t>
      </w:r>
    </w:p>
    <w:p w:rsidR="00EA124A" w:rsidRDefault="00381B61" w:rsidP="00012B02">
      <w:pPr>
        <w:pStyle w:val="Paragraphedeliste"/>
        <w:numPr>
          <w:ilvl w:val="0"/>
          <w:numId w:val="12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le taux de participation des femmes à l</w:t>
      </w:r>
      <w:r w:rsidR="00012B02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’emploi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est de 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2</w:t>
      </w:r>
      <w:r w:rsidR="00012B02" w:rsidRPr="000C2EE5">
        <w:rPr>
          <w:rFonts w:ascii="Book Antiqua" w:hAnsi="Book Antiqua" w:cs="Times New Roman"/>
          <w:sz w:val="26"/>
          <w:szCs w:val="26"/>
          <w:rtl/>
          <w:lang w:val="fr-FR" w:eastAsia="fr-FR"/>
        </w:rPr>
        <w:t>2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012B02" w:rsidRPr="000C2EE5">
        <w:rPr>
          <w:rFonts w:ascii="Book Antiqua" w:hAnsi="Book Antiqua" w:cs="Times New Roman"/>
          <w:sz w:val="26"/>
          <w:szCs w:val="26"/>
          <w:rtl/>
          <w:lang w:val="fr-FR" w:eastAsia="fr-FR"/>
        </w:rPr>
        <w:t>6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%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au niveau national, 1</w:t>
      </w:r>
      <w:r w:rsidR="00012B02" w:rsidRPr="000C2EE5">
        <w:rPr>
          <w:rFonts w:ascii="Book Antiqua" w:hAnsi="Book Antiqua" w:cs="Times New Roman"/>
          <w:color w:val="000000"/>
          <w:sz w:val="26"/>
          <w:szCs w:val="26"/>
          <w:rtl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012B02" w:rsidRPr="000C2EE5">
        <w:rPr>
          <w:rFonts w:ascii="Book Antiqua" w:hAnsi="Book Antiqua" w:cs="Times New Roman"/>
          <w:color w:val="000000"/>
          <w:sz w:val="26"/>
          <w:szCs w:val="26"/>
          <w:rtl/>
          <w:lang w:val="fr-FR" w:eastAsia="fr-FR"/>
        </w:rPr>
        <w:t>9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 et 3</w:t>
      </w:r>
      <w:r w:rsidR="00EA124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6,</w:t>
      </w:r>
      <w:r w:rsidR="00012B02" w:rsidRPr="000C2EE5">
        <w:rPr>
          <w:rFonts w:ascii="Book Antiqua" w:hAnsi="Book Antiqua" w:cs="Times New Roman"/>
          <w:color w:val="000000"/>
          <w:sz w:val="26"/>
          <w:szCs w:val="26"/>
          <w:rtl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 ; </w:t>
      </w:r>
      <w:r w:rsidR="00EA124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</w:t>
      </w:r>
    </w:p>
    <w:p w:rsidR="000C2EE5" w:rsidRDefault="000C2EE5" w:rsidP="000C2EE5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</w:p>
    <w:p w:rsidR="008D1A74" w:rsidRPr="000C2EE5" w:rsidRDefault="008D1A74" w:rsidP="000C2EE5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</w:p>
    <w:p w:rsidR="00381B61" w:rsidRPr="000C2EE5" w:rsidRDefault="00381B61" w:rsidP="00012209">
      <w:pPr>
        <w:pStyle w:val="Paragraphedeliste"/>
        <w:numPr>
          <w:ilvl w:val="0"/>
          <w:numId w:val="13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lastRenderedPageBreak/>
        <w:t>10,</w:t>
      </w:r>
      <w:r w:rsidR="00012209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des actifs occupés sont sous-employés avec de grandes disparités entre secteurs d'activité:</w:t>
      </w:r>
    </w:p>
    <w:p w:rsidR="00381B61" w:rsidRPr="000C2EE5" w:rsidRDefault="00381B61" w:rsidP="0001220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41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17% dans le secteur des BTP ;</w:t>
      </w:r>
    </w:p>
    <w:p w:rsidR="00381B61" w:rsidRPr="000C2EE5" w:rsidRDefault="00381B61" w:rsidP="0001220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41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10,</w:t>
      </w:r>
      <w:r w:rsidR="00012209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au niveau de l'agriculture, forêt et pêche;</w:t>
      </w:r>
    </w:p>
    <w:p w:rsidR="00381B61" w:rsidRPr="000C2EE5" w:rsidRDefault="00381B61" w:rsidP="0001220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41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9,</w:t>
      </w:r>
      <w:r w:rsidR="00012209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services;</w:t>
      </w:r>
    </w:p>
    <w:p w:rsidR="00381B61" w:rsidRPr="000C2EE5" w:rsidRDefault="00381B61" w:rsidP="0001220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41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8% au niveau du secteur de l'industrie</w:t>
      </w:r>
      <w:r w:rsidR="00012209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y compris l’artisanat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</w:t>
      </w:r>
    </w:p>
    <w:p w:rsidR="00381B61" w:rsidRPr="000C2EE5" w:rsidRDefault="00381B61" w:rsidP="005642FA">
      <w:pPr>
        <w:pStyle w:val="Paragraphedeliste"/>
        <w:numPr>
          <w:ilvl w:val="0"/>
          <w:numId w:val="14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333333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près de </w:t>
      </w:r>
      <w:r w:rsidR="005642F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deux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salariés sur </w:t>
      </w:r>
      <w:r w:rsidR="005642F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trois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(62,</w:t>
      </w:r>
      <w:r w:rsidR="00AD364F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%) exercent leur emploi sans contrat de travail, notamment dans le secteur de l'</w:t>
      </w:r>
      <w:r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agriculture, forêt et pêche</w:t>
      </w:r>
      <w:r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où cette proportion atteint 9</w:t>
      </w:r>
      <w:r w:rsidR="00AD364F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1,6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;</w:t>
      </w:r>
      <w:r w:rsidRPr="000C2EE5">
        <w:rPr>
          <w:rFonts w:ascii="Book Antiqua" w:hAnsi="Book Antiqua" w:cs="Times New Roman"/>
          <w:color w:val="333333"/>
          <w:sz w:val="26"/>
          <w:szCs w:val="26"/>
          <w:lang w:val="fr-FR" w:eastAsia="fr-FR"/>
        </w:rPr>
        <w:t>  </w:t>
      </w:r>
    </w:p>
    <w:p w:rsidR="00381B61" w:rsidRPr="000C2EE5" w:rsidRDefault="00381B61" w:rsidP="00DA0CE0">
      <w:pPr>
        <w:pStyle w:val="Paragraphedeliste"/>
        <w:numPr>
          <w:ilvl w:val="0"/>
          <w:numId w:val="14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l'emploi non rémunéré représente 22,</w:t>
      </w:r>
      <w:r w:rsidR="00DA0CE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de l'emploi au niveau national et 4</w:t>
      </w:r>
      <w:r w:rsidR="00DA0CE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DA0CE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 ; </w:t>
      </w:r>
    </w:p>
    <w:p w:rsidR="00381B61" w:rsidRPr="00CE7D29" w:rsidRDefault="00381B61" w:rsidP="008D1A74">
      <w:pPr>
        <w:pStyle w:val="Paragraphedeliste"/>
        <w:numPr>
          <w:ilvl w:val="0"/>
          <w:numId w:val="16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FF0000"/>
          <w:sz w:val="26"/>
          <w:szCs w:val="26"/>
          <w:u w:val="single"/>
          <w:lang w:val="fr-FR" w:eastAsia="fr-FR"/>
        </w:rPr>
      </w:pPr>
      <w:r w:rsidRPr="00CE7D29">
        <w:rPr>
          <w:rFonts w:ascii="Book Antiqua" w:hAnsi="Book Antiqua" w:cs="Times New Roman"/>
          <w:sz w:val="26"/>
          <w:szCs w:val="26"/>
          <w:lang w:val="fr-FR" w:eastAsia="fr-FR"/>
        </w:rPr>
        <w:t>8</w:t>
      </w:r>
      <w:r w:rsidR="00DA0CE0" w:rsidRPr="00CE7D29">
        <w:rPr>
          <w:rFonts w:ascii="Book Antiqua" w:hAnsi="Book Antiqua" w:cs="Times New Roman"/>
          <w:sz w:val="26"/>
          <w:szCs w:val="26"/>
          <w:lang w:val="fr-FR" w:eastAsia="fr-FR"/>
        </w:rPr>
        <w:t>,2</w:t>
      </w:r>
      <w:r w:rsidRPr="00CE7D29">
        <w:rPr>
          <w:rFonts w:ascii="Book Antiqua" w:hAnsi="Book Antiqua" w:cs="Times New Roman"/>
          <w:sz w:val="26"/>
          <w:szCs w:val="26"/>
          <w:lang w:val="fr-FR" w:eastAsia="fr-FR"/>
        </w:rPr>
        <w:t>% d</w:t>
      </w:r>
      <w:r w:rsidR="008D1A74" w:rsidRPr="00CE7D29">
        <w:rPr>
          <w:rFonts w:ascii="Book Antiqua" w:hAnsi="Book Antiqua" w:cs="Times New Roman"/>
          <w:sz w:val="26"/>
          <w:szCs w:val="26"/>
          <w:lang w:val="fr-FR" w:eastAsia="fr-FR"/>
        </w:rPr>
        <w:t>es actifs occupés exercent leur emploi en tant qu’</w:t>
      </w:r>
      <w:r w:rsidRPr="00CE7D29">
        <w:rPr>
          <w:rFonts w:ascii="Book Antiqua" w:hAnsi="Book Antiqua" w:cs="Times New Roman"/>
          <w:sz w:val="26"/>
          <w:szCs w:val="26"/>
          <w:lang w:val="fr-FR" w:eastAsia="fr-FR"/>
        </w:rPr>
        <w:t>occasionnel</w:t>
      </w:r>
      <w:r w:rsidR="008D1A74" w:rsidRPr="00CE7D29">
        <w:rPr>
          <w:rFonts w:ascii="Book Antiqua" w:hAnsi="Book Antiqua" w:cs="Times New Roman"/>
          <w:sz w:val="26"/>
          <w:szCs w:val="26"/>
          <w:lang w:val="fr-FR" w:eastAsia="fr-FR"/>
        </w:rPr>
        <w:t>s</w:t>
      </w:r>
      <w:r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</w:t>
      </w:r>
      <w:r w:rsidR="008D1A74"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ou</w:t>
      </w:r>
      <w:r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 saisonnier</w:t>
      </w:r>
      <w:r w:rsidR="008D1A74"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s</w:t>
      </w:r>
      <w:r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;</w:t>
      </w:r>
    </w:p>
    <w:p w:rsidR="00381B61" w:rsidRPr="000C2EE5" w:rsidRDefault="00381B61" w:rsidP="007367EF">
      <w:pPr>
        <w:pStyle w:val="Paragraphedeliste"/>
        <w:numPr>
          <w:ilvl w:val="0"/>
          <w:numId w:val="17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près de huit actifs occupés sur dix (79,5%) ne disposent pas de couverture </w:t>
      </w:r>
      <w:r w:rsidR="007367EF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médicale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 94,</w:t>
      </w:r>
      <w:r w:rsidR="00164573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 et 64,</w:t>
      </w:r>
      <w:r w:rsidR="00164573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8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urbain. Parmi les salariés, cette proportion est de </w:t>
      </w:r>
      <w:r w:rsidR="0029310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58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29310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au niveau national, 8</w:t>
      </w:r>
      <w:r w:rsidR="0029310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1,6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</w:t>
      </w:r>
      <w:r w:rsidR="00AA512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et </w:t>
      </w:r>
      <w:r w:rsidR="0029310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49</w:t>
      </w:r>
      <w:r w:rsidR="00AA512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293100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="00AA512A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urbain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;</w:t>
      </w:r>
    </w:p>
    <w:p w:rsidR="00381B61" w:rsidRPr="000C2EE5" w:rsidRDefault="00381B61" w:rsidP="005B2835">
      <w:pPr>
        <w:pStyle w:val="Paragraphedeliste"/>
        <w:numPr>
          <w:ilvl w:val="0"/>
          <w:numId w:val="18"/>
        </w:numPr>
        <w:shd w:val="clear" w:color="auto" w:fill="FFFFFF"/>
        <w:spacing w:before="240"/>
        <w:jc w:val="both"/>
        <w:rPr>
          <w:rFonts w:ascii="Book Antiqua" w:hAnsi="Book Antiqua" w:cs="Times New Roman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Près du quart (23,</w:t>
      </w:r>
      <w:r w:rsidR="005B283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%) des actifs occupés et </w:t>
      </w:r>
      <w:r w:rsidR="005B2835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de ceux exerçant dans le secteur des BTP expriment le désir de changer leur emploi. 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Les raisons évoquées portent principalement sur la recherche d'une meilleure rémunération pour 7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 xml:space="preserve">%, de conditions de travail plus favorables pour 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9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6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%, d’un emploi stable pour 9,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5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% et d’un emploi plus adéquat à la formation reçue pour 4,</w:t>
      </w:r>
      <w:r w:rsidR="005B2835" w:rsidRPr="000C2EE5">
        <w:rPr>
          <w:rFonts w:ascii="Book Antiqua" w:hAnsi="Book Antiqua" w:cs="Times New Roman"/>
          <w:sz w:val="26"/>
          <w:szCs w:val="26"/>
          <w:lang w:val="fr-FR" w:eastAsia="fr-FR"/>
        </w:rPr>
        <w:t>9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% ; </w:t>
      </w:r>
    </w:p>
    <w:p w:rsidR="00381B61" w:rsidRPr="000C2EE5" w:rsidRDefault="00381B61" w:rsidP="005342C2">
      <w:pPr>
        <w:pStyle w:val="Paragraphedeliste"/>
        <w:numPr>
          <w:ilvl w:val="0"/>
          <w:numId w:val="18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1,6% des salariés au niveau national et 2,1% en milieu urbain déclarent avoir bénéficié d’une formation</w:t>
      </w:r>
      <w:r w:rsidR="005342C2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 prise en charge par l’employeur,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au cours des 12 derniers mois ;</w:t>
      </w:r>
    </w:p>
    <w:p w:rsidR="00381B61" w:rsidRPr="000C2EE5" w:rsidRDefault="004146F6" w:rsidP="004146F6">
      <w:pPr>
        <w:pStyle w:val="Paragraphedeliste"/>
        <w:numPr>
          <w:ilvl w:val="0"/>
          <w:numId w:val="18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50% </w:t>
      </w:r>
      <w:r w:rsidR="00381B61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des actifs occupés parviennent à concilier entre leur vie privée et leur vie professionnelle,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30</w:t>
      </w:r>
      <w:r w:rsidR="00381B61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avec difficultés, 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7</w:t>
      </w:r>
      <w:r w:rsidR="00381B61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avec beaucoup de difficultés et 3% n’y arrivent pas malgré tous les efforts déployés ;</w:t>
      </w:r>
    </w:p>
    <w:p w:rsidR="00AE077C" w:rsidRPr="000C2EE5" w:rsidRDefault="00381B61" w:rsidP="000C2EE5">
      <w:pPr>
        <w:pStyle w:val="Paragraphedeliste"/>
        <w:numPr>
          <w:ilvl w:val="0"/>
          <w:numId w:val="18"/>
        </w:numPr>
        <w:shd w:val="clear" w:color="auto" w:fill="FFFFFF"/>
        <w:spacing w:before="240"/>
        <w:jc w:val="both"/>
        <w:rPr>
          <w:rFonts w:ascii="Book Antiqua" w:hAnsi="Book Antiqua" w:cs="Times New Roman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il ressort des données de l’enquête qu</w:t>
      </w:r>
      <w:r w:rsidR="00AD37BE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’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e</w:t>
      </w:r>
      <w:r w:rsidR="00AD37BE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nviron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3% des actifs occupés sont affiliés à </w:t>
      </w:r>
      <w:r w:rsidR="00D42D51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une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organisation syndicale ou professionnelle, </w:t>
      </w:r>
      <w:r w:rsidR="00AD37BE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urbain et moins de 1% en milieu rural. Parmi les salariés, cette proportion atteint </w:t>
      </w:r>
      <w:r w:rsidR="00AD37BE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à peu près 6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au niveau national, </w:t>
      </w:r>
      <w:r w:rsidR="00AD37BE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 et moins de 2% en milieu rural</w:t>
      </w:r>
      <w:r w:rsid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</w:t>
      </w:r>
    </w:p>
    <w:p w:rsidR="000C2EE5" w:rsidRDefault="000C2EE5" w:rsidP="000C2EE5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</w:p>
    <w:p w:rsidR="000C2EE5" w:rsidRDefault="000C2EE5" w:rsidP="000C2EE5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</w:p>
    <w:p w:rsidR="000C2EE5" w:rsidRPr="000C2EE5" w:rsidRDefault="000C2EE5" w:rsidP="000C2EE5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sz w:val="26"/>
          <w:szCs w:val="26"/>
          <w:lang w:val="fr-FR" w:eastAsia="fr-FR"/>
        </w:rPr>
      </w:pPr>
    </w:p>
    <w:p w:rsidR="007F7C47" w:rsidRPr="000C2EE5" w:rsidRDefault="009B7BDC" w:rsidP="00CA7892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lastRenderedPageBreak/>
        <w:t>Situation, évolution et principales caractéristiques du chômage</w:t>
      </w:r>
    </w:p>
    <w:p w:rsidR="009B7BDC" w:rsidRPr="00CA7892" w:rsidRDefault="009B7BDC" w:rsidP="007F7C4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CA7892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9B7BDC" w:rsidRPr="000C2EE5" w:rsidRDefault="009B7BDC" w:rsidP="00C052C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La population active en chômage s’est accrue de 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8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</w:t>
      </w:r>
      <w:r w:rsidRPr="000C2EE5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au niveau national, passant de 1.0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81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2013 à 1.1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67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.000 chômeurs 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2014, ce qui correspond à 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86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.000 chômeurs</w:t>
      </w:r>
      <w:r w:rsidR="00ED5807" w:rsidRPr="000C2EE5">
        <w:rPr>
          <w:rFonts w:ascii="Book Antiqua" w:hAnsi="Book Antiqua" w:cs="Times New Roman"/>
          <w:noProof w:val="0"/>
          <w:sz w:val="26"/>
          <w:szCs w:val="26"/>
        </w:rPr>
        <w:t xml:space="preserve"> en plus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63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.000 en milieu urbain et 2</w:t>
      </w:r>
      <w:r w:rsidR="003046FF" w:rsidRPr="000C2EE5">
        <w:rPr>
          <w:rFonts w:ascii="Book Antiqua" w:hAnsi="Book Antiqua" w:cs="Times New Roman"/>
          <w:noProof w:val="0"/>
          <w:sz w:val="26"/>
          <w:szCs w:val="26"/>
        </w:rPr>
        <w:t>3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.000 en milieu rural. </w:t>
      </w:r>
      <w:r w:rsidR="007277B9" w:rsidRPr="000C2EE5">
        <w:rPr>
          <w:rFonts w:ascii="Book Antiqua" w:hAnsi="Book Antiqua" w:cs="Times New Roman"/>
          <w:noProof w:val="0"/>
          <w:sz w:val="26"/>
          <w:szCs w:val="26"/>
        </w:rPr>
        <w:t>L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e taux de chômage est </w:t>
      </w:r>
      <w:r w:rsidR="007277B9" w:rsidRPr="000C2EE5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passé</w:t>
      </w:r>
      <w:r w:rsidR="007277B9" w:rsidRPr="000C2EE5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FD363F" w:rsidRPr="000C2EE5">
        <w:rPr>
          <w:rFonts w:ascii="Book Antiqua" w:hAnsi="Book Antiqua" w:cs="Times New Roman"/>
          <w:noProof w:val="0"/>
          <w:sz w:val="26"/>
          <w:szCs w:val="26"/>
        </w:rPr>
        <w:t>9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2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 à 9,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9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</w:t>
      </w:r>
      <w:r w:rsidR="007277B9" w:rsidRPr="000C2EE5">
        <w:rPr>
          <w:rFonts w:ascii="Book Antiqua" w:hAnsi="Book Antiqua" w:cs="Times New Roman"/>
          <w:noProof w:val="0"/>
          <w:sz w:val="26"/>
          <w:szCs w:val="26"/>
        </w:rPr>
        <w:t xml:space="preserve"> au niveau national,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de 1</w:t>
      </w:r>
      <w:r w:rsidR="00FD363F" w:rsidRPr="000C2EE5">
        <w:rPr>
          <w:rFonts w:ascii="Book Antiqua" w:hAnsi="Book Antiqua" w:cs="Times New Roman"/>
          <w:noProof w:val="0"/>
          <w:sz w:val="26"/>
          <w:szCs w:val="26"/>
        </w:rPr>
        <w:t>4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 à 14,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8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 en milieu urbain et de 3,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8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FD363F" w:rsidRPr="000C2EE5">
        <w:rPr>
          <w:rFonts w:ascii="Book Antiqua" w:hAnsi="Book Antiqua" w:cs="Times New Roman"/>
          <w:noProof w:val="0"/>
          <w:sz w:val="26"/>
          <w:szCs w:val="26"/>
        </w:rPr>
        <w:t>4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2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% en milieu  rural.</w:t>
      </w:r>
    </w:p>
    <w:p w:rsidR="009B7BDC" w:rsidRPr="000C2EE5" w:rsidRDefault="009B7BDC" w:rsidP="00C052C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Les hausses les plus importantes du taux de chômage ont été relevées, en milieu urbain, parmi les jeunes âgés de 15 à 24 ans (+</w:t>
      </w:r>
      <w:r w:rsidR="00560D4E" w:rsidRPr="000C2EE5">
        <w:rPr>
          <w:rFonts w:ascii="Book Antiqua" w:hAnsi="Book Antiqua" w:cs="Times New Roman"/>
          <w:noProof w:val="0"/>
          <w:sz w:val="26"/>
          <w:szCs w:val="26"/>
        </w:rPr>
        <w:t>2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560D4E" w:rsidRPr="000C2EE5">
        <w:rPr>
          <w:rFonts w:ascii="Book Antiqua" w:hAnsi="Book Antiqua" w:cs="Times New Roman"/>
          <w:noProof w:val="0"/>
          <w:sz w:val="26"/>
          <w:szCs w:val="26"/>
        </w:rPr>
        <w:t>1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60D4E" w:rsidRPr="000C2EE5">
        <w:rPr>
          <w:rFonts w:ascii="Book Antiqua" w:hAnsi="Book Antiqua" w:cs="Times New Roman"/>
          <w:noProof w:val="0"/>
          <w:sz w:val="26"/>
          <w:szCs w:val="26"/>
        </w:rPr>
        <w:t>s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)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052CA" w:rsidRPr="000C2EE5">
        <w:rPr>
          <w:rFonts w:ascii="Book Antiqua" w:hAnsi="Book Antiqua" w:cs="Times New Roman"/>
          <w:noProof w:val="0"/>
          <w:sz w:val="26"/>
          <w:szCs w:val="26"/>
        </w:rPr>
        <w:t>les femmes (+1,5 point), et les diplômés (+1,3 point).</w:t>
      </w:r>
    </w:p>
    <w:p w:rsidR="00155BE8" w:rsidRDefault="00155BE8" w:rsidP="00155BE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3"/>
          <w:szCs w:val="23"/>
        </w:rPr>
      </w:pPr>
    </w:p>
    <w:p w:rsidR="00BE3938" w:rsidRPr="000C2EE5" w:rsidRDefault="00BE3938" w:rsidP="00BE3938">
      <w:pPr>
        <w:autoSpaceDE w:val="0"/>
        <w:autoSpaceDN w:val="0"/>
        <w:bidi w:val="0"/>
        <w:adjustRightInd w:val="0"/>
        <w:spacing w:after="12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Figure 3 : Evolution du taux de chômage par milieu de résidence (en%)</w:t>
      </w:r>
    </w:p>
    <w:p w:rsidR="009B7BDC" w:rsidRDefault="00C238D1" w:rsidP="00BE393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  <w:r>
        <w:drawing>
          <wp:inline distT="0" distB="0" distL="0" distR="0">
            <wp:extent cx="5559801" cy="2519277"/>
            <wp:effectExtent l="6098" t="5599" r="8131" b="5599"/>
            <wp:docPr id="3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969" w:rsidRDefault="00080969" w:rsidP="000809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BE3938" w:rsidRPr="006F3794" w:rsidRDefault="00BE3938" w:rsidP="00BE393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0C2EE5" w:rsidRDefault="000D3D51" w:rsidP="000D3D51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e chômage demeure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en particulier 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élevé parmi les diplômés et les jeunes âgés de 15 à 24 ans</w:t>
      </w:r>
      <w:r w:rsidR="00ED4A11" w:rsidRPr="000C2EE5">
        <w:rPr>
          <w:rFonts w:ascii="Book Antiqua" w:hAnsi="Book Antiqua" w:cs="Times New Roman"/>
          <w:noProof w:val="0"/>
          <w:sz w:val="26"/>
          <w:szCs w:val="26"/>
        </w:rPr>
        <w:t>, c’est ainsi que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 :         </w:t>
      </w:r>
    </w:p>
    <w:p w:rsidR="00205B08" w:rsidRPr="000C2EE5" w:rsidRDefault="00205B08" w:rsidP="00205B0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0C2EE5" w:rsidRDefault="00587F1E" w:rsidP="00864F2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e taux de chômage est de 4,</w:t>
      </w:r>
      <w:r w:rsidR="00614BAE" w:rsidRPr="000C2EE5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parmi les personnes sans diplôme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0C2EE5">
        <w:rPr>
          <w:rFonts w:ascii="Book Antiqua" w:hAnsi="Book Antiqua" w:cs="Times New Roman"/>
          <w:sz w:val="26"/>
          <w:szCs w:val="26"/>
        </w:rPr>
        <w:t>15,</w:t>
      </w:r>
      <w:r w:rsidR="00614BAE" w:rsidRPr="000C2EE5">
        <w:rPr>
          <w:rFonts w:ascii="Book Antiqua" w:hAnsi="Book Antiqua" w:cs="Times New Roman"/>
          <w:sz w:val="26"/>
          <w:szCs w:val="26"/>
        </w:rPr>
        <w:t>5</w:t>
      </w:r>
      <w:r w:rsidRPr="000C2EE5">
        <w:rPr>
          <w:rFonts w:ascii="Book Antiqua" w:hAnsi="Book Antiqua" w:cs="Times New Roman"/>
          <w:sz w:val="26"/>
          <w:szCs w:val="26"/>
        </w:rPr>
        <w:t xml:space="preserve">% parmi 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ceux ayant un </w:t>
      </w:r>
      <w:r w:rsidRPr="000C2EE5">
        <w:rPr>
          <w:rFonts w:ascii="Book Antiqua" w:hAnsi="Book Antiqua" w:cs="Times New Roman"/>
          <w:sz w:val="26"/>
          <w:szCs w:val="26"/>
        </w:rPr>
        <w:t>diplôm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e </w:t>
      </w:r>
      <w:r w:rsidR="009B7BDC" w:rsidRPr="000C2EE5">
        <w:rPr>
          <w:rFonts w:ascii="Book Antiqua" w:hAnsi="Book Antiqua" w:cs="Times New Roman"/>
          <w:sz w:val="26"/>
          <w:szCs w:val="26"/>
        </w:rPr>
        <w:t>de niveau moyen</w:t>
      </w:r>
      <w:r w:rsidR="00FD25BA" w:rsidRPr="000C2EE5">
        <w:rPr>
          <w:rFonts w:ascii="Book Antiqua" w:hAnsi="Book Antiqua" w:cs="Times New Roman"/>
          <w:sz w:val="26"/>
          <w:szCs w:val="26"/>
        </w:rPr>
        <w:t xml:space="preserve"> </w:t>
      </w:r>
      <w:r w:rsidR="005A57E6" w:rsidRPr="000C2EE5">
        <w:rPr>
          <w:rFonts w:ascii="Book Antiqua" w:hAnsi="Book Antiqua" w:cs="Times New Roman"/>
          <w:sz w:val="26"/>
          <w:szCs w:val="26"/>
        </w:rPr>
        <w:t xml:space="preserve">au niveau desquels il </w:t>
      </w:r>
      <w:r w:rsidR="00FD25BA" w:rsidRPr="000C2EE5">
        <w:rPr>
          <w:rFonts w:ascii="Book Antiqua" w:hAnsi="Book Antiqua" w:cs="Times New Roman"/>
          <w:sz w:val="26"/>
          <w:szCs w:val="26"/>
        </w:rPr>
        <w:t>e</w:t>
      </w:r>
      <w:r w:rsidR="005A57E6" w:rsidRPr="000C2EE5">
        <w:rPr>
          <w:rFonts w:ascii="Book Antiqua" w:hAnsi="Book Antiqua" w:cs="Times New Roman"/>
          <w:sz w:val="26"/>
          <w:szCs w:val="26"/>
        </w:rPr>
        <w:t>nre</w:t>
      </w:r>
      <w:r w:rsidR="00FD25BA" w:rsidRPr="000C2EE5">
        <w:rPr>
          <w:rFonts w:ascii="Book Antiqua" w:hAnsi="Book Antiqua" w:cs="Times New Roman"/>
          <w:sz w:val="26"/>
          <w:szCs w:val="26"/>
        </w:rPr>
        <w:t>gistre 2</w:t>
      </w:r>
      <w:r w:rsidR="00614BAE" w:rsidRPr="000C2EE5">
        <w:rPr>
          <w:rFonts w:ascii="Book Antiqua" w:hAnsi="Book Antiqua" w:cs="Times New Roman"/>
          <w:sz w:val="26"/>
          <w:szCs w:val="26"/>
        </w:rPr>
        <w:t>2</w:t>
      </w:r>
      <w:r w:rsidR="00FD25BA" w:rsidRPr="000C2EE5">
        <w:rPr>
          <w:rFonts w:ascii="Book Antiqua" w:hAnsi="Book Antiqua" w:cs="Times New Roman"/>
          <w:sz w:val="26"/>
          <w:szCs w:val="26"/>
        </w:rPr>
        <w:t>,</w:t>
      </w:r>
      <w:r w:rsidR="00614BAE" w:rsidRPr="000C2EE5">
        <w:rPr>
          <w:rFonts w:ascii="Book Antiqua" w:hAnsi="Book Antiqua" w:cs="Times New Roman"/>
          <w:sz w:val="26"/>
          <w:szCs w:val="26"/>
        </w:rPr>
        <w:t>4</w:t>
      </w:r>
      <w:r w:rsidR="00FD25BA" w:rsidRPr="000C2EE5">
        <w:rPr>
          <w:rFonts w:ascii="Book Antiqua" w:hAnsi="Book Antiqua" w:cs="Times New Roman"/>
          <w:sz w:val="26"/>
          <w:szCs w:val="26"/>
        </w:rPr>
        <w:t xml:space="preserve">% 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parmi les diplômés </w:t>
      </w:r>
      <w:r w:rsidR="009B7BDC" w:rsidRPr="000C2EE5">
        <w:rPr>
          <w:rFonts w:ascii="Book Antiqua" w:hAnsi="Book Antiqua" w:cs="Times New Roman"/>
          <w:sz w:val="26"/>
          <w:szCs w:val="26"/>
        </w:rPr>
        <w:t xml:space="preserve">de 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la </w:t>
      </w:r>
      <w:r w:rsidR="00614BAE" w:rsidRPr="000C2EE5">
        <w:rPr>
          <w:rFonts w:ascii="Book Antiqua" w:hAnsi="Book Antiqua" w:cs="Times New Roman"/>
          <w:sz w:val="26"/>
          <w:szCs w:val="26"/>
        </w:rPr>
        <w:t>spécialisation</w:t>
      </w:r>
      <w:r w:rsidR="009B7BDC" w:rsidRPr="000C2EE5">
        <w:rPr>
          <w:rFonts w:ascii="Book Antiqua" w:hAnsi="Book Antiqua" w:cs="Times New Roman"/>
          <w:sz w:val="26"/>
          <w:szCs w:val="26"/>
        </w:rPr>
        <w:t xml:space="preserve"> professionnelle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, et </w:t>
      </w:r>
      <w:r w:rsidR="00FD25BA" w:rsidRPr="000C2EE5">
        <w:rPr>
          <w:rFonts w:ascii="Book Antiqua" w:hAnsi="Book Antiqua" w:cs="Times New Roman"/>
          <w:sz w:val="26"/>
          <w:szCs w:val="26"/>
        </w:rPr>
        <w:t>de 20</w:t>
      </w:r>
      <w:r w:rsidR="00614BAE" w:rsidRPr="000C2EE5">
        <w:rPr>
          <w:rFonts w:ascii="Book Antiqua" w:hAnsi="Book Antiqua" w:cs="Times New Roman"/>
          <w:sz w:val="26"/>
          <w:szCs w:val="26"/>
        </w:rPr>
        <w:t>,9</w:t>
      </w:r>
      <w:r w:rsidR="00FD25BA" w:rsidRPr="000C2EE5">
        <w:rPr>
          <w:rFonts w:ascii="Book Antiqua" w:hAnsi="Book Antiqua" w:cs="Times New Roman"/>
          <w:sz w:val="26"/>
          <w:szCs w:val="26"/>
        </w:rPr>
        <w:t xml:space="preserve">% parmi les detenteurs d’un diplôme </w:t>
      </w:r>
      <w:r w:rsidR="009B7BDC" w:rsidRPr="000C2EE5">
        <w:rPr>
          <w:rFonts w:ascii="Book Antiqua" w:hAnsi="Book Antiqua" w:cs="Times New Roman"/>
          <w:sz w:val="26"/>
          <w:szCs w:val="26"/>
        </w:rPr>
        <w:t>de niveau supérieur avec</w:t>
      </w:r>
      <w:r w:rsidR="00FD25BA" w:rsidRPr="000C2EE5">
        <w:rPr>
          <w:rFonts w:ascii="Book Antiqua" w:hAnsi="Book Antiqua" w:cs="Times New Roman"/>
          <w:sz w:val="26"/>
          <w:szCs w:val="26"/>
        </w:rPr>
        <w:t xml:space="preserve"> en particulier un taux de </w:t>
      </w:r>
      <w:r w:rsidR="00205B08" w:rsidRPr="000C2EE5">
        <w:rPr>
          <w:rFonts w:ascii="Book Antiqua" w:hAnsi="Book Antiqua" w:cs="Times New Roman"/>
          <w:sz w:val="26"/>
          <w:szCs w:val="26"/>
        </w:rPr>
        <w:t>24,</w:t>
      </w:r>
      <w:r w:rsidR="00614BAE" w:rsidRPr="000C2EE5">
        <w:rPr>
          <w:rFonts w:ascii="Book Antiqua" w:hAnsi="Book Antiqua" w:cs="Times New Roman"/>
          <w:sz w:val="26"/>
          <w:szCs w:val="26"/>
        </w:rPr>
        <w:t>1</w:t>
      </w:r>
      <w:r w:rsidR="00205B08" w:rsidRPr="000C2EE5">
        <w:rPr>
          <w:rFonts w:ascii="Book Antiqua" w:hAnsi="Book Antiqua" w:cs="Times New Roman"/>
          <w:sz w:val="26"/>
          <w:szCs w:val="26"/>
        </w:rPr>
        <w:t>% pour les lauréats d</w:t>
      </w:r>
      <w:r w:rsidR="005A57E6" w:rsidRPr="000C2EE5">
        <w:rPr>
          <w:rFonts w:ascii="Book Antiqua" w:hAnsi="Book Antiqua" w:cs="Times New Roman"/>
          <w:sz w:val="26"/>
          <w:szCs w:val="26"/>
        </w:rPr>
        <w:t>es</w:t>
      </w:r>
      <w:r w:rsidR="00205B08" w:rsidRPr="000C2EE5">
        <w:rPr>
          <w:rFonts w:ascii="Book Antiqua" w:hAnsi="Book Antiqua" w:cs="Times New Roman"/>
          <w:sz w:val="26"/>
          <w:szCs w:val="26"/>
        </w:rPr>
        <w:t xml:space="preserve"> </w:t>
      </w:r>
      <w:r w:rsidR="009B7BDC" w:rsidRPr="000C2EE5">
        <w:rPr>
          <w:rFonts w:ascii="Book Antiqua" w:hAnsi="Book Antiqua" w:cs="Times New Roman"/>
          <w:sz w:val="26"/>
          <w:szCs w:val="26"/>
        </w:rPr>
        <w:t>facult</w:t>
      </w:r>
      <w:r w:rsidR="00205B08" w:rsidRPr="000C2EE5">
        <w:rPr>
          <w:rFonts w:ascii="Book Antiqua" w:hAnsi="Book Antiqua" w:cs="Times New Roman"/>
          <w:sz w:val="26"/>
          <w:szCs w:val="26"/>
        </w:rPr>
        <w:t>é</w:t>
      </w:r>
      <w:r w:rsidR="005A57E6" w:rsidRPr="000C2EE5">
        <w:rPr>
          <w:rFonts w:ascii="Book Antiqua" w:hAnsi="Book Antiqua" w:cs="Times New Roman"/>
          <w:sz w:val="26"/>
          <w:szCs w:val="26"/>
        </w:rPr>
        <w:t>s</w:t>
      </w:r>
      <w:r w:rsidR="009B7BDC" w:rsidRPr="000C2EE5">
        <w:rPr>
          <w:rFonts w:ascii="Book Antiqua" w:hAnsi="Book Antiqua" w:cs="Times New Roman"/>
          <w:sz w:val="26"/>
          <w:szCs w:val="26"/>
        </w:rPr>
        <w:t>.</w:t>
      </w:r>
    </w:p>
    <w:p w:rsidR="00205B08" w:rsidRPr="000C2EE5" w:rsidRDefault="00205B08" w:rsidP="00FD25BA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6158A0" w:rsidRPr="000C2EE5" w:rsidRDefault="00205B08" w:rsidP="00614BA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I</w:t>
      </w:r>
      <w:r w:rsidR="006158A0" w:rsidRPr="000C2EE5">
        <w:rPr>
          <w:rFonts w:ascii="Book Antiqua" w:hAnsi="Book Antiqua" w:cs="Times New Roman"/>
          <w:noProof w:val="0"/>
          <w:sz w:val="26"/>
          <w:szCs w:val="26"/>
        </w:rPr>
        <w:t xml:space="preserve">l est de </w:t>
      </w:r>
      <w:r w:rsidR="007D5A6D" w:rsidRPr="000C2EE5">
        <w:rPr>
          <w:rFonts w:ascii="Book Antiqua" w:hAnsi="Book Antiqua" w:cs="Times New Roman"/>
          <w:noProof w:val="0"/>
          <w:sz w:val="26"/>
          <w:szCs w:val="26"/>
        </w:rPr>
        <w:t>20,</w:t>
      </w:r>
      <w:r w:rsidR="00614BAE" w:rsidRPr="000C2EE5">
        <w:rPr>
          <w:rFonts w:ascii="Book Antiqua" w:hAnsi="Book Antiqua" w:cs="Times New Roman"/>
          <w:noProof w:val="0"/>
          <w:sz w:val="26"/>
          <w:szCs w:val="26"/>
        </w:rPr>
        <w:t>1</w:t>
      </w:r>
      <w:r w:rsidR="007D5A6D" w:rsidRPr="000C2EE5">
        <w:rPr>
          <w:rFonts w:ascii="Book Antiqua" w:hAnsi="Book Antiqua" w:cs="Times New Roman"/>
          <w:noProof w:val="0"/>
          <w:sz w:val="26"/>
          <w:szCs w:val="26"/>
        </w:rPr>
        <w:t>% parmi les jeunes âgés de 15 à 24 et de 3</w:t>
      </w:r>
      <w:r w:rsidR="00614BAE" w:rsidRPr="000C2EE5">
        <w:rPr>
          <w:rFonts w:ascii="Book Antiqua" w:hAnsi="Book Antiqua" w:cs="Times New Roman"/>
          <w:noProof w:val="0"/>
          <w:sz w:val="26"/>
          <w:szCs w:val="26"/>
        </w:rPr>
        <w:t>8</w:t>
      </w:r>
      <w:r w:rsidR="007D5A6D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614BAE" w:rsidRPr="000C2EE5">
        <w:rPr>
          <w:rFonts w:ascii="Book Antiqua" w:hAnsi="Book Antiqua" w:cs="Times New Roman"/>
          <w:noProof w:val="0"/>
          <w:sz w:val="26"/>
          <w:szCs w:val="26"/>
        </w:rPr>
        <w:t>1</w:t>
      </w:r>
      <w:r w:rsidR="007D5A6D" w:rsidRPr="000C2EE5">
        <w:rPr>
          <w:rFonts w:ascii="Book Antiqua" w:hAnsi="Book Antiqua" w:cs="Times New Roman"/>
          <w:noProof w:val="0"/>
          <w:sz w:val="26"/>
          <w:szCs w:val="26"/>
        </w:rPr>
        <w:t>% parmi les citadins d’entre eux, contre 9</w:t>
      </w:r>
      <w:r w:rsidR="006158A0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614BAE" w:rsidRPr="000C2EE5">
        <w:rPr>
          <w:rFonts w:ascii="Book Antiqua" w:hAnsi="Book Antiqua" w:cs="Times New Roman"/>
          <w:noProof w:val="0"/>
          <w:sz w:val="26"/>
          <w:szCs w:val="26"/>
        </w:rPr>
        <w:t>9</w:t>
      </w:r>
      <w:r w:rsidR="006158A0" w:rsidRPr="000C2EE5">
        <w:rPr>
          <w:rFonts w:ascii="Book Antiqua" w:hAnsi="Book Antiqua" w:cs="Times New Roman"/>
          <w:noProof w:val="0"/>
          <w:sz w:val="26"/>
          <w:szCs w:val="26"/>
        </w:rPr>
        <w:t>% pour l</w:t>
      </w:r>
      <w:r w:rsidR="001C477B" w:rsidRPr="000C2EE5">
        <w:rPr>
          <w:rFonts w:ascii="Book Antiqua" w:hAnsi="Book Antiqua" w:cs="Times New Roman"/>
          <w:noProof w:val="0"/>
          <w:sz w:val="26"/>
          <w:szCs w:val="26"/>
        </w:rPr>
        <w:t>’ensemble d</w:t>
      </w:r>
      <w:r w:rsidR="006158A0" w:rsidRPr="000C2EE5">
        <w:rPr>
          <w:rFonts w:ascii="Book Antiqua" w:hAnsi="Book Antiqua" w:cs="Times New Roman"/>
          <w:noProof w:val="0"/>
          <w:sz w:val="26"/>
          <w:szCs w:val="26"/>
        </w:rPr>
        <w:t xml:space="preserve">es personnes âgés </w:t>
      </w:r>
      <w:r w:rsidR="00ED4A11" w:rsidRPr="000C2EE5">
        <w:rPr>
          <w:rFonts w:ascii="Book Antiqua" w:hAnsi="Book Antiqua" w:cs="Times New Roman"/>
          <w:noProof w:val="0"/>
          <w:sz w:val="26"/>
          <w:szCs w:val="26"/>
        </w:rPr>
        <w:t>de 15 ans et plus</w:t>
      </w:r>
      <w:r w:rsidR="006158A0" w:rsidRPr="000C2EE5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Default="009B7BDC" w:rsidP="006158A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0C2EE5" w:rsidRDefault="000C2EE5" w:rsidP="000C2EE5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0C2EE5" w:rsidRDefault="000C2EE5" w:rsidP="000C2EE5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0C2EE5" w:rsidRDefault="000C2EE5" w:rsidP="000C2EE5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0C2EE5" w:rsidRDefault="000C2EE5" w:rsidP="000C2EE5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0C2EE5" w:rsidRDefault="000C2EE5" w:rsidP="000C2EE5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Default="009B7BDC" w:rsidP="00225716">
      <w:pPr>
        <w:autoSpaceDE w:val="0"/>
        <w:autoSpaceDN w:val="0"/>
        <w:bidi w:val="0"/>
        <w:adjustRightInd w:val="0"/>
        <w:ind w:left="36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Taux de chômage </w:t>
      </w:r>
      <w:r w:rsidR="00225716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2014 selon le diplôme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6F3794" w:rsidRDefault="00C238D1" w:rsidP="006F3794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92202" cy="2370076"/>
            <wp:effectExtent l="13319" t="9508" r="6659" b="396"/>
            <wp:docPr id="4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2EE5" w:rsidRPr="000C2EE5" w:rsidRDefault="000C2EE5" w:rsidP="005642F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691ACA" w:rsidRDefault="00B40C98" w:rsidP="000C2EE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Par ailleurs, l’enquête révèle que :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9B7BDC" w:rsidRPr="00691ACA" w:rsidRDefault="008C428E" w:rsidP="00F23529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de huit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chômeurs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 sur dix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 w:rsidR="00F23529">
        <w:rPr>
          <w:rFonts w:ascii="Book Antiqua" w:hAnsi="Book Antiqua" w:cs="Times New Roman"/>
          <w:noProof w:val="0"/>
          <w:sz w:val="24"/>
          <w:szCs w:val="24"/>
        </w:rPr>
        <w:t>80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 w:rsidR="00F23529">
        <w:rPr>
          <w:rFonts w:ascii="Book Antiqua" w:hAnsi="Book Antiqua" w:cs="Times New Roman"/>
          <w:noProof w:val="0"/>
          <w:sz w:val="24"/>
          <w:szCs w:val="24"/>
        </w:rPr>
        <w:t>1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%) sont </w:t>
      </w:r>
      <w:r w:rsidR="005642FA">
        <w:rPr>
          <w:rFonts w:ascii="Book Antiqua" w:hAnsi="Book Antiqua" w:cs="Times New Roman"/>
          <w:noProof w:val="0"/>
          <w:sz w:val="24"/>
          <w:szCs w:val="24"/>
        </w:rPr>
        <w:t xml:space="preserve">des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citadins ;</w:t>
      </w:r>
    </w:p>
    <w:p w:rsidR="009B7BDC" w:rsidRPr="00691ACA" w:rsidRDefault="00F23529" w:rsidP="00307038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des deux tiers 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(6</w:t>
      </w:r>
      <w:r w:rsidR="00307038">
        <w:rPr>
          <w:rFonts w:ascii="Book Antiqua" w:hAnsi="Book Antiqua" w:cs="Times New Roman"/>
          <w:noProof w:val="0"/>
          <w:sz w:val="24"/>
          <w:szCs w:val="24"/>
        </w:rPr>
        <w:t>2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%)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sont âgés de 15 à 29 ans ;</w:t>
      </w:r>
    </w:p>
    <w:p w:rsidR="009B7BDC" w:rsidRPr="00691ACA" w:rsidRDefault="00B43912" w:rsidP="00F23529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plus d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u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qua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>r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t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(2</w:t>
      </w:r>
      <w:r w:rsidR="00F23529">
        <w:rPr>
          <w:rFonts w:ascii="Book Antiqua" w:hAnsi="Book Antiqua" w:cs="Times New Roman"/>
          <w:noProof w:val="0"/>
          <w:sz w:val="24"/>
          <w:szCs w:val="24"/>
        </w:rPr>
        <w:t>7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 w:rsidR="00F23529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%) </w:t>
      </w:r>
      <w:r w:rsidR="00182B14">
        <w:rPr>
          <w:rFonts w:ascii="Book Antiqua" w:hAnsi="Book Antiqua" w:cs="Times New Roman"/>
          <w:noProof w:val="0"/>
          <w:sz w:val="24"/>
          <w:szCs w:val="24"/>
        </w:rPr>
        <w:t xml:space="preserve">détiennent un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diplôm</w:t>
      </w:r>
      <w:r w:rsidR="00182B14">
        <w:rPr>
          <w:rFonts w:ascii="Book Antiqua" w:hAnsi="Book Antiqua" w:cs="Times New Roman"/>
          <w:noProof w:val="0"/>
          <w:sz w:val="24"/>
          <w:szCs w:val="24"/>
        </w:rPr>
        <w:t xml:space="preserve">e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de niveau supérieur ; </w:t>
      </w:r>
    </w:p>
    <w:p w:rsidR="009B7BDC" w:rsidRPr="00691ACA" w:rsidRDefault="009C4E5B" w:rsidP="009C4E5B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de la moitié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>
        <w:rPr>
          <w:rFonts w:ascii="Book Antiqua" w:hAnsi="Book Antiqua" w:cs="Times New Roman"/>
          <w:noProof w:val="0"/>
          <w:sz w:val="24"/>
          <w:szCs w:val="24"/>
        </w:rPr>
        <w:t>45</w:t>
      </w:r>
      <w:r w:rsidR="00B43912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4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%)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sont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primo-demandeur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s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 d’emploi ; </w:t>
      </w:r>
    </w:p>
    <w:p w:rsidR="009B7BDC" w:rsidRDefault="009B7BDC" w:rsidP="009C4E5B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>
        <w:rPr>
          <w:rFonts w:ascii="Book Antiqua" w:hAnsi="Book Antiqua" w:cs="Times New Roman"/>
          <w:noProof w:val="0"/>
          <w:sz w:val="24"/>
          <w:szCs w:val="24"/>
        </w:rPr>
        <w:t>de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 xml:space="preserve"> six </w:t>
      </w:r>
      <w:r w:rsidR="009C4E5B" w:rsidRPr="00691ACA">
        <w:rPr>
          <w:rFonts w:ascii="Book Antiqua" w:hAnsi="Book Antiqua" w:cs="Times New Roman"/>
          <w:noProof w:val="0"/>
          <w:sz w:val="24"/>
          <w:szCs w:val="24"/>
        </w:rPr>
        <w:t>chôme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 xml:space="preserve">urs sur dix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>59</w:t>
      </w:r>
      <w:r w:rsidR="00B43912">
        <w:rPr>
          <w:rFonts w:ascii="Book Antiqua" w:hAnsi="Book Antiqua" w:cs="Times New Roman"/>
          <w:noProof w:val="0"/>
          <w:sz w:val="24"/>
          <w:szCs w:val="24"/>
        </w:rPr>
        <w:t>,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>2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%) chôment depuis plus d’une année</w:t>
      </w:r>
      <w:r>
        <w:rPr>
          <w:rFonts w:ascii="Book Antiqua" w:hAnsi="Book Antiqua" w:cs="Times New Roman"/>
          <w:noProof w:val="0"/>
          <w:sz w:val="24"/>
          <w:szCs w:val="24"/>
        </w:rPr>
        <w:t> ;</w:t>
      </w:r>
    </w:p>
    <w:p w:rsidR="009B7BDC" w:rsidRPr="00691ACA" w:rsidRDefault="009B7BDC" w:rsidP="009C4E5B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et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de trois </w:t>
      </w:r>
      <w:r w:rsidR="00672098" w:rsidRPr="00691ACA">
        <w:rPr>
          <w:rFonts w:ascii="Book Antiqua" w:hAnsi="Book Antiqua" w:cs="Times New Roman"/>
          <w:noProof w:val="0"/>
          <w:sz w:val="24"/>
          <w:szCs w:val="24"/>
        </w:rPr>
        <w:t xml:space="preserve">sur 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dix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(2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>9</w:t>
      </w:r>
      <w:r>
        <w:rPr>
          <w:rFonts w:ascii="Book Antiqua" w:hAnsi="Book Antiqua" w:cs="Times New Roman"/>
          <w:noProof w:val="0"/>
          <w:sz w:val="24"/>
          <w:szCs w:val="24"/>
        </w:rPr>
        <w:t>,</w:t>
      </w:r>
      <w:r w:rsidR="009C4E5B">
        <w:rPr>
          <w:rFonts w:ascii="Book Antiqua" w:hAnsi="Book Antiqua" w:cs="Times New Roman"/>
          <w:noProof w:val="0"/>
          <w:sz w:val="24"/>
          <w:szCs w:val="24"/>
        </w:rPr>
        <w:t>2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%) se sont retrouvés au chômage suite au 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 xml:space="preserve">licenciement ou </w:t>
      </w:r>
      <w:r>
        <w:rPr>
          <w:rFonts w:ascii="Book Antiqua" w:hAnsi="Book Antiqua" w:cs="Times New Roman"/>
          <w:noProof w:val="0"/>
          <w:sz w:val="24"/>
          <w:szCs w:val="24"/>
        </w:rPr>
        <w:t>à l’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arrêt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de l’activité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l’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établissement employeur.</w:t>
      </w:r>
      <w:r w:rsidRPr="002A19AD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321164" w:rsidRPr="000C2EE5" w:rsidRDefault="00321164" w:rsidP="0032116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6"/>
          <w:szCs w:val="16"/>
        </w:rPr>
      </w:pPr>
    </w:p>
    <w:p w:rsidR="009B7BDC" w:rsidRPr="000C2EE5" w:rsidRDefault="009B7BDC" w:rsidP="00321164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</w:pPr>
      <w:r w:rsidRPr="000C2EE5">
        <w:rPr>
          <w:rFonts w:ascii="Book Antiqua" w:hAnsi="Book Antiqua" w:cs="Times New Roman"/>
          <w:b/>
          <w:bCs/>
          <w:noProof w:val="0"/>
          <w:color w:val="548DD4"/>
          <w:sz w:val="32"/>
          <w:szCs w:val="32"/>
        </w:rPr>
        <w:t>Situation et évolution du sous emploi</w:t>
      </w:r>
    </w:p>
    <w:p w:rsidR="000C2EE5" w:rsidRPr="000C2EE5" w:rsidRDefault="000C2EE5" w:rsidP="004A59B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0C2EE5" w:rsidRDefault="00105F5B" w:rsidP="000C2EE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e volume des actifs occupés en situation de sous emploi a augmenté, entre les deux périodes, de 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978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.000 à 1.1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00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.000 personnes (de 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530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.000 à 5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89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.000 personnes dans les villes et de 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448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511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.000 dans les campagnes)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. L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e taux de sous emploi est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passé de </w:t>
      </w:r>
      <w:r w:rsidR="0024749E" w:rsidRPr="000C2EE5">
        <w:rPr>
          <w:rFonts w:ascii="Book Antiqua" w:hAnsi="Book Antiqua" w:cs="Times New Roman"/>
          <w:noProof w:val="0"/>
          <w:sz w:val="26"/>
          <w:szCs w:val="26"/>
        </w:rPr>
        <w:t>9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 à 10,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</w:t>
      </w:r>
      <w:r w:rsidR="00572956" w:rsidRPr="000C2EE5">
        <w:rPr>
          <w:rFonts w:ascii="Book Antiqua" w:hAnsi="Book Antiqua" w:cs="Times New Roman"/>
          <w:noProof w:val="0"/>
          <w:sz w:val="26"/>
          <w:szCs w:val="26"/>
        </w:rPr>
        <w:t xml:space="preserve"> au niveau national,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24749E" w:rsidRPr="000C2EE5">
        <w:rPr>
          <w:rFonts w:ascii="Book Antiqua" w:hAnsi="Book Antiqua" w:cs="Times New Roman"/>
          <w:noProof w:val="0"/>
          <w:sz w:val="26"/>
          <w:szCs w:val="26"/>
        </w:rPr>
        <w:t>8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 à 9,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 xml:space="preserve">% dans les villes et de </w:t>
      </w:r>
      <w:r w:rsidR="0024749E" w:rsidRPr="000C2EE5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 à 11,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0C2EE5">
        <w:rPr>
          <w:rFonts w:ascii="Book Antiqua" w:hAnsi="Book Antiqua" w:cs="Times New Roman"/>
          <w:noProof w:val="0"/>
          <w:sz w:val="26"/>
          <w:szCs w:val="26"/>
        </w:rPr>
        <w:t>% dans les campagnes.</w:t>
      </w:r>
    </w:p>
    <w:p w:rsidR="004F377E" w:rsidRPr="000C2EE5" w:rsidRDefault="004F377E" w:rsidP="00E0269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6"/>
          <w:szCs w:val="16"/>
        </w:rPr>
      </w:pPr>
    </w:p>
    <w:p w:rsidR="009B7BDC" w:rsidRPr="000C2EE5" w:rsidRDefault="009B7BDC" w:rsidP="005729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5 : Evolution du taux de sous-emploi par milieu de résidence (en %).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</w:p>
    <w:p w:rsidR="009B7BDC" w:rsidRDefault="00C238D1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drawing>
          <wp:inline distT="0" distB="0" distL="0" distR="0">
            <wp:extent cx="5498771" cy="1796011"/>
            <wp:effectExtent l="5612" t="4054" r="6782" b="3970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BDC" w:rsidRPr="000C2EE5" w:rsidRDefault="009B7BDC" w:rsidP="006628EA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lastRenderedPageBreak/>
        <w:t>Selon le secteur d’activité économique, les personnes exerçant dans les BTP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un taux de sous-emploi de 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>17%</w:t>
      </w:r>
      <w:r w:rsidR="001B2C86" w:rsidRPr="000C2EE5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sont les plus touchées par 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>c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872CCC" w:rsidRPr="000C2EE5">
        <w:rPr>
          <w:rFonts w:ascii="Book Antiqua" w:hAnsi="Book Antiqua" w:cs="Times New Roman"/>
          <w:noProof w:val="0"/>
          <w:sz w:val="26"/>
          <w:szCs w:val="26"/>
        </w:rPr>
        <w:t>phénomène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 au niveau national</w:t>
      </w:r>
      <w:r w:rsidR="00321164" w:rsidRPr="000C2EE5">
        <w:rPr>
          <w:rFonts w:ascii="Book Antiqua" w:hAnsi="Book Antiqua" w:cs="Times New Roman"/>
          <w:noProof w:val="0"/>
          <w:sz w:val="26"/>
          <w:szCs w:val="26"/>
        </w:rPr>
        <w:t> ;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un constat relevé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aussi bien en milieu urbain qu’en milieu rural</w:t>
      </w:r>
      <w:r w:rsidR="00CF0D64" w:rsidRPr="000C2EE5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>L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e</w:t>
      </w:r>
      <w:r w:rsidR="006628EA">
        <w:rPr>
          <w:rFonts w:ascii="Book Antiqua" w:hAnsi="Book Antiqua" w:cs="Times New Roman"/>
          <w:noProof w:val="0"/>
          <w:sz w:val="26"/>
          <w:szCs w:val="26"/>
        </w:rPr>
        <w:t>s personnes exerçant dans le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 secteur de l’"agriculture, forêt et pêche"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 vien</w:t>
      </w:r>
      <w:r w:rsidR="006628EA">
        <w:rPr>
          <w:rFonts w:ascii="Book Antiqua" w:hAnsi="Book Antiqua" w:cs="Times New Roman"/>
          <w:noProof w:val="0"/>
          <w:sz w:val="26"/>
          <w:szCs w:val="26"/>
        </w:rPr>
        <w:t>nent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 en deuxième </w:t>
      </w:r>
      <w:r w:rsidR="006628EA">
        <w:rPr>
          <w:rFonts w:ascii="Book Antiqua" w:hAnsi="Book Antiqua" w:cs="Times New Roman"/>
          <w:noProof w:val="0"/>
          <w:sz w:val="26"/>
          <w:szCs w:val="26"/>
        </w:rPr>
        <w:t xml:space="preserve">position </w:t>
      </w:r>
      <w:r w:rsidR="004A59B6" w:rsidRPr="000C2EE5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1</w:t>
      </w:r>
      <w:r w:rsidR="008D455D" w:rsidRPr="000C2EE5">
        <w:rPr>
          <w:rFonts w:ascii="Book Antiqua" w:hAnsi="Book Antiqua" w:cs="Times New Roman"/>
          <w:noProof w:val="0"/>
          <w:sz w:val="26"/>
          <w:szCs w:val="26"/>
        </w:rPr>
        <w:t>0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>,</w:t>
      </w:r>
      <w:r w:rsidR="00311A35" w:rsidRPr="000C2EE5">
        <w:rPr>
          <w:rFonts w:ascii="Book Antiqua" w:hAnsi="Book Antiqua" w:cs="Times New Roman"/>
          <w:noProof w:val="0"/>
          <w:sz w:val="26"/>
          <w:szCs w:val="26"/>
        </w:rPr>
        <w:t>3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%.  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6"/>
          <w:szCs w:val="26"/>
        </w:rPr>
      </w:pPr>
    </w:p>
    <w:p w:rsidR="009B7BDC" w:rsidRPr="000C2EE5" w:rsidRDefault="009B7BDC" w:rsidP="0038586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Figure 6 : Evolution du taux de sous-emploi par secteur d’activité économique (en%)</w:t>
      </w:r>
    </w:p>
    <w:p w:rsidR="009B7BDC" w:rsidRPr="00A1104E" w:rsidRDefault="009B7BDC" w:rsidP="009B7BDC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8"/>
          <w:szCs w:val="8"/>
        </w:rPr>
      </w:pPr>
    </w:p>
    <w:p w:rsidR="009B7BDC" w:rsidRDefault="00C238D1" w:rsidP="009B7BDC">
      <w:pPr>
        <w:jc w:val="center"/>
        <w:rPr>
          <w:rFonts w:ascii="Garamond" w:hAnsi="Garamond" w:cs="Times New Roman"/>
          <w:b/>
          <w:bCs/>
          <w:color w:val="0070C0"/>
          <w:sz w:val="26"/>
          <w:szCs w:val="26"/>
        </w:rPr>
      </w:pPr>
      <w:r>
        <w:rPr>
          <w:rFonts w:ascii="Garamond" w:hAnsi="Garamond" w:cs="Times New Roman"/>
          <w:b/>
          <w:bCs/>
          <w:color w:val="0070C0"/>
          <w:sz w:val="26"/>
          <w:szCs w:val="26"/>
        </w:rPr>
        <w:drawing>
          <wp:inline distT="0" distB="0" distL="0" distR="0">
            <wp:extent cx="5301519" cy="2084843"/>
            <wp:effectExtent l="13392" t="4629" r="8929" b="2218"/>
            <wp:docPr id="6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32D4" w:rsidRDefault="000D32D4" w:rsidP="009B7BDC">
      <w:pPr>
        <w:pStyle w:val="Titre1"/>
        <w:spacing w:after="0"/>
        <w:jc w:val="center"/>
        <w:rPr>
          <w:rFonts w:ascii="Book Antiqua" w:hAnsi="Book Antiqua" w:cs="Times New Roman"/>
          <w:color w:val="0070C0"/>
          <w:sz w:val="24"/>
          <w:szCs w:val="24"/>
        </w:rPr>
      </w:pPr>
    </w:p>
    <w:p w:rsidR="000D32D4" w:rsidRDefault="000D32D4" w:rsidP="000D32D4"/>
    <w:p w:rsidR="0038586F" w:rsidRPr="00CA7892" w:rsidRDefault="0038586F" w:rsidP="00AC552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CA7892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Rappel des chiffres trimestriels de l’année 2014</w:t>
      </w:r>
      <w:r w:rsidR="00BE3244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relatifs au chômage</w:t>
      </w:r>
    </w:p>
    <w:p w:rsidR="0038586F" w:rsidRDefault="0038586F" w:rsidP="0038586F">
      <w:pPr>
        <w:jc w:val="right"/>
        <w:rPr>
          <w:rFonts w:ascii="Garamond" w:hAnsi="Garamond" w:cs="Times New Roman"/>
          <w:b/>
          <w:bCs/>
          <w:noProof w:val="0"/>
          <w:color w:val="0070C0"/>
          <w:sz w:val="26"/>
          <w:szCs w:val="26"/>
        </w:rPr>
      </w:pPr>
    </w:p>
    <w:p w:rsidR="0038586F" w:rsidRPr="000C2EE5" w:rsidRDefault="0038586F" w:rsidP="0038586F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L’évolution trimestrielle du taux de chômage au cours de l’année 2014, en comparaison avec 2013, est récapitulée dans le tableau ci-après.</w:t>
      </w:r>
    </w:p>
    <w:p w:rsidR="0038586F" w:rsidRPr="000C2EE5" w:rsidRDefault="0038586F" w:rsidP="0038586F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26"/>
          <w:szCs w:val="26"/>
        </w:rPr>
      </w:pPr>
    </w:p>
    <w:p w:rsidR="0038586F" w:rsidRPr="000C2EE5" w:rsidRDefault="0038586F" w:rsidP="0038586F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color w:val="0070C0"/>
          <w:sz w:val="26"/>
          <w:szCs w:val="26"/>
        </w:rPr>
      </w:pPr>
      <w:r w:rsidRPr="000C2EE5">
        <w:rPr>
          <w:rFonts w:ascii="Book Antiqua" w:hAnsi="Book Antiqua" w:cs="Times New Roman"/>
          <w:noProof w:val="0"/>
          <w:sz w:val="26"/>
          <w:szCs w:val="26"/>
        </w:rPr>
        <w:t>Les informations détaillées relatives à chaque trimestre de l’année 2014, ainsi que les définitions des concepts utilisés peuvent être consultées sur le site internet du HCP (</w:t>
      </w:r>
      <w:r w:rsidRPr="000C2EE5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www.hcp.ma).</w:t>
      </w:r>
    </w:p>
    <w:p w:rsidR="0038586F" w:rsidRDefault="0038586F" w:rsidP="0038586F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6"/>
          <w:szCs w:val="26"/>
        </w:rPr>
      </w:pPr>
    </w:p>
    <w:p w:rsidR="0038586F" w:rsidRPr="000C2EE5" w:rsidRDefault="0038586F" w:rsidP="0038586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0C2EE5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>Evolution trimestrielle du taux de chômage (en%)</w:t>
      </w:r>
    </w:p>
    <w:p w:rsidR="0038586F" w:rsidRPr="00311A35" w:rsidRDefault="0038586F" w:rsidP="0038586F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noProof w:val="0"/>
          <w:color w:val="0070C0"/>
          <w:sz w:val="8"/>
          <w:szCs w:val="8"/>
        </w:rPr>
      </w:pPr>
    </w:p>
    <w:tbl>
      <w:tblPr>
        <w:tblW w:w="966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1771"/>
        <w:gridCol w:w="1323"/>
        <w:gridCol w:w="1323"/>
        <w:gridCol w:w="1323"/>
        <w:gridCol w:w="1306"/>
        <w:gridCol w:w="1307"/>
        <w:gridCol w:w="1307"/>
      </w:tblGrid>
      <w:tr w:rsidR="0038586F" w:rsidRPr="000C2EE5" w:rsidTr="00D06F37">
        <w:trPr>
          <w:cantSplit/>
          <w:trHeight w:val="333"/>
        </w:trPr>
        <w:tc>
          <w:tcPr>
            <w:tcW w:w="17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2 013</w:t>
            </w:r>
          </w:p>
        </w:tc>
        <w:tc>
          <w:tcPr>
            <w:tcW w:w="39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2 014</w:t>
            </w:r>
          </w:p>
        </w:tc>
      </w:tr>
      <w:tr w:rsidR="0038586F" w:rsidRPr="000C2EE5" w:rsidTr="00D06F37">
        <w:trPr>
          <w:cantSplit/>
          <w:trHeight w:val="270"/>
        </w:trPr>
        <w:tc>
          <w:tcPr>
            <w:tcW w:w="1771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Urbain</w:t>
            </w:r>
          </w:p>
        </w:tc>
        <w:tc>
          <w:tcPr>
            <w:tcW w:w="1323" w:type="dxa"/>
            <w:tcBorders>
              <w:left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Rural</w:t>
            </w:r>
          </w:p>
        </w:tc>
        <w:tc>
          <w:tcPr>
            <w:tcW w:w="1323" w:type="dxa"/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National</w:t>
            </w:r>
          </w:p>
        </w:tc>
        <w:tc>
          <w:tcPr>
            <w:tcW w:w="1306" w:type="dxa"/>
            <w:tcBorders>
              <w:left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Urbain</w:t>
            </w:r>
          </w:p>
        </w:tc>
        <w:tc>
          <w:tcPr>
            <w:tcW w:w="1307" w:type="dxa"/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Rural</w:t>
            </w:r>
          </w:p>
        </w:tc>
        <w:tc>
          <w:tcPr>
            <w:tcW w:w="1307" w:type="dxa"/>
            <w:tcBorders>
              <w:left w:val="single" w:sz="8" w:space="0" w:color="4BACC6"/>
              <w:right w:val="single" w:sz="8" w:space="0" w:color="4BACC6"/>
            </w:tcBorders>
          </w:tcPr>
          <w:p w:rsidR="0038586F" w:rsidRPr="000C2EE5" w:rsidRDefault="0038586F" w:rsidP="00D06F37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National</w:t>
            </w:r>
          </w:p>
        </w:tc>
      </w:tr>
      <w:tr w:rsidR="00E93822" w:rsidRPr="000C2EE5" w:rsidTr="004834B6">
        <w:trPr>
          <w:trHeight w:val="360"/>
        </w:trPr>
        <w:tc>
          <w:tcPr>
            <w:tcW w:w="17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1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er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 xml:space="preserve">    trimestre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13,7</w:t>
            </w:r>
          </w:p>
        </w:tc>
        <w:tc>
          <w:tcPr>
            <w:tcW w:w="1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4,4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9,4</w:t>
            </w:r>
          </w:p>
        </w:tc>
        <w:tc>
          <w:tcPr>
            <w:tcW w:w="13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14,6</w:t>
            </w:r>
          </w:p>
        </w:tc>
        <w:tc>
          <w:tcPr>
            <w:tcW w:w="130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5,1</w:t>
            </w:r>
          </w:p>
        </w:tc>
        <w:tc>
          <w:tcPr>
            <w:tcW w:w="13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93822" w:rsidRPr="000C2EE5" w:rsidRDefault="00E93822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10,2</w:t>
            </w:r>
          </w:p>
        </w:tc>
      </w:tr>
      <w:tr w:rsidR="00B764BF" w:rsidRPr="000C2EE5" w:rsidTr="004834B6">
        <w:trPr>
          <w:trHeight w:val="360"/>
        </w:trPr>
        <w:tc>
          <w:tcPr>
            <w:tcW w:w="177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2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ème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 xml:space="preserve"> trimestre</w:t>
            </w:r>
          </w:p>
        </w:tc>
        <w:tc>
          <w:tcPr>
            <w:tcW w:w="1323" w:type="dxa"/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13,8</w:t>
            </w:r>
          </w:p>
        </w:tc>
        <w:tc>
          <w:tcPr>
            <w:tcW w:w="1323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3,2</w:t>
            </w:r>
          </w:p>
        </w:tc>
        <w:tc>
          <w:tcPr>
            <w:tcW w:w="1323" w:type="dxa"/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8,8</w:t>
            </w:r>
          </w:p>
        </w:tc>
        <w:tc>
          <w:tcPr>
            <w:tcW w:w="1306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14,2</w:t>
            </w:r>
          </w:p>
        </w:tc>
        <w:tc>
          <w:tcPr>
            <w:tcW w:w="1307" w:type="dxa"/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3,6</w:t>
            </w:r>
          </w:p>
        </w:tc>
        <w:tc>
          <w:tcPr>
            <w:tcW w:w="1307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9,3</w:t>
            </w:r>
          </w:p>
        </w:tc>
      </w:tr>
      <w:tr w:rsidR="00B764BF" w:rsidRPr="000C2EE5" w:rsidTr="004834B6">
        <w:trPr>
          <w:trHeight w:val="360"/>
        </w:trPr>
        <w:tc>
          <w:tcPr>
            <w:tcW w:w="17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3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ème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 xml:space="preserve"> trimestre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14,0</w:t>
            </w:r>
          </w:p>
        </w:tc>
        <w:tc>
          <w:tcPr>
            <w:tcW w:w="1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3,7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9,1</w:t>
            </w:r>
          </w:p>
        </w:tc>
        <w:tc>
          <w:tcPr>
            <w:tcW w:w="13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14,5</w:t>
            </w:r>
          </w:p>
        </w:tc>
        <w:tc>
          <w:tcPr>
            <w:tcW w:w="130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4,1</w:t>
            </w:r>
          </w:p>
        </w:tc>
        <w:tc>
          <w:tcPr>
            <w:tcW w:w="13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764BF" w:rsidRPr="000C2EE5" w:rsidRDefault="00B764BF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9,6</w:t>
            </w:r>
          </w:p>
        </w:tc>
      </w:tr>
      <w:tr w:rsidR="004834B6" w:rsidRPr="000C2EE5" w:rsidTr="004834B6">
        <w:trPr>
          <w:trHeight w:val="360"/>
        </w:trPr>
        <w:tc>
          <w:tcPr>
            <w:tcW w:w="177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4834B6" w:rsidRPr="000C2EE5" w:rsidRDefault="004834B6" w:rsidP="004834B6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4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ème</w:t>
            </w: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 xml:space="preserve"> trimestre</w:t>
            </w:r>
          </w:p>
        </w:tc>
        <w:tc>
          <w:tcPr>
            <w:tcW w:w="1323" w:type="dxa"/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14,4</w:t>
            </w:r>
          </w:p>
        </w:tc>
        <w:tc>
          <w:tcPr>
            <w:tcW w:w="1323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4,0</w:t>
            </w:r>
          </w:p>
        </w:tc>
        <w:tc>
          <w:tcPr>
            <w:tcW w:w="1323" w:type="dxa"/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9,5</w:t>
            </w:r>
          </w:p>
        </w:tc>
        <w:tc>
          <w:tcPr>
            <w:tcW w:w="1306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14,8</w:t>
            </w:r>
          </w:p>
        </w:tc>
        <w:tc>
          <w:tcPr>
            <w:tcW w:w="1307" w:type="dxa"/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4,0</w:t>
            </w:r>
          </w:p>
        </w:tc>
        <w:tc>
          <w:tcPr>
            <w:tcW w:w="1307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4834B6" w:rsidRPr="000C2EE5" w:rsidRDefault="004834B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  <w:rtl/>
              </w:rPr>
              <w:t>9,7</w:t>
            </w:r>
          </w:p>
        </w:tc>
      </w:tr>
      <w:tr w:rsidR="007936D6" w:rsidRPr="000C2EE5" w:rsidTr="004834B6">
        <w:trPr>
          <w:trHeight w:val="345"/>
        </w:trPr>
        <w:tc>
          <w:tcPr>
            <w:tcW w:w="17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bidi w:val="0"/>
              <w:jc w:val="center"/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Année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14,0</w:t>
            </w:r>
          </w:p>
        </w:tc>
        <w:tc>
          <w:tcPr>
            <w:tcW w:w="1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3,8</w:t>
            </w:r>
          </w:p>
        </w:tc>
        <w:tc>
          <w:tcPr>
            <w:tcW w:w="132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9,2</w:t>
            </w:r>
          </w:p>
        </w:tc>
        <w:tc>
          <w:tcPr>
            <w:tcW w:w="13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14,8</w:t>
            </w:r>
          </w:p>
        </w:tc>
        <w:tc>
          <w:tcPr>
            <w:tcW w:w="130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4,2</w:t>
            </w:r>
          </w:p>
        </w:tc>
        <w:tc>
          <w:tcPr>
            <w:tcW w:w="13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936D6" w:rsidRPr="000C2EE5" w:rsidRDefault="007936D6" w:rsidP="004834B6">
            <w:pPr>
              <w:jc w:val="center"/>
              <w:rPr>
                <w:rFonts w:ascii="Book Antiqua" w:hAnsi="Book Antiqua" w:cs="Times New Roman"/>
                <w:noProof w:val="0"/>
                <w:sz w:val="24"/>
                <w:szCs w:val="24"/>
              </w:rPr>
            </w:pPr>
            <w:r w:rsidRPr="000C2EE5">
              <w:rPr>
                <w:rFonts w:ascii="Book Antiqua" w:hAnsi="Book Antiqua" w:cs="Times New Roman"/>
                <w:noProof w:val="0"/>
                <w:sz w:val="24"/>
                <w:szCs w:val="24"/>
              </w:rPr>
              <w:t>9,9</w:t>
            </w:r>
          </w:p>
        </w:tc>
      </w:tr>
    </w:tbl>
    <w:p w:rsidR="004F377E" w:rsidRDefault="004F377E" w:rsidP="000D32D4"/>
    <w:p w:rsidR="004F377E" w:rsidRDefault="004F377E" w:rsidP="000D32D4"/>
    <w:p w:rsidR="004F377E" w:rsidRDefault="004F377E" w:rsidP="000D32D4"/>
    <w:p w:rsidR="0038586F" w:rsidRDefault="0038586F" w:rsidP="000D32D4"/>
    <w:p w:rsidR="0038586F" w:rsidRDefault="0038586F" w:rsidP="000D32D4"/>
    <w:p w:rsidR="0038586F" w:rsidRDefault="0038586F" w:rsidP="000D32D4"/>
    <w:p w:rsidR="0038586F" w:rsidRDefault="0038586F" w:rsidP="000D32D4"/>
    <w:p w:rsidR="009B7BDC" w:rsidRPr="00100104" w:rsidRDefault="009B7BDC" w:rsidP="00EA124A">
      <w:pPr>
        <w:pStyle w:val="Titre1"/>
        <w:spacing w:after="0"/>
        <w:jc w:val="center"/>
        <w:rPr>
          <w:rFonts w:ascii="Book Antiqua" w:hAnsi="Book Antiqua"/>
          <w:sz w:val="25"/>
          <w:szCs w:val="25"/>
        </w:rPr>
      </w:pPr>
      <w:r w:rsidRPr="00100104">
        <w:rPr>
          <w:rFonts w:ascii="Book Antiqua" w:hAnsi="Book Antiqua" w:cs="Times New Roman"/>
          <w:color w:val="0070C0"/>
          <w:sz w:val="25"/>
          <w:szCs w:val="25"/>
        </w:rPr>
        <w:lastRenderedPageBreak/>
        <w:t xml:space="preserve">Indicateurs </w:t>
      </w:r>
      <w:r w:rsidR="00EA124A" w:rsidRPr="00100104">
        <w:rPr>
          <w:rFonts w:ascii="Book Antiqua" w:hAnsi="Book Antiqua" w:cs="Times New Roman"/>
          <w:color w:val="0070C0"/>
          <w:sz w:val="25"/>
          <w:szCs w:val="25"/>
        </w:rPr>
        <w:t>annuels</w:t>
      </w:r>
      <w:r w:rsidRPr="00100104">
        <w:rPr>
          <w:rFonts w:ascii="Book Antiqua" w:hAnsi="Book Antiqua" w:cs="Times New Roman"/>
          <w:color w:val="0070C0"/>
          <w:sz w:val="25"/>
          <w:szCs w:val="25"/>
        </w:rPr>
        <w:t xml:space="preserve"> d'activité, d’emploi et de chômage par milieu de résidence </w:t>
      </w:r>
      <w:r w:rsidRPr="00100104">
        <w:rPr>
          <w:rFonts w:ascii="Book Antiqua" w:hAnsi="Book Antiqua" w:cs="Times New Roman"/>
          <w:color w:val="0070C0"/>
          <w:sz w:val="25"/>
          <w:szCs w:val="25"/>
          <w:vertAlign w:val="superscript"/>
        </w:rPr>
        <w:t>(1)</w:t>
      </w:r>
    </w:p>
    <w:p w:rsidR="009B7BDC" w:rsidRPr="00BE751A" w:rsidRDefault="009B7BDC" w:rsidP="009B7BDC">
      <w:pPr>
        <w:pStyle w:val="Corpsdetexte2"/>
        <w:jc w:val="both"/>
        <w:rPr>
          <w:rFonts w:ascii="Book Antiqua" w:hAnsi="Book Antiqua" w:cs="Times New Roman"/>
          <w:sz w:val="20"/>
        </w:rPr>
      </w:pPr>
      <w:r w:rsidRPr="00754D0C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</w:t>
      </w:r>
      <w:r w:rsidRPr="00BE751A">
        <w:rPr>
          <w:rFonts w:ascii="Book Antiqua" w:hAnsi="Book Antiqua" w:cs="Times New Roman"/>
          <w:sz w:val="20"/>
        </w:rPr>
        <w:t xml:space="preserve">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EA124A" w:rsidTr="00D06F37">
        <w:trPr>
          <w:cantSplit/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Année 2013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Année 2014</w:t>
            </w:r>
          </w:p>
        </w:tc>
      </w:tr>
      <w:tr w:rsidR="00EA124A" w:rsidTr="00D06F37">
        <w:trPr>
          <w:cantSplit/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Ensemble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</w:t>
            </w:r>
            <w:r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</w:tr>
      <w:tr w:rsidR="0038586F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6F" w:rsidRDefault="0038586F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  <w:r>
              <w:rPr>
                <w:rFonts w:ascii="Garamond" w:hAnsi="Garamond" w:cs="Times New Roman"/>
                <w:b/>
                <w:spacing w:val="-2"/>
                <w:vertAlign w:val="superscript"/>
              </w:rPr>
              <w:t>2</w:t>
            </w:r>
            <w:r>
              <w:rPr>
                <w:rFonts w:ascii="Garamond" w:hAnsi="Garamond" w:cs="Times New Roman"/>
                <w:b/>
                <w:spacing w:val="-2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6F" w:rsidRPr="00E875E0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E875E0"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  <w:t>14672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6F" w:rsidRPr="00E875E0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E875E0"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  <w:t>9558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6F" w:rsidRPr="00E875E0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E875E0"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  <w:t>24230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948A54"/>
                <w:sz w:val="22"/>
                <w:szCs w:val="22"/>
                <w:rtl/>
              </w:rPr>
              <w:t>14968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948A54"/>
                <w:sz w:val="22"/>
                <w:szCs w:val="22"/>
                <w:rtl/>
              </w:rPr>
              <w:t>9633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948A54"/>
                <w:sz w:val="22"/>
                <w:szCs w:val="22"/>
                <w:rtl/>
              </w:rPr>
              <w:t>24601</w:t>
            </w:r>
          </w:p>
        </w:tc>
      </w:tr>
      <w:tr w:rsidR="0038586F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6F" w:rsidRDefault="0038586F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86F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86F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5488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86F" w:rsidRDefault="0038586F" w:rsidP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11706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000000"/>
                <w:sz w:val="22"/>
                <w:szCs w:val="22"/>
                <w:rtl/>
              </w:rPr>
              <w:t>6307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000000"/>
                <w:sz w:val="22"/>
                <w:szCs w:val="22"/>
                <w:rtl/>
              </w:rPr>
              <w:t>5506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8586F" w:rsidRPr="0038586F" w:rsidRDefault="0038586F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cs="Times New Roman" w:hint="cs"/>
                <w:b/>
                <w:bCs/>
                <w:color w:val="000000"/>
                <w:sz w:val="22"/>
                <w:szCs w:val="22"/>
                <w:rtl/>
              </w:rPr>
              <w:t>11813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- Taux de féminisation de la population</w:t>
            </w:r>
          </w:p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active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27,2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48,3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48,0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79,3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72,4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25,2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15 - 24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32,2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65,3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61,2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60,5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44,4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44,0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48,9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59,4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48,3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4F3321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47,6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1800F6" w:rsidP="00E15220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EA124A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E15220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E15220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5 27</w:t>
            </w:r>
            <w:r w:rsidR="00E15220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  <w:t>10 625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5273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10646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54,7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43,3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Part de l’emploi  rémunéré dans </w:t>
            </w:r>
          </w:p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l’emploi total. Dont 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77,9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77,5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58,0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42,0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pStyle w:val="Paragraphedeliste2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20" w:after="20"/>
              <w:ind w:left="0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b/>
                <w:bCs/>
                <w:color w:val="000000"/>
              </w:rPr>
            </w:pPr>
            <w:r w:rsidRPr="00A97FAD">
              <w:rPr>
                <w:b/>
                <w:bCs/>
                <w:color w:val="000000"/>
                <w:rtl/>
              </w:rPr>
              <w:t>448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b/>
                <w:bCs/>
                <w:color w:val="000000"/>
              </w:rPr>
            </w:pPr>
            <w:r w:rsidRPr="00A97FAD">
              <w:rPr>
                <w:b/>
                <w:bCs/>
                <w:color w:val="000000"/>
              </w:rPr>
              <w:t>530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b/>
                <w:bCs/>
                <w:color w:val="000000"/>
              </w:rPr>
            </w:pPr>
            <w:r w:rsidRPr="00A97FAD">
              <w:rPr>
                <w:b/>
                <w:bCs/>
                <w:color w:val="000000"/>
                <w:rtl/>
              </w:rPr>
              <w:t>978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1100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10,3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871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210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2"/>
                <w:szCs w:val="22"/>
                <w:rtl/>
              </w:rPr>
              <w:t>1081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8F428D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1167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27,8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28,6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9,9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9,7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10,4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20,1</w:t>
            </w:r>
          </w:p>
        </w:tc>
      </w:tr>
      <w:tr w:rsidR="00EA124A" w:rsidTr="00D06F37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13,9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6,1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3,0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2,7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4,7</w:t>
            </w:r>
          </w:p>
        </w:tc>
      </w:tr>
      <w:tr w:rsidR="00EA124A" w:rsidTr="00D06F3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4A" w:rsidRDefault="00EA124A" w:rsidP="00D06F3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</w:rPr>
            </w:pPr>
            <w:r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16,3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4A" w:rsidRPr="00A97FAD" w:rsidRDefault="00EA124A" w:rsidP="00D06F37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 w:cs="Times New Roman"/>
                <w:color w:val="000000"/>
                <w:sz w:val="22"/>
                <w:szCs w:val="22"/>
                <w:rtl/>
              </w:rPr>
              <w:t>17,2</w:t>
            </w:r>
          </w:p>
        </w:tc>
      </w:tr>
    </w:tbl>
    <w:p w:rsidR="00EA124A" w:rsidRDefault="00EA124A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pacing w:val="-2"/>
          <w:sz w:val="16"/>
          <w:szCs w:val="16"/>
          <w:u w:val="single"/>
        </w:rPr>
      </w:pPr>
    </w:p>
    <w:p w:rsidR="009B7BDC" w:rsidRPr="00754D0C" w:rsidRDefault="009B7BDC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754D0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lastRenderedPageBreak/>
        <w:t>Source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 xml:space="preserve"> :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Enquête nationale sur l'emploi, Haut Commissariat au Plan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Direction de la Statistique).</w:t>
      </w:r>
      <w:r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Pr="00754D0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9B7BDC" w:rsidRPr="00754D0C" w:rsidSect="001702E4">
      <w:footerReference w:type="even" r:id="rId15"/>
      <w:footerReference w:type="default" r:id="rId16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C0" w:rsidRDefault="007811C0" w:rsidP="009B7BDC">
      <w:r>
        <w:separator/>
      </w:r>
    </w:p>
  </w:endnote>
  <w:endnote w:type="continuationSeparator" w:id="1">
    <w:p w:rsidR="007811C0" w:rsidRDefault="007811C0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E4" w:rsidRDefault="00166584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EB48C5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1702E4" w:rsidRDefault="001702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E4" w:rsidRDefault="008D1A74">
    <w:pPr>
      <w:pStyle w:val="Pieddepage"/>
    </w:pPr>
    <w:r>
      <w:rPr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8193" type="#_x0000_t65" style="position:absolute;left:0;text-align:left;margin-left:541.35pt;margin-top:742.15pt;width:29pt;height:21.6pt;z-index:251657728;mso-position-horizontal-relative:page;mso-position-vertical-relative:page" o:allowincell="f" adj="14135" strokecolor="gray" strokeweight=".25pt">
          <v:textbox style="mso-next-textbox:#_x0000_s8193">
            <w:txbxContent>
              <w:p w:rsidR="008D1A74" w:rsidRDefault="008D1A74">
                <w:pPr>
                  <w:jc w:val="center"/>
                </w:pPr>
                <w:fldSimple w:instr=" PAGE    \* MERGEFORMAT ">
                  <w:r w:rsidR="00C238D1" w:rsidRPr="00C238D1">
                    <w:rPr>
                      <w:sz w:val="16"/>
                      <w:szCs w:val="16"/>
                      <w:rtl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C0" w:rsidRDefault="007811C0" w:rsidP="009B7BDC">
      <w:r>
        <w:separator/>
      </w:r>
    </w:p>
  </w:footnote>
  <w:footnote w:type="continuationSeparator" w:id="1">
    <w:p w:rsidR="007811C0" w:rsidRDefault="007811C0" w:rsidP="009B7BDC">
      <w:r>
        <w:continuationSeparator/>
      </w:r>
    </w:p>
  </w:footnote>
  <w:footnote w:id="2">
    <w:p w:rsidR="00381B61" w:rsidRDefault="00381B61" w:rsidP="00381B61">
      <w:pPr>
        <w:pStyle w:val="Notedebasdepage"/>
        <w:rPr>
          <w:rFonts w:ascii="Book Antiqua" w:hAnsi="Book Antiqua"/>
          <w:spacing w:val="-2"/>
          <w:sz w:val="18"/>
          <w:szCs w:val="18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 xml:space="preserve">iveau moyen regroupent les certificats de l'enseignement primaire, ceux du secondaire collégial et les </w:t>
      </w:r>
      <w:r>
        <w:rPr>
          <w:rFonts w:ascii="Book Antiqua" w:hAnsi="Book Antiqua"/>
          <w:spacing w:val="-2"/>
          <w:sz w:val="18"/>
          <w:szCs w:val="18"/>
          <w:lang w:eastAsia="en-US"/>
        </w:rPr>
        <w:t xml:space="preserve"> </w:t>
      </w:r>
    </w:p>
    <w:p w:rsidR="00381B61" w:rsidRPr="00311472" w:rsidRDefault="00381B61" w:rsidP="00381B61">
      <w:pPr>
        <w:pStyle w:val="Notedebasdepage"/>
        <w:rPr>
          <w:rFonts w:ascii="Book Antiqua" w:hAnsi="Book Antiqua"/>
          <w:sz w:val="18"/>
          <w:szCs w:val="18"/>
        </w:rPr>
      </w:pP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diplômes de qualification ou de spécialisation professionnelle.</w:t>
      </w:r>
    </w:p>
  </w:footnote>
  <w:footnote w:id="3">
    <w:p w:rsidR="00381B61" w:rsidRPr="00311472" w:rsidRDefault="00381B61" w:rsidP="00381B61">
      <w:pPr>
        <w:pStyle w:val="Corpsdetexte"/>
        <w:bidi w:val="0"/>
        <w:rPr>
          <w:rFonts w:ascii="Book Antiqua" w:hAnsi="Book Antiqua"/>
          <w:sz w:val="18"/>
          <w:szCs w:val="18"/>
        </w:rPr>
      </w:pPr>
      <w:r w:rsidRPr="00311472">
        <w:rPr>
          <w:rStyle w:val="Appelnotedebasdep"/>
          <w:rFonts w:ascii="Book Antiqua" w:hAnsi="Book Antiqua"/>
        </w:rPr>
        <w:footnoteRef/>
      </w:r>
      <w:r w:rsidRPr="00311472">
        <w:rPr>
          <w:rFonts w:ascii="Book Antiqua" w:hAnsi="Book Antiqua"/>
        </w:rP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iveau</w:t>
      </w:r>
      <w:r w:rsidRPr="00311472">
        <w:rPr>
          <w:rFonts w:ascii="Book Antiqua" w:hAnsi="Book Antiqua"/>
          <w:sz w:val="18"/>
          <w:szCs w:val="18"/>
        </w:rPr>
        <w:t xml:space="preserve"> supérieur 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regroupent les b</w:t>
      </w:r>
      <w:r w:rsidRPr="00311472">
        <w:rPr>
          <w:rFonts w:ascii="Book Antiqua" w:hAnsi="Book Antiqua"/>
          <w:sz w:val="18"/>
          <w:szCs w:val="18"/>
        </w:rPr>
        <w:t>accalauréats, les diplômes de techniciens ou de techniciens</w:t>
      </w:r>
      <w:r>
        <w:rPr>
          <w:rFonts w:ascii="Book Antiqua" w:hAnsi="Book Antiqua"/>
          <w:sz w:val="18"/>
          <w:szCs w:val="18"/>
        </w:rPr>
        <w:t xml:space="preserve">   </w:t>
      </w:r>
      <w:r w:rsidRPr="00311472">
        <w:rPr>
          <w:rFonts w:ascii="Book Antiqua" w:hAnsi="Book Antiqua"/>
          <w:sz w:val="18"/>
          <w:szCs w:val="18"/>
        </w:rPr>
        <w:t>spécialisés et les diplômes d'enseignement supérieur (facultés, grandes écoles et instituts).</w:t>
      </w:r>
    </w:p>
    <w:p w:rsidR="00381B61" w:rsidRDefault="00381B61" w:rsidP="00381B61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10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12209"/>
    <w:rsid w:val="00012B02"/>
    <w:rsid w:val="00013F2A"/>
    <w:rsid w:val="00014CF6"/>
    <w:rsid w:val="0001609E"/>
    <w:rsid w:val="00023B22"/>
    <w:rsid w:val="00027624"/>
    <w:rsid w:val="00031FF6"/>
    <w:rsid w:val="0003474C"/>
    <w:rsid w:val="00045ADB"/>
    <w:rsid w:val="00053261"/>
    <w:rsid w:val="000535DC"/>
    <w:rsid w:val="0005611A"/>
    <w:rsid w:val="00063D6C"/>
    <w:rsid w:val="000715D1"/>
    <w:rsid w:val="00080969"/>
    <w:rsid w:val="000900D2"/>
    <w:rsid w:val="00090934"/>
    <w:rsid w:val="000A0D52"/>
    <w:rsid w:val="000C2EE5"/>
    <w:rsid w:val="000C6A60"/>
    <w:rsid w:val="000D1994"/>
    <w:rsid w:val="000D2029"/>
    <w:rsid w:val="000D32D4"/>
    <w:rsid w:val="000D3D51"/>
    <w:rsid w:val="000F5277"/>
    <w:rsid w:val="00100104"/>
    <w:rsid w:val="00100B48"/>
    <w:rsid w:val="00105F5B"/>
    <w:rsid w:val="001079B3"/>
    <w:rsid w:val="001112B4"/>
    <w:rsid w:val="001473F7"/>
    <w:rsid w:val="00155BE8"/>
    <w:rsid w:val="00164573"/>
    <w:rsid w:val="00166584"/>
    <w:rsid w:val="001702E4"/>
    <w:rsid w:val="001800F6"/>
    <w:rsid w:val="00182B14"/>
    <w:rsid w:val="00191D38"/>
    <w:rsid w:val="00193E74"/>
    <w:rsid w:val="0019622A"/>
    <w:rsid w:val="00197FBA"/>
    <w:rsid w:val="001A5213"/>
    <w:rsid w:val="001A57B8"/>
    <w:rsid w:val="001B2C86"/>
    <w:rsid w:val="001C3191"/>
    <w:rsid w:val="001C369C"/>
    <w:rsid w:val="001C477B"/>
    <w:rsid w:val="001D6147"/>
    <w:rsid w:val="001E3468"/>
    <w:rsid w:val="001E5A43"/>
    <w:rsid w:val="00200DD0"/>
    <w:rsid w:val="00201055"/>
    <w:rsid w:val="00203B9A"/>
    <w:rsid w:val="00204CC1"/>
    <w:rsid w:val="00205B08"/>
    <w:rsid w:val="00207BA8"/>
    <w:rsid w:val="00210503"/>
    <w:rsid w:val="00216395"/>
    <w:rsid w:val="00225716"/>
    <w:rsid w:val="00227D29"/>
    <w:rsid w:val="002335AD"/>
    <w:rsid w:val="00234931"/>
    <w:rsid w:val="00244488"/>
    <w:rsid w:val="0024749E"/>
    <w:rsid w:val="00253C9D"/>
    <w:rsid w:val="00256058"/>
    <w:rsid w:val="00264153"/>
    <w:rsid w:val="00267DE0"/>
    <w:rsid w:val="00273D96"/>
    <w:rsid w:val="00275F0E"/>
    <w:rsid w:val="00291E1C"/>
    <w:rsid w:val="00293100"/>
    <w:rsid w:val="0029702A"/>
    <w:rsid w:val="00297F0C"/>
    <w:rsid w:val="002A3437"/>
    <w:rsid w:val="002A705A"/>
    <w:rsid w:val="002A7861"/>
    <w:rsid w:val="002B629F"/>
    <w:rsid w:val="002B7327"/>
    <w:rsid w:val="002C0306"/>
    <w:rsid w:val="002E3D9E"/>
    <w:rsid w:val="002E48A8"/>
    <w:rsid w:val="002F73C3"/>
    <w:rsid w:val="003035A3"/>
    <w:rsid w:val="00303C6A"/>
    <w:rsid w:val="00303D9A"/>
    <w:rsid w:val="003046FF"/>
    <w:rsid w:val="00307038"/>
    <w:rsid w:val="00307067"/>
    <w:rsid w:val="00311472"/>
    <w:rsid w:val="00311A35"/>
    <w:rsid w:val="003138C7"/>
    <w:rsid w:val="00321164"/>
    <w:rsid w:val="003243C6"/>
    <w:rsid w:val="00327BD8"/>
    <w:rsid w:val="003406FA"/>
    <w:rsid w:val="00346C90"/>
    <w:rsid w:val="0035285B"/>
    <w:rsid w:val="00354F8F"/>
    <w:rsid w:val="0035750D"/>
    <w:rsid w:val="00361E6C"/>
    <w:rsid w:val="00377111"/>
    <w:rsid w:val="00381B61"/>
    <w:rsid w:val="0038352E"/>
    <w:rsid w:val="0038586F"/>
    <w:rsid w:val="00387079"/>
    <w:rsid w:val="00392DE5"/>
    <w:rsid w:val="003945EC"/>
    <w:rsid w:val="003A41F5"/>
    <w:rsid w:val="003B2C21"/>
    <w:rsid w:val="003B35FC"/>
    <w:rsid w:val="003B4F05"/>
    <w:rsid w:val="003B532C"/>
    <w:rsid w:val="003C7757"/>
    <w:rsid w:val="003E021C"/>
    <w:rsid w:val="003E663D"/>
    <w:rsid w:val="00411874"/>
    <w:rsid w:val="004146F6"/>
    <w:rsid w:val="00414AD2"/>
    <w:rsid w:val="00430EC6"/>
    <w:rsid w:val="00432DAC"/>
    <w:rsid w:val="00436F02"/>
    <w:rsid w:val="0044517B"/>
    <w:rsid w:val="0044729D"/>
    <w:rsid w:val="00463923"/>
    <w:rsid w:val="004726D3"/>
    <w:rsid w:val="00474B68"/>
    <w:rsid w:val="004775BA"/>
    <w:rsid w:val="004818EB"/>
    <w:rsid w:val="00482CD8"/>
    <w:rsid w:val="004834B6"/>
    <w:rsid w:val="004949BA"/>
    <w:rsid w:val="004A3499"/>
    <w:rsid w:val="004A3846"/>
    <w:rsid w:val="004A59B6"/>
    <w:rsid w:val="004A6B2B"/>
    <w:rsid w:val="004E591D"/>
    <w:rsid w:val="004E6FB0"/>
    <w:rsid w:val="004F377E"/>
    <w:rsid w:val="004F65B7"/>
    <w:rsid w:val="004F7EDC"/>
    <w:rsid w:val="005049E1"/>
    <w:rsid w:val="005146C1"/>
    <w:rsid w:val="00515B78"/>
    <w:rsid w:val="00516A0D"/>
    <w:rsid w:val="00533D58"/>
    <w:rsid w:val="005342C2"/>
    <w:rsid w:val="00535072"/>
    <w:rsid w:val="00556660"/>
    <w:rsid w:val="005575CD"/>
    <w:rsid w:val="00560D4E"/>
    <w:rsid w:val="005642FA"/>
    <w:rsid w:val="0057235B"/>
    <w:rsid w:val="00572956"/>
    <w:rsid w:val="00587F1E"/>
    <w:rsid w:val="00592218"/>
    <w:rsid w:val="0059727A"/>
    <w:rsid w:val="005A57E6"/>
    <w:rsid w:val="005B0049"/>
    <w:rsid w:val="005B2835"/>
    <w:rsid w:val="005B2838"/>
    <w:rsid w:val="005B6C05"/>
    <w:rsid w:val="005C4A2E"/>
    <w:rsid w:val="005D2D4F"/>
    <w:rsid w:val="005D6E1B"/>
    <w:rsid w:val="005E69FF"/>
    <w:rsid w:val="005F745D"/>
    <w:rsid w:val="006001CC"/>
    <w:rsid w:val="006022C1"/>
    <w:rsid w:val="006028B8"/>
    <w:rsid w:val="00607EFC"/>
    <w:rsid w:val="00614BAE"/>
    <w:rsid w:val="006158A0"/>
    <w:rsid w:val="006214A1"/>
    <w:rsid w:val="0062483C"/>
    <w:rsid w:val="00634C97"/>
    <w:rsid w:val="006369B4"/>
    <w:rsid w:val="0064010A"/>
    <w:rsid w:val="00642C11"/>
    <w:rsid w:val="0065328B"/>
    <w:rsid w:val="00657783"/>
    <w:rsid w:val="006628EA"/>
    <w:rsid w:val="0066326E"/>
    <w:rsid w:val="006634E5"/>
    <w:rsid w:val="00665ACB"/>
    <w:rsid w:val="00672098"/>
    <w:rsid w:val="00672B4E"/>
    <w:rsid w:val="0067620B"/>
    <w:rsid w:val="00681EB8"/>
    <w:rsid w:val="00694C10"/>
    <w:rsid w:val="006A0743"/>
    <w:rsid w:val="006A2722"/>
    <w:rsid w:val="006A4DCA"/>
    <w:rsid w:val="006B076E"/>
    <w:rsid w:val="006B2DCD"/>
    <w:rsid w:val="006C41C1"/>
    <w:rsid w:val="006D3CA9"/>
    <w:rsid w:val="006D689B"/>
    <w:rsid w:val="006E1D3F"/>
    <w:rsid w:val="006E2D69"/>
    <w:rsid w:val="006F3794"/>
    <w:rsid w:val="00706D1C"/>
    <w:rsid w:val="00713ABE"/>
    <w:rsid w:val="00721995"/>
    <w:rsid w:val="007277B9"/>
    <w:rsid w:val="00732456"/>
    <w:rsid w:val="007367EF"/>
    <w:rsid w:val="00740F5B"/>
    <w:rsid w:val="00742277"/>
    <w:rsid w:val="00743217"/>
    <w:rsid w:val="0074595C"/>
    <w:rsid w:val="00752217"/>
    <w:rsid w:val="00764681"/>
    <w:rsid w:val="00775D0D"/>
    <w:rsid w:val="00777E3D"/>
    <w:rsid w:val="007811C0"/>
    <w:rsid w:val="0078131E"/>
    <w:rsid w:val="00782432"/>
    <w:rsid w:val="00791326"/>
    <w:rsid w:val="00791E7E"/>
    <w:rsid w:val="007936D6"/>
    <w:rsid w:val="007B126F"/>
    <w:rsid w:val="007B36EA"/>
    <w:rsid w:val="007C30FE"/>
    <w:rsid w:val="007D5A6D"/>
    <w:rsid w:val="007F16AC"/>
    <w:rsid w:val="007F7C47"/>
    <w:rsid w:val="00806D62"/>
    <w:rsid w:val="008214B6"/>
    <w:rsid w:val="0082726C"/>
    <w:rsid w:val="00834DCB"/>
    <w:rsid w:val="00840CB8"/>
    <w:rsid w:val="0084117D"/>
    <w:rsid w:val="0084252C"/>
    <w:rsid w:val="0084327E"/>
    <w:rsid w:val="00855EAB"/>
    <w:rsid w:val="00863346"/>
    <w:rsid w:val="00864F20"/>
    <w:rsid w:val="00865125"/>
    <w:rsid w:val="00866FDE"/>
    <w:rsid w:val="0087218B"/>
    <w:rsid w:val="00872CCC"/>
    <w:rsid w:val="00873FB9"/>
    <w:rsid w:val="0087452E"/>
    <w:rsid w:val="00892C5F"/>
    <w:rsid w:val="00893381"/>
    <w:rsid w:val="008964E5"/>
    <w:rsid w:val="008A4829"/>
    <w:rsid w:val="008B0CB8"/>
    <w:rsid w:val="008B2A79"/>
    <w:rsid w:val="008B7DD6"/>
    <w:rsid w:val="008C0C61"/>
    <w:rsid w:val="008C2987"/>
    <w:rsid w:val="008C428E"/>
    <w:rsid w:val="008C44D7"/>
    <w:rsid w:val="008D1A74"/>
    <w:rsid w:val="008D2488"/>
    <w:rsid w:val="008D32FF"/>
    <w:rsid w:val="008D455D"/>
    <w:rsid w:val="008D6077"/>
    <w:rsid w:val="008D6162"/>
    <w:rsid w:val="008D7EAE"/>
    <w:rsid w:val="008E1CEA"/>
    <w:rsid w:val="008F3EBA"/>
    <w:rsid w:val="008F428D"/>
    <w:rsid w:val="00902541"/>
    <w:rsid w:val="00902A5B"/>
    <w:rsid w:val="00915E14"/>
    <w:rsid w:val="00923A85"/>
    <w:rsid w:val="00934160"/>
    <w:rsid w:val="00935004"/>
    <w:rsid w:val="0094638B"/>
    <w:rsid w:val="00947677"/>
    <w:rsid w:val="00952068"/>
    <w:rsid w:val="009539AD"/>
    <w:rsid w:val="00960C43"/>
    <w:rsid w:val="00976A52"/>
    <w:rsid w:val="00981804"/>
    <w:rsid w:val="00992B57"/>
    <w:rsid w:val="009A1CD6"/>
    <w:rsid w:val="009A6740"/>
    <w:rsid w:val="009B1B4B"/>
    <w:rsid w:val="009B30F8"/>
    <w:rsid w:val="009B7BDC"/>
    <w:rsid w:val="009C3B34"/>
    <w:rsid w:val="009C3EFD"/>
    <w:rsid w:val="009C4E5B"/>
    <w:rsid w:val="009D0019"/>
    <w:rsid w:val="009E0235"/>
    <w:rsid w:val="009E7C97"/>
    <w:rsid w:val="009F2CF0"/>
    <w:rsid w:val="009F58FE"/>
    <w:rsid w:val="009F5BFE"/>
    <w:rsid w:val="00A01DFA"/>
    <w:rsid w:val="00A0226B"/>
    <w:rsid w:val="00A02809"/>
    <w:rsid w:val="00A06968"/>
    <w:rsid w:val="00A31234"/>
    <w:rsid w:val="00A50E6D"/>
    <w:rsid w:val="00A54037"/>
    <w:rsid w:val="00A57935"/>
    <w:rsid w:val="00A57BAB"/>
    <w:rsid w:val="00A6451A"/>
    <w:rsid w:val="00A72BAA"/>
    <w:rsid w:val="00A835C5"/>
    <w:rsid w:val="00A937D3"/>
    <w:rsid w:val="00A94292"/>
    <w:rsid w:val="00AA512A"/>
    <w:rsid w:val="00AB0075"/>
    <w:rsid w:val="00AB33E6"/>
    <w:rsid w:val="00AC0F7F"/>
    <w:rsid w:val="00AC552F"/>
    <w:rsid w:val="00AD08C6"/>
    <w:rsid w:val="00AD2408"/>
    <w:rsid w:val="00AD364F"/>
    <w:rsid w:val="00AD37BE"/>
    <w:rsid w:val="00AE04B1"/>
    <w:rsid w:val="00AE077C"/>
    <w:rsid w:val="00AF3DB7"/>
    <w:rsid w:val="00AF43AB"/>
    <w:rsid w:val="00B014CA"/>
    <w:rsid w:val="00B0628E"/>
    <w:rsid w:val="00B20553"/>
    <w:rsid w:val="00B2064A"/>
    <w:rsid w:val="00B2485D"/>
    <w:rsid w:val="00B26924"/>
    <w:rsid w:val="00B27800"/>
    <w:rsid w:val="00B32C82"/>
    <w:rsid w:val="00B33A95"/>
    <w:rsid w:val="00B40C98"/>
    <w:rsid w:val="00B43912"/>
    <w:rsid w:val="00B46596"/>
    <w:rsid w:val="00B62799"/>
    <w:rsid w:val="00B6404D"/>
    <w:rsid w:val="00B674A3"/>
    <w:rsid w:val="00B678F1"/>
    <w:rsid w:val="00B73CFD"/>
    <w:rsid w:val="00B7581A"/>
    <w:rsid w:val="00B764BF"/>
    <w:rsid w:val="00B83965"/>
    <w:rsid w:val="00B87D64"/>
    <w:rsid w:val="00B93465"/>
    <w:rsid w:val="00BA14EA"/>
    <w:rsid w:val="00BA20F0"/>
    <w:rsid w:val="00BA4E21"/>
    <w:rsid w:val="00BA59DF"/>
    <w:rsid w:val="00BC7ECE"/>
    <w:rsid w:val="00BD7FC2"/>
    <w:rsid w:val="00BE3244"/>
    <w:rsid w:val="00BE3938"/>
    <w:rsid w:val="00BF4FB3"/>
    <w:rsid w:val="00C01D64"/>
    <w:rsid w:val="00C036B7"/>
    <w:rsid w:val="00C04EB8"/>
    <w:rsid w:val="00C052CA"/>
    <w:rsid w:val="00C21E24"/>
    <w:rsid w:val="00C238D1"/>
    <w:rsid w:val="00C26C95"/>
    <w:rsid w:val="00C32F4C"/>
    <w:rsid w:val="00C32FD0"/>
    <w:rsid w:val="00C340BE"/>
    <w:rsid w:val="00C348E2"/>
    <w:rsid w:val="00C412DC"/>
    <w:rsid w:val="00C52E95"/>
    <w:rsid w:val="00C534A2"/>
    <w:rsid w:val="00C56D59"/>
    <w:rsid w:val="00C63ABB"/>
    <w:rsid w:val="00C64164"/>
    <w:rsid w:val="00C6785E"/>
    <w:rsid w:val="00C72658"/>
    <w:rsid w:val="00C85D09"/>
    <w:rsid w:val="00CA34D5"/>
    <w:rsid w:val="00CA7892"/>
    <w:rsid w:val="00CB16CC"/>
    <w:rsid w:val="00CB42CC"/>
    <w:rsid w:val="00CE004D"/>
    <w:rsid w:val="00CE0586"/>
    <w:rsid w:val="00CE16AF"/>
    <w:rsid w:val="00CE7D29"/>
    <w:rsid w:val="00CF0D64"/>
    <w:rsid w:val="00CF16AB"/>
    <w:rsid w:val="00D06F37"/>
    <w:rsid w:val="00D1318D"/>
    <w:rsid w:val="00D15AB8"/>
    <w:rsid w:val="00D1642D"/>
    <w:rsid w:val="00D16A36"/>
    <w:rsid w:val="00D21548"/>
    <w:rsid w:val="00D3452B"/>
    <w:rsid w:val="00D41611"/>
    <w:rsid w:val="00D41F27"/>
    <w:rsid w:val="00D42D51"/>
    <w:rsid w:val="00D44710"/>
    <w:rsid w:val="00D61357"/>
    <w:rsid w:val="00D6390E"/>
    <w:rsid w:val="00D7002C"/>
    <w:rsid w:val="00D702F1"/>
    <w:rsid w:val="00D73EC3"/>
    <w:rsid w:val="00D758AC"/>
    <w:rsid w:val="00D75E66"/>
    <w:rsid w:val="00D850B6"/>
    <w:rsid w:val="00D86869"/>
    <w:rsid w:val="00D87F73"/>
    <w:rsid w:val="00DA0CE0"/>
    <w:rsid w:val="00DB4F6D"/>
    <w:rsid w:val="00DB5026"/>
    <w:rsid w:val="00DB580E"/>
    <w:rsid w:val="00DB6160"/>
    <w:rsid w:val="00DB6B54"/>
    <w:rsid w:val="00DD32F8"/>
    <w:rsid w:val="00DE0504"/>
    <w:rsid w:val="00DE4026"/>
    <w:rsid w:val="00DE6548"/>
    <w:rsid w:val="00DE673C"/>
    <w:rsid w:val="00DF00DB"/>
    <w:rsid w:val="00DF44AC"/>
    <w:rsid w:val="00DF780D"/>
    <w:rsid w:val="00E02692"/>
    <w:rsid w:val="00E03282"/>
    <w:rsid w:val="00E0457E"/>
    <w:rsid w:val="00E15220"/>
    <w:rsid w:val="00E15EA0"/>
    <w:rsid w:val="00E207B2"/>
    <w:rsid w:val="00E226B3"/>
    <w:rsid w:val="00E238BE"/>
    <w:rsid w:val="00E24B56"/>
    <w:rsid w:val="00E36DB9"/>
    <w:rsid w:val="00E5283D"/>
    <w:rsid w:val="00E71773"/>
    <w:rsid w:val="00E93822"/>
    <w:rsid w:val="00EA0115"/>
    <w:rsid w:val="00EA0D38"/>
    <w:rsid w:val="00EA124A"/>
    <w:rsid w:val="00EA1C1B"/>
    <w:rsid w:val="00EA273C"/>
    <w:rsid w:val="00EA65BF"/>
    <w:rsid w:val="00EB48C5"/>
    <w:rsid w:val="00EB5B54"/>
    <w:rsid w:val="00EC49A3"/>
    <w:rsid w:val="00ED4A11"/>
    <w:rsid w:val="00ED5807"/>
    <w:rsid w:val="00ED6F17"/>
    <w:rsid w:val="00ED7017"/>
    <w:rsid w:val="00ED7C0C"/>
    <w:rsid w:val="00EE0858"/>
    <w:rsid w:val="00F043B0"/>
    <w:rsid w:val="00F07620"/>
    <w:rsid w:val="00F15554"/>
    <w:rsid w:val="00F23529"/>
    <w:rsid w:val="00F26674"/>
    <w:rsid w:val="00F27146"/>
    <w:rsid w:val="00F3162B"/>
    <w:rsid w:val="00F36F1A"/>
    <w:rsid w:val="00F40070"/>
    <w:rsid w:val="00F55849"/>
    <w:rsid w:val="00F65ADC"/>
    <w:rsid w:val="00F7158B"/>
    <w:rsid w:val="00F75AF5"/>
    <w:rsid w:val="00F80228"/>
    <w:rsid w:val="00F83AF7"/>
    <w:rsid w:val="00F860E1"/>
    <w:rsid w:val="00F90B74"/>
    <w:rsid w:val="00FA0856"/>
    <w:rsid w:val="00FA4487"/>
    <w:rsid w:val="00FA52A7"/>
    <w:rsid w:val="00FA663C"/>
    <w:rsid w:val="00FB00DD"/>
    <w:rsid w:val="00FB140D"/>
    <w:rsid w:val="00FD25BA"/>
    <w:rsid w:val="00FD363F"/>
    <w:rsid w:val="00FE30FC"/>
    <w:rsid w:val="00FF1960"/>
    <w:rsid w:val="00FF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customStyle="1" w:styleId="Paragraphedeliste2">
    <w:name w:val="Paragraphe de liste2"/>
    <w:basedOn w:val="Normal"/>
    <w:rsid w:val="00EA124A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Ann&#233;e%202014\Grafiques_ann&#233;e%20201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Ann&#233;e%202014\Grafiques_ann&#233;e%20201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Ann&#233;e%202014\Grafiques_ann&#233;e%202014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4\Traitement%20%201\traitement%202\Traitement%203\Fichiers%20relatifs%20&#224;%20l'ann&#233;e%202014\Grafiques%20des%20notes%20emploi%20__jamal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Ann&#233;e%202014\Grafiques_ann&#233;e%202014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4\Traitement%20%201\traitement%202\Traitement%203\Fichiers%20relatifs%20&#224;%20l'ann&#233;e%202014\Grafiques%20des%20notes%20emploi%20__jam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43000</c:v>
                </c:pt>
                <c:pt idx="1">
                  <c:v>-67000</c:v>
                </c:pt>
                <c:pt idx="2">
                  <c:v>-24000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0</c:formatCode>
                <c:ptCount val="3"/>
                <c:pt idx="0">
                  <c:v>-16000</c:v>
                </c:pt>
                <c:pt idx="1">
                  <c:v>61000</c:v>
                </c:pt>
                <c:pt idx="2">
                  <c:v>45000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27000</c:v>
                </c:pt>
                <c:pt idx="1">
                  <c:v>-6000</c:v>
                </c:pt>
                <c:pt idx="2">
                  <c:v>21000</c:v>
                </c:pt>
              </c:numCache>
            </c:numRef>
          </c:val>
        </c:ser>
        <c:gapWidth val="190"/>
        <c:overlap val="-10"/>
        <c:axId val="126913920"/>
        <c:axId val="127325312"/>
      </c:barChart>
      <c:catAx>
        <c:axId val="126913920"/>
        <c:scaling>
          <c:orientation val="minMax"/>
        </c:scaling>
        <c:axPos val="b"/>
        <c:tickLblPos val="low"/>
        <c:crossAx val="127325312"/>
        <c:crosses val="autoZero"/>
        <c:auto val="1"/>
        <c:lblAlgn val="ctr"/>
        <c:lblOffset val="100"/>
      </c:catAx>
      <c:valAx>
        <c:axId val="127325312"/>
        <c:scaling>
          <c:orientation val="minMax"/>
        </c:scaling>
        <c:delete val="1"/>
        <c:axPos val="l"/>
        <c:numFmt formatCode="General" sourceLinked="1"/>
        <c:tickLblPos val="nextTo"/>
        <c:crossAx val="126913920"/>
        <c:crosses val="autoZero"/>
        <c:crossBetween val="between"/>
        <c:majorUnit val="50000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0045849163959401E-2"/>
          <c:y val="4.3058752271350677E-2"/>
          <c:w val="0.95698924731182822"/>
          <c:h val="0.62701443569553839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Emploi__secteur!$I$3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1"/>
              <c:layout>
                <c:manualLayout>
                  <c:x val="-1.4918414918414918E-2"/>
                  <c:y val="-3.4188034188034191E-2"/>
                </c:manualLayout>
              </c:layout>
              <c:showVal val="1"/>
            </c:dLbl>
            <c:showVal val="1"/>
          </c:dLbls>
          <c:cat>
            <c:strRef>
              <c:f>Emploi__secteur!$J$2:$N$2</c:f>
              <c:strCache>
                <c:ptCount val="5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Emploi__secteur!$J$3:$N$3</c:f>
              <c:numCache>
                <c:formatCode>General</c:formatCode>
                <c:ptCount val="5"/>
                <c:pt idx="0">
                  <c:v>3000</c:v>
                </c:pt>
                <c:pt idx="1">
                  <c:v>-20000</c:v>
                </c:pt>
                <c:pt idx="2">
                  <c:v>2000</c:v>
                </c:pt>
                <c:pt idx="3">
                  <c:v>41000</c:v>
                </c:pt>
                <c:pt idx="4">
                  <c:v>1000</c:v>
                </c:pt>
              </c:numCache>
            </c:numRef>
          </c:val>
        </c:ser>
        <c:ser>
          <c:idx val="1"/>
          <c:order val="1"/>
          <c:tx>
            <c:strRef>
              <c:f>Emploi__secteur!$I$4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Emploi__secteur!$J$2:$N$2</c:f>
              <c:strCache>
                <c:ptCount val="5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Emploi__secteur!$J$4:$N$4</c:f>
              <c:numCache>
                <c:formatCode>General</c:formatCode>
                <c:ptCount val="5"/>
                <c:pt idx="0">
                  <c:v>13000</c:v>
                </c:pt>
                <c:pt idx="1">
                  <c:v>-17000</c:v>
                </c:pt>
                <c:pt idx="2">
                  <c:v>-2000</c:v>
                </c:pt>
                <c:pt idx="3">
                  <c:v>1000</c:v>
                </c:pt>
                <c:pt idx="4">
                  <c:v>-1000</c:v>
                </c:pt>
              </c:numCache>
            </c:numRef>
          </c:val>
        </c:ser>
        <c:ser>
          <c:idx val="2"/>
          <c:order val="2"/>
          <c:tx>
            <c:strRef>
              <c:f>Emploi__secteur!$I$5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Emploi__secteur!$J$2:$N$2</c:f>
              <c:strCache>
                <c:ptCount val="5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Emploi__secteur!$J$5:$N$5</c:f>
              <c:numCache>
                <c:formatCode>General</c:formatCode>
                <c:ptCount val="5"/>
                <c:pt idx="0">
                  <c:v>16000</c:v>
                </c:pt>
                <c:pt idx="1">
                  <c:v>-37000</c:v>
                </c:pt>
                <c:pt idx="2">
                  <c:v>0</c:v>
                </c:pt>
                <c:pt idx="3">
                  <c:v>42000</c:v>
                </c:pt>
                <c:pt idx="4">
                  <c:v>0</c:v>
                </c:pt>
              </c:numCache>
            </c:numRef>
          </c:val>
        </c:ser>
        <c:gapWidth val="70"/>
        <c:overlap val="-10"/>
        <c:axId val="128725760"/>
        <c:axId val="128727296"/>
      </c:barChart>
      <c:catAx>
        <c:axId val="128725760"/>
        <c:scaling>
          <c:orientation val="minMax"/>
        </c:scaling>
        <c:axPos val="b"/>
        <c:tickLblPos val="low"/>
        <c:crossAx val="128727296"/>
        <c:crosses val="autoZero"/>
        <c:auto val="1"/>
        <c:lblAlgn val="ctr"/>
        <c:lblOffset val="100"/>
      </c:catAx>
      <c:valAx>
        <c:axId val="128727296"/>
        <c:scaling>
          <c:orientation val="minMax"/>
        </c:scaling>
        <c:delete val="1"/>
        <c:axPos val="l"/>
        <c:numFmt formatCode="General" sourceLinked="1"/>
        <c:tickLblPos val="nextTo"/>
        <c:crossAx val="12872576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T_chômage!$B$3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3.1990856876360912E-2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2.2850612054543525E-2"/>
                  <c:y val="-6.9444444444444475E-2"/>
                </c:manualLayout>
              </c:layout>
              <c:showVal val="1"/>
            </c:dLbl>
            <c:dLbl>
              <c:idx val="2"/>
              <c:layout>
                <c:manualLayout>
                  <c:x val="-2.2850612054543525E-2"/>
                  <c:y val="-5.5555555555555525E-2"/>
                </c:manualLayout>
              </c:layout>
              <c:showVal val="1"/>
            </c:dLbl>
            <c:dLbl>
              <c:idx val="3"/>
              <c:layout>
                <c:manualLayout>
                  <c:x val="-2.7420734465452141E-2"/>
                  <c:y val="-4.6296296296296315E-2"/>
                </c:manualLayout>
              </c:layout>
              <c:showVal val="1"/>
            </c:dLbl>
            <c:dLbl>
              <c:idx val="4"/>
              <c:layout>
                <c:manualLayout>
                  <c:x val="-6.8551836163630525E-3"/>
                  <c:y val="-3.2407407407407426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T_chômage!$C$3:$G$3</c:f>
              <c:numCache>
                <c:formatCode>0.0</c:formatCode>
                <c:ptCount val="5"/>
                <c:pt idx="0">
                  <c:v>13.74734112267827</c:v>
                </c:pt>
                <c:pt idx="1">
                  <c:v>13.4</c:v>
                </c:pt>
                <c:pt idx="2">
                  <c:v>13.4</c:v>
                </c:pt>
                <c:pt idx="3">
                  <c:v>14</c:v>
                </c:pt>
                <c:pt idx="4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T_chômage!$B$4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2.0565550849089152E-2"/>
                  <c:y val="-6.9444444444444475E-2"/>
                </c:manualLayout>
              </c:layout>
              <c:showVal val="1"/>
            </c:dLbl>
            <c:dLbl>
              <c:idx val="1"/>
              <c:layout>
                <c:manualLayout>
                  <c:x val="-2.0565550849089152E-2"/>
                  <c:y val="-6.0185185185185161E-2"/>
                </c:manualLayout>
              </c:layout>
              <c:showVal val="1"/>
            </c:dLbl>
            <c:dLbl>
              <c:idx val="2"/>
              <c:layout>
                <c:manualLayout>
                  <c:x val="-2.7420734465452214E-2"/>
                  <c:y val="-7.8703703703703734E-2"/>
                </c:manualLayout>
              </c:layout>
              <c:showVal val="1"/>
            </c:dLbl>
            <c:dLbl>
              <c:idx val="3"/>
              <c:layout>
                <c:manualLayout>
                  <c:x val="-2.0565550849089068E-2"/>
                  <c:y val="-6.4814814814814839E-2"/>
                </c:manualLayout>
              </c:layout>
              <c:showVal val="1"/>
            </c:dLbl>
            <c:dLbl>
              <c:idx val="4"/>
              <c:layout>
                <c:manualLayout>
                  <c:x val="-1.1425306027271757E-2"/>
                  <c:y val="-8.3333333333333343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T_chômage!$C$4:$G$4</c:f>
              <c:numCache>
                <c:formatCode>0.0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4</c:v>
                </c:pt>
                <c:pt idx="3">
                  <c:v>3.8</c:v>
                </c:pt>
                <c:pt idx="4">
                  <c:v>4.2</c:v>
                </c:pt>
              </c:numCache>
            </c:numRef>
          </c:val>
        </c:ser>
        <c:ser>
          <c:idx val="2"/>
          <c:order val="2"/>
          <c:tx>
            <c:strRef>
              <c:f>T_chômage!$B$5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2.970579567090658E-2"/>
                  <c:y val="-5.0925925925925895E-2"/>
                </c:manualLayout>
              </c:layout>
              <c:showVal val="1"/>
            </c:dLbl>
            <c:dLbl>
              <c:idx val="1"/>
              <c:layout>
                <c:manualLayout>
                  <c:x val="-2.7420734465452214E-2"/>
                  <c:y val="-6.0185185185185161E-2"/>
                </c:manualLayout>
              </c:layout>
              <c:showVal val="1"/>
            </c:dLbl>
            <c:dLbl>
              <c:idx val="2"/>
              <c:layout>
                <c:manualLayout>
                  <c:x val="-3.6560979287269632E-2"/>
                  <c:y val="-6.0185185185185217E-2"/>
                </c:manualLayout>
              </c:layout>
              <c:showVal val="1"/>
            </c:dLbl>
            <c:dLbl>
              <c:idx val="3"/>
              <c:layout>
                <c:manualLayout>
                  <c:x val="-4.1131101698178213E-2"/>
                  <c:y val="-8.3333333333333343E-2"/>
                </c:manualLayout>
              </c:layout>
              <c:showVal val="1"/>
            </c:dLbl>
            <c:dLbl>
              <c:idx val="4"/>
              <c:layout>
                <c:manualLayout>
                  <c:x val="-1.3710367232726107E-2"/>
                  <c:y val="-5.0925925925925923E-2"/>
                </c:manualLayout>
              </c:layout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T_chômage!$C$5:$G$5</c:f>
              <c:numCache>
                <c:formatCode>0.0</c:formatCode>
                <c:ptCount val="5"/>
                <c:pt idx="0">
                  <c:v>9.1</c:v>
                </c:pt>
                <c:pt idx="1">
                  <c:v>8.9</c:v>
                </c:pt>
                <c:pt idx="2">
                  <c:v>9</c:v>
                </c:pt>
                <c:pt idx="3">
                  <c:v>9.2000000000000011</c:v>
                </c:pt>
                <c:pt idx="4">
                  <c:v>9.9</c:v>
                </c:pt>
              </c:numCache>
            </c:numRef>
          </c:val>
        </c:ser>
        <c:marker val="1"/>
        <c:axId val="129850368"/>
        <c:axId val="129864448"/>
      </c:lineChart>
      <c:catAx>
        <c:axId val="129850368"/>
        <c:scaling>
          <c:orientation val="minMax"/>
        </c:scaling>
        <c:axPos val="b"/>
        <c:numFmt formatCode="General" sourceLinked="1"/>
        <c:tickLblPos val="nextTo"/>
        <c:crossAx val="129864448"/>
        <c:crosses val="autoZero"/>
        <c:auto val="1"/>
        <c:lblAlgn val="ctr"/>
        <c:lblOffset val="100"/>
      </c:catAx>
      <c:valAx>
        <c:axId val="129864448"/>
        <c:scaling>
          <c:orientation val="minMax"/>
        </c:scaling>
        <c:delete val="1"/>
        <c:axPos val="l"/>
        <c:numFmt formatCode="0.0" sourceLinked="1"/>
        <c:tickLblPos val="nextTo"/>
        <c:crossAx val="12985036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7"/>
  <c:chart>
    <c:plotArea>
      <c:layout/>
      <c:barChart>
        <c:barDir val="bar"/>
        <c:grouping val="clustered"/>
        <c:ser>
          <c:idx val="0"/>
          <c:order val="0"/>
          <c:dPt>
            <c:idx val="8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T_chômage__dip!$B$1:$B$9</c:f>
              <c:strCache>
                <c:ptCount val="9"/>
                <c:pt idx="0">
                  <c:v>Diplômes et certificats de l"enseignement fondamental</c:v>
                </c:pt>
                <c:pt idx="1">
                  <c:v>Diplômes de l"enseignement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 de techniciens et de cadres moyens</c:v>
                </c:pt>
                <c:pt idx="5">
                  <c:v>Diplôme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T_chômage__dip!$C$1:$C$9</c:f>
              <c:numCache>
                <c:formatCode>#,##0.0</c:formatCode>
                <c:ptCount val="9"/>
                <c:pt idx="0">
                  <c:v>14.316457718634968</c:v>
                </c:pt>
                <c:pt idx="1">
                  <c:v>17.292436947842688</c:v>
                </c:pt>
                <c:pt idx="2">
                  <c:v>24.111829293640699</c:v>
                </c:pt>
                <c:pt idx="3">
                  <c:v>9.3286090327120128</c:v>
                </c:pt>
                <c:pt idx="4">
                  <c:v>21.834447471031847</c:v>
                </c:pt>
                <c:pt idx="5">
                  <c:v>22.096513659710986</c:v>
                </c:pt>
                <c:pt idx="6">
                  <c:v>22.389345392378502</c:v>
                </c:pt>
                <c:pt idx="7">
                  <c:v>4.6728939509185716</c:v>
                </c:pt>
                <c:pt idx="8">
                  <c:v>9.882923421681598</c:v>
                </c:pt>
              </c:numCache>
            </c:numRef>
          </c:val>
        </c:ser>
        <c:axId val="129886848"/>
        <c:axId val="129245568"/>
      </c:barChart>
      <c:catAx>
        <c:axId val="129886848"/>
        <c:scaling>
          <c:orientation val="minMax"/>
        </c:scaling>
        <c:axPos val="l"/>
        <c:tickLblPos val="nextTo"/>
        <c:crossAx val="129245568"/>
        <c:crosses val="autoZero"/>
        <c:auto val="1"/>
        <c:lblAlgn val="ctr"/>
        <c:lblOffset val="100"/>
      </c:catAx>
      <c:valAx>
        <c:axId val="129245568"/>
        <c:scaling>
          <c:orientation val="minMax"/>
        </c:scaling>
        <c:axPos val="b"/>
        <c:majorGridlines/>
        <c:numFmt formatCode="#,##0.0" sourceLinked="1"/>
        <c:tickLblPos val="nextTo"/>
        <c:crossAx val="129886848"/>
        <c:crosses val="autoZero"/>
        <c:crossBetween val="between"/>
      </c:valAx>
    </c:plotArea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T_sous_emploi!$B$3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6.4887493458922071E-2"/>
                  <c:y val="-1.3888888888888897E-2"/>
                </c:manualLayout>
              </c:layout>
              <c:showVal val="1"/>
            </c:dLbl>
            <c:dLbl>
              <c:idx val="1"/>
              <c:layout>
                <c:manualLayout>
                  <c:x val="-2.5117739403453691E-2"/>
                  <c:y val="5.0925925925925986E-2"/>
                </c:manualLayout>
              </c:layout>
              <c:showVal val="1"/>
            </c:dLbl>
            <c:dLbl>
              <c:idx val="2"/>
              <c:layout>
                <c:manualLayout>
                  <c:x val="-3.3490319204604935E-2"/>
                  <c:y val="5.5555555555555525E-2"/>
                </c:manualLayout>
              </c:layout>
              <c:showVal val="1"/>
            </c:dLbl>
            <c:dLbl>
              <c:idx val="3"/>
              <c:layout>
                <c:manualLayout>
                  <c:x val="-2.5117739403453691E-2"/>
                  <c:y val="4.1666666666666623E-2"/>
                </c:manualLayout>
              </c:layout>
              <c:showVal val="1"/>
            </c:dLbl>
            <c:dLbl>
              <c:idx val="4"/>
              <c:layout>
                <c:manualLayout>
                  <c:x val="-1.8838304552590262E-2"/>
                  <c:y val="5.0925925925925923E-2"/>
                </c:manualLayout>
              </c:layout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T_sous_emploi!$C$3:$G$3</c:f>
              <c:numCache>
                <c:formatCode>0.0</c:formatCode>
                <c:ptCount val="5"/>
                <c:pt idx="0">
                  <c:v>10</c:v>
                </c:pt>
                <c:pt idx="1">
                  <c:v>9.3000000000000007</c:v>
                </c:pt>
                <c:pt idx="2">
                  <c:v>8.6</c:v>
                </c:pt>
                <c:pt idx="3">
                  <c:v>8.4</c:v>
                </c:pt>
                <c:pt idx="4" formatCode="General">
                  <c:v>9.5</c:v>
                </c:pt>
              </c:numCache>
            </c:numRef>
          </c:val>
        </c:ser>
        <c:ser>
          <c:idx val="1"/>
          <c:order val="1"/>
          <c:tx>
            <c:strRef>
              <c:f>T_sous_emploi!$B$4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745159602302471E-2"/>
                  <c:y val="-5.5555555555555525E-2"/>
                </c:manualLayout>
              </c:layout>
              <c:showVal val="1"/>
            </c:dLbl>
            <c:dLbl>
              <c:idx val="1"/>
              <c:layout>
                <c:manualLayout>
                  <c:x val="-2.3024594453165872E-2"/>
                  <c:y val="-7.407407407407407E-2"/>
                </c:manualLayout>
              </c:layout>
              <c:showVal val="1"/>
            </c:dLbl>
            <c:dLbl>
              <c:idx val="2"/>
              <c:layout>
                <c:manualLayout>
                  <c:x val="-1.8838304552590262E-2"/>
                  <c:y val="-4.6296296296296301E-2"/>
                </c:manualLayout>
              </c:layout>
              <c:showVal val="1"/>
            </c:dLbl>
            <c:dLbl>
              <c:idx val="3"/>
              <c:layout>
                <c:manualLayout>
                  <c:x val="-2.7210884353741485E-2"/>
                  <c:y val="-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1.8838304552590262E-2"/>
                  <c:y val="-5.5555555555555559E-2"/>
                </c:manualLayout>
              </c:layout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T_sous_emploi!$C$4:$G$4</c:f>
              <c:numCache>
                <c:formatCode>0.0</c:formatCode>
                <c:ptCount val="5"/>
                <c:pt idx="0">
                  <c:v>13.2</c:v>
                </c:pt>
                <c:pt idx="1">
                  <c:v>11.8</c:v>
                </c:pt>
                <c:pt idx="2">
                  <c:v>9.8000000000000007</c:v>
                </c:pt>
                <c:pt idx="3">
                  <c:v>10.1</c:v>
                </c:pt>
                <c:pt idx="4" formatCode="General">
                  <c:v>11.2</c:v>
                </c:pt>
              </c:numCache>
            </c:numRef>
          </c:val>
        </c:ser>
        <c:ser>
          <c:idx val="2"/>
          <c:order val="2"/>
          <c:tx>
            <c:strRef>
              <c:f>T_sous_emploi!$B$5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1.2558869701726844E-2"/>
                  <c:y val="-2.7777777777777801E-2"/>
                </c:manualLayout>
              </c:layout>
              <c:showVal val="1"/>
            </c:dLbl>
            <c:dLbl>
              <c:idx val="1"/>
              <c:layout>
                <c:manualLayout>
                  <c:x val="-1.2558869701726844E-2"/>
                  <c:y val="-2.3148148148148147E-2"/>
                </c:manualLayout>
              </c:layout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T_sous_emploi!$C$5:$G$5</c:f>
              <c:numCache>
                <c:formatCode>0.0</c:formatCode>
                <c:ptCount val="5"/>
                <c:pt idx="0">
                  <c:v>11.6</c:v>
                </c:pt>
                <c:pt idx="1">
                  <c:v>10.5</c:v>
                </c:pt>
                <c:pt idx="2">
                  <c:v>9.2000000000000011</c:v>
                </c:pt>
                <c:pt idx="3">
                  <c:v>9.2000000000000011</c:v>
                </c:pt>
                <c:pt idx="4" formatCode="General">
                  <c:v>10.3</c:v>
                </c:pt>
              </c:numCache>
            </c:numRef>
          </c:val>
        </c:ser>
        <c:marker val="1"/>
        <c:axId val="129294336"/>
        <c:axId val="129295872"/>
      </c:lineChart>
      <c:catAx>
        <c:axId val="129294336"/>
        <c:scaling>
          <c:orientation val="minMax"/>
        </c:scaling>
        <c:axPos val="b"/>
        <c:numFmt formatCode="General" sourceLinked="1"/>
        <c:tickLblPos val="nextTo"/>
        <c:crossAx val="129295872"/>
        <c:crosses val="autoZero"/>
        <c:auto val="1"/>
        <c:lblAlgn val="ctr"/>
        <c:lblOffset val="100"/>
      </c:catAx>
      <c:valAx>
        <c:axId val="129295872"/>
        <c:scaling>
          <c:orientation val="minMax"/>
        </c:scaling>
        <c:delete val="1"/>
        <c:axPos val="l"/>
        <c:numFmt formatCode="0.0" sourceLinked="1"/>
        <c:tickLblPos val="nextTo"/>
        <c:crossAx val="129294336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1052635941283874E-2"/>
          <c:y val="7.3988439306358414E-2"/>
          <c:w val="0.9421052511614697"/>
          <c:h val="0.68490209822038173"/>
        </c:manualLayout>
      </c:layout>
      <c:lineChart>
        <c:grouping val="standard"/>
        <c:ser>
          <c:idx val="0"/>
          <c:order val="0"/>
          <c:tx>
            <c:strRef>
              <c:f>T_sous_emploi_secteur!$B$3</c:f>
              <c:strCache>
                <c:ptCount val="1"/>
                <c:pt idx="0">
                  <c:v>agriculture</c:v>
                </c:pt>
              </c:strCache>
            </c:strRef>
          </c:tx>
          <c:dLbls>
            <c:dLbl>
              <c:idx val="2"/>
              <c:layout>
                <c:manualLayout>
                  <c:x val="-1.578947695596291E-2"/>
                  <c:y val="-3.6994219653179228E-2"/>
                </c:manualLayout>
              </c:layout>
              <c:showVal val="1"/>
            </c:dLbl>
            <c:dLbl>
              <c:idx val="3"/>
              <c:layout>
                <c:manualLayout>
                  <c:x val="-1.8421056448623404E-2"/>
                  <c:y val="-3.69942196531792E-2"/>
                </c:manualLayout>
              </c:layout>
              <c:showVal val="1"/>
            </c:dLbl>
            <c:dLbl>
              <c:idx val="4"/>
              <c:layout>
                <c:manualLayout>
                  <c:x val="-2.6315794926604758E-2"/>
                  <c:y val="-3.69942196531792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T_sous_emploi_secteur!$C$3:$G$3</c:f>
              <c:numCache>
                <c:formatCode>#,##0.0</c:formatCode>
                <c:ptCount val="5"/>
                <c:pt idx="0">
                  <c:v>12.720541024671771</c:v>
                </c:pt>
                <c:pt idx="1">
                  <c:v>11.207626398733872</c:v>
                </c:pt>
                <c:pt idx="2">
                  <c:v>9.0669932879518829</c:v>
                </c:pt>
                <c:pt idx="3">
                  <c:v>9.1617077502716437</c:v>
                </c:pt>
                <c:pt idx="4">
                  <c:v>10.273193526110418</c:v>
                </c:pt>
              </c:numCache>
            </c:numRef>
          </c:val>
        </c:ser>
        <c:ser>
          <c:idx val="1"/>
          <c:order val="1"/>
          <c:tx>
            <c:strRef>
              <c:f>T_sous_emploi_secteur!$B$4</c:f>
              <c:strCache>
                <c:ptCount val="1"/>
                <c:pt idx="0">
                  <c:v>industrie</c:v>
                </c:pt>
              </c:strCache>
            </c:strRef>
          </c:tx>
          <c:dLbls>
            <c:dLbl>
              <c:idx val="0"/>
              <c:layout>
                <c:manualLayout>
                  <c:x val="-1.0526317970641913E-2"/>
                  <c:y val="3.699421965317922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6994219653179228E-2"/>
                </c:manualLayout>
              </c:layout>
              <c:showVal val="1"/>
            </c:dLbl>
            <c:dLbl>
              <c:idx val="2"/>
              <c:layout>
                <c:manualLayout>
                  <c:x val="-7.8947384779814497E-3"/>
                  <c:y val="3.236994219653180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774566473988440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9.2485549132948E-3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T_sous_emploi_secteur!$C$4:$G$4</c:f>
              <c:numCache>
                <c:formatCode>#,##0.0</c:formatCode>
                <c:ptCount val="5"/>
                <c:pt idx="0">
                  <c:v>7.9533144661878792</c:v>
                </c:pt>
                <c:pt idx="1">
                  <c:v>7.0199796433212054</c:v>
                </c:pt>
                <c:pt idx="2">
                  <c:v>6.4108686170833478</c:v>
                </c:pt>
                <c:pt idx="3">
                  <c:v>6.3439422834433987</c:v>
                </c:pt>
                <c:pt idx="4">
                  <c:v>8.0193639149449698</c:v>
                </c:pt>
              </c:numCache>
            </c:numRef>
          </c:val>
        </c:ser>
        <c:ser>
          <c:idx val="2"/>
          <c:order val="2"/>
          <c:tx>
            <c:strRef>
              <c:f>T_sous_emploi_secteur!$B$5</c:f>
              <c:strCache>
                <c:ptCount val="1"/>
                <c:pt idx="0">
                  <c:v>BTP</c:v>
                </c:pt>
              </c:strCache>
            </c:strRef>
          </c:tx>
          <c:dLbls>
            <c:dLbl>
              <c:idx val="0"/>
              <c:layout>
                <c:manualLayout>
                  <c:x val="-1.3157897463302422E-2"/>
                  <c:y val="3.6994219653179228E-2"/>
                </c:manualLayout>
              </c:layout>
              <c:showVal val="1"/>
            </c:dLbl>
            <c:dLbl>
              <c:idx val="1"/>
              <c:layout>
                <c:manualLayout>
                  <c:x val="-1.3157897463302422E-2"/>
                  <c:y val="3.6994219653179228E-2"/>
                </c:manualLayout>
              </c:layout>
              <c:showVal val="1"/>
            </c:dLbl>
            <c:dLbl>
              <c:idx val="2"/>
              <c:layout>
                <c:manualLayout>
                  <c:x val="-2.6315794926604851E-3"/>
                  <c:y val="2.312138728323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121387283237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T_sous_emploi_secteur!$C$5:$G$5</c:f>
              <c:numCache>
                <c:formatCode>#,##0.0</c:formatCode>
                <c:ptCount val="5"/>
                <c:pt idx="0">
                  <c:v>18.365006966968707</c:v>
                </c:pt>
                <c:pt idx="1">
                  <c:v>17.674898654295138</c:v>
                </c:pt>
                <c:pt idx="2">
                  <c:v>16.431388491246199</c:v>
                </c:pt>
                <c:pt idx="3">
                  <c:v>16.540060908364229</c:v>
                </c:pt>
                <c:pt idx="4">
                  <c:v>17.02175897717219</c:v>
                </c:pt>
              </c:numCache>
            </c:numRef>
          </c:val>
        </c:ser>
        <c:ser>
          <c:idx val="3"/>
          <c:order val="3"/>
          <c:tx>
            <c:strRef>
              <c:f>T_sous_emploi_secteur!$B$6</c:f>
              <c:strCache>
                <c:ptCount val="1"/>
                <c:pt idx="0">
                  <c:v>services</c:v>
                </c:pt>
              </c:strCache>
            </c:strRef>
          </c:tx>
          <c:dLbls>
            <c:dLbl>
              <c:idx val="4"/>
              <c:layout>
                <c:manualLayout>
                  <c:x val="-1.3157897463302422E-2"/>
                  <c:y val="-1.3872832369942169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T_sous_emploi_secteur!$C$6:$G$6</c:f>
              <c:numCache>
                <c:formatCode>#,##0.0</c:formatCode>
                <c:ptCount val="5"/>
                <c:pt idx="0">
                  <c:v>9.8446525779693808</c:v>
                </c:pt>
                <c:pt idx="1">
                  <c:v>9.0381104461722241</c:v>
                </c:pt>
                <c:pt idx="2">
                  <c:v>8.3044182056872256</c:v>
                </c:pt>
                <c:pt idx="3">
                  <c:v>8.3639604256071625</c:v>
                </c:pt>
                <c:pt idx="4">
                  <c:v>9.447250874580865</c:v>
                </c:pt>
              </c:numCache>
            </c:numRef>
          </c:val>
        </c:ser>
        <c:marker val="1"/>
        <c:axId val="138902144"/>
        <c:axId val="138928512"/>
      </c:lineChart>
      <c:catAx>
        <c:axId val="138902144"/>
        <c:scaling>
          <c:orientation val="minMax"/>
        </c:scaling>
        <c:axPos val="b"/>
        <c:numFmt formatCode="General" sourceLinked="1"/>
        <c:tickLblPos val="nextTo"/>
        <c:crossAx val="138928512"/>
        <c:crosses val="autoZero"/>
        <c:auto val="1"/>
        <c:lblAlgn val="ctr"/>
        <c:lblOffset val="100"/>
      </c:catAx>
      <c:valAx>
        <c:axId val="138928512"/>
        <c:scaling>
          <c:orientation val="minMax"/>
        </c:scaling>
        <c:delete val="1"/>
        <c:axPos val="l"/>
        <c:numFmt formatCode="#,##0.0" sourceLinked="1"/>
        <c:tickLblPos val="nextTo"/>
        <c:crossAx val="13890214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387C-D351-45F1-8802-69F0E39D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2204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</cp:lastModifiedBy>
  <cp:revision>2</cp:revision>
  <dcterms:created xsi:type="dcterms:W3CDTF">2015-02-04T19:11:00Z</dcterms:created>
  <dcterms:modified xsi:type="dcterms:W3CDTF">2015-02-04T19:11:00Z</dcterms:modified>
</cp:coreProperties>
</file>