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8632F7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b/>
          <w:bCs/>
          <w:szCs w:val="32"/>
        </w:rPr>
        <w:t xml:space="preserve">                         </w:t>
      </w: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C339C8" w:rsidRPr="004671FE" w:rsidRDefault="00C339C8" w:rsidP="00C339C8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C339C8" w:rsidRPr="004671FE" w:rsidRDefault="00C339C8" w:rsidP="00C339C8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C339C8" w:rsidRDefault="00C339C8" w:rsidP="00C339C8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C339C8" w:rsidRPr="004671FE" w:rsidRDefault="00C339C8" w:rsidP="00AE5FCE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proofErr w:type="spellStart"/>
      <w:r w:rsidR="00AE5FCE">
        <w:rPr>
          <w:rFonts w:ascii="Arial" w:hAnsi="Arial" w:cs="Arial" w:hint="cs"/>
          <w:i w:val="0"/>
          <w:iCs w:val="0"/>
          <w:color w:val="0000FF"/>
          <w:sz w:val="26"/>
          <w:szCs w:val="26"/>
          <w:rtl/>
          <w:lang w:bidi="ar-MA"/>
        </w:rPr>
        <w:t>'</w:t>
      </w:r>
      <w:proofErr w:type="spellEnd"/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AOUT</w:t>
      </w:r>
      <w:r w:rsidR="00105654">
        <w:rPr>
          <w:rFonts w:ascii="Arial" w:hAnsi="Arial" w:cs="Arial" w:hint="cs"/>
          <w:i w:val="0"/>
          <w:iCs w:val="0"/>
          <w:color w:val="0000FF"/>
          <w:sz w:val="26"/>
          <w:szCs w:val="26"/>
          <w:rtl/>
          <w:lang w:bidi="ar-MA"/>
        </w:rPr>
        <w:t xml:space="preserve"> </w:t>
      </w:r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201</w:t>
      </w:r>
      <w:r>
        <w:rPr>
          <w:rFonts w:ascii="Arial" w:hAnsi="Arial" w:cs="Arial" w:hint="cs"/>
          <w:i w:val="0"/>
          <w:iCs w:val="0"/>
          <w:color w:val="0000FF"/>
          <w:sz w:val="26"/>
          <w:szCs w:val="26"/>
          <w:rtl/>
          <w:lang w:bidi="ar-MA"/>
        </w:rPr>
        <w:t>4</w:t>
      </w:r>
    </w:p>
    <w:p w:rsidR="00C339C8" w:rsidRPr="004671FE" w:rsidRDefault="00C339C8" w:rsidP="00C339C8">
      <w:pPr>
        <w:jc w:val="right"/>
        <w:rPr>
          <w:rFonts w:ascii="Arial" w:hAnsi="Arial" w:cs="Arial"/>
          <w:lang w:bidi="ar-MA"/>
        </w:rPr>
      </w:pPr>
    </w:p>
    <w:p w:rsidR="00C339C8" w:rsidRPr="004671FE" w:rsidRDefault="00C339C8" w:rsidP="00C339C8">
      <w:pPr>
        <w:jc w:val="right"/>
        <w:rPr>
          <w:rFonts w:ascii="Arial" w:hAnsi="Arial" w:cs="Arial"/>
          <w:lang w:bidi="ar-MA"/>
        </w:rPr>
      </w:pPr>
    </w:p>
    <w:p w:rsidR="00C339C8" w:rsidRDefault="00C339C8" w:rsidP="0009091E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Hausse de 0,</w:t>
      </w:r>
      <w:r w:rsidR="00041C4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6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l’indice des prix à la consommation, résultant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hausse des prix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d’eau et d’assainissement  de 12,8%</w:t>
      </w:r>
      <w:r w:rsidR="00D86A7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d’électricité de 6,5% et de</w:t>
      </w:r>
      <w:r w:rsidR="00D86A7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 légumes de 5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D86A7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.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4E3E5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stagnation 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sur un mois et </w:t>
      </w:r>
      <w:r w:rsidR="004E3E5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 hausse de 0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4E3E5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8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C339C8" w:rsidRPr="004E2AF0" w:rsidRDefault="00C339C8" w:rsidP="00C339C8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C339C8" w:rsidRPr="00C954F8" w:rsidRDefault="00C339C8" w:rsidP="00041C4D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  <w:r w:rsidRPr="004671FE">
        <w:rPr>
          <w:rFonts w:ascii="Arial" w:hAnsi="Arial" w:cs="Arial"/>
          <w:sz w:val="24"/>
          <w:szCs w:val="24"/>
        </w:rPr>
        <w:t xml:space="preserve">        L’indice d</w:t>
      </w:r>
      <w:r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connu</w:t>
      </w:r>
      <w:r w:rsidRPr="004671FE">
        <w:rPr>
          <w:rFonts w:ascii="Arial" w:hAnsi="Arial" w:cs="Arial"/>
          <w:sz w:val="24"/>
          <w:szCs w:val="24"/>
        </w:rPr>
        <w:t xml:space="preserve">, au cours du mois </w:t>
      </w:r>
      <w:r>
        <w:rPr>
          <w:rFonts w:ascii="Arial" w:hAnsi="Arial" w:cs="Arial"/>
          <w:sz w:val="24"/>
          <w:szCs w:val="24"/>
        </w:rPr>
        <w:t>d’août 201</w:t>
      </w:r>
      <w:r>
        <w:rPr>
          <w:rFonts w:ascii="Arial" w:hAnsi="Arial" w:cs="Arial" w:hint="cs"/>
          <w:sz w:val="24"/>
          <w:szCs w:val="24"/>
          <w:rtl/>
        </w:rPr>
        <w:t>4</w:t>
      </w:r>
      <w:r w:rsidRPr="004671FE">
        <w:rPr>
          <w:rFonts w:ascii="Arial" w:hAnsi="Arial" w:cs="Arial"/>
          <w:sz w:val="24"/>
          <w:szCs w:val="24"/>
        </w:rPr>
        <w:t xml:space="preserve">, une </w:t>
      </w:r>
      <w:proofErr w:type="gramStart"/>
      <w:r>
        <w:rPr>
          <w:rFonts w:ascii="Arial" w:hAnsi="Arial" w:cs="Arial"/>
          <w:sz w:val="24"/>
          <w:szCs w:val="24"/>
        </w:rPr>
        <w:t>hausse</w:t>
      </w:r>
      <w:proofErr w:type="gramEnd"/>
      <w:r>
        <w:rPr>
          <w:rFonts w:ascii="Arial" w:hAnsi="Arial" w:cs="Arial"/>
          <w:sz w:val="24"/>
          <w:szCs w:val="24"/>
        </w:rPr>
        <w:t xml:space="preserve"> de 0,</w:t>
      </w:r>
      <w:r w:rsidR="00041C4D">
        <w:rPr>
          <w:rFonts w:ascii="Arial" w:hAnsi="Arial" w:cs="Arial"/>
          <w:sz w:val="24"/>
          <w:szCs w:val="24"/>
        </w:rPr>
        <w:t>6</w:t>
      </w:r>
      <w:r w:rsidRPr="004671FE">
        <w:rPr>
          <w:rFonts w:ascii="Arial" w:hAnsi="Arial" w:cs="Arial"/>
          <w:sz w:val="24"/>
          <w:szCs w:val="24"/>
        </w:rPr>
        <w:t>% par rapport au mois précédent. Cette variation est le résultat d</w:t>
      </w:r>
      <w:r>
        <w:rPr>
          <w:rFonts w:ascii="Arial" w:hAnsi="Arial" w:cs="Arial"/>
          <w:sz w:val="24"/>
          <w:szCs w:val="24"/>
        </w:rPr>
        <w:t>e la hausse de 0,3</w:t>
      </w:r>
      <w:r w:rsidRPr="005662A0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de </w:t>
      </w:r>
      <w:r w:rsidRPr="004671FE">
        <w:rPr>
          <w:rFonts w:ascii="Arial" w:hAnsi="Arial" w:cs="Arial"/>
          <w:sz w:val="24"/>
          <w:szCs w:val="24"/>
        </w:rPr>
        <w:t xml:space="preserve">l’indice </w:t>
      </w:r>
      <w:r w:rsidRPr="005662A0">
        <w:rPr>
          <w:rFonts w:ascii="Arial" w:hAnsi="Arial" w:cs="Arial"/>
          <w:sz w:val="24"/>
          <w:szCs w:val="24"/>
        </w:rPr>
        <w:t>des produits</w:t>
      </w:r>
      <w:r>
        <w:rPr>
          <w:rFonts w:ascii="Arial" w:hAnsi="Arial" w:cs="Arial"/>
          <w:sz w:val="24"/>
          <w:szCs w:val="24"/>
        </w:rPr>
        <w:t xml:space="preserve"> </w:t>
      </w:r>
      <w:r w:rsidRPr="005662A0">
        <w:rPr>
          <w:rFonts w:ascii="Arial" w:hAnsi="Arial" w:cs="Arial"/>
          <w:sz w:val="24"/>
          <w:szCs w:val="24"/>
        </w:rPr>
        <w:t xml:space="preserve">alimentaires </w:t>
      </w:r>
      <w:r w:rsidRPr="00C954F8">
        <w:rPr>
          <w:rFonts w:ascii="Arial" w:hAnsi="Arial" w:cs="Arial"/>
          <w:sz w:val="24"/>
          <w:szCs w:val="24"/>
        </w:rPr>
        <w:t xml:space="preserve">et </w:t>
      </w:r>
      <w:r>
        <w:rPr>
          <w:rFonts w:ascii="Arial" w:hAnsi="Arial" w:cs="Arial"/>
          <w:sz w:val="24"/>
          <w:szCs w:val="24"/>
        </w:rPr>
        <w:t xml:space="preserve">de 0,7% de </w:t>
      </w:r>
      <w:r w:rsidRPr="00C954F8">
        <w:rPr>
          <w:rFonts w:ascii="Arial" w:hAnsi="Arial" w:cs="Arial"/>
          <w:sz w:val="24"/>
          <w:szCs w:val="24"/>
        </w:rPr>
        <w:t>l’indice des produits</w:t>
      </w:r>
      <w:r>
        <w:rPr>
          <w:rFonts w:ascii="Arial" w:hAnsi="Arial" w:cs="Arial"/>
          <w:sz w:val="24"/>
          <w:szCs w:val="24"/>
        </w:rPr>
        <w:t xml:space="preserve"> non </w:t>
      </w:r>
      <w:r w:rsidRPr="00C954F8">
        <w:rPr>
          <w:rFonts w:ascii="Arial" w:hAnsi="Arial" w:cs="Arial"/>
          <w:sz w:val="24"/>
          <w:szCs w:val="24"/>
        </w:rPr>
        <w:t>alimentaires</w:t>
      </w:r>
      <w:r>
        <w:rPr>
          <w:rFonts w:ascii="Arial" w:hAnsi="Arial" w:cs="Arial"/>
          <w:sz w:val="24"/>
          <w:szCs w:val="24"/>
        </w:rPr>
        <w:t>.</w:t>
      </w:r>
    </w:p>
    <w:p w:rsidR="00C339C8" w:rsidRPr="00070661" w:rsidRDefault="00C339C8" w:rsidP="00C339C8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C339C8" w:rsidRPr="00166D20" w:rsidRDefault="00C339C8" w:rsidP="00D86A70">
      <w:pPr>
        <w:bidi w:val="0"/>
        <w:jc w:val="lowKashida"/>
        <w:rPr>
          <w:rFonts w:ascii="Arial" w:hAnsi="Arial" w:cs="Arial"/>
          <w:color w:val="FF0000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Les hausses des produits alimentaires observées entre juillet et août 2014 concernent principalement les </w:t>
      </w:r>
      <w:r w:rsidR="0021197B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légumes » avec 5,2% et le « café, thé et cacao » avec </w:t>
      </w:r>
      <w:r w:rsidR="0021197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</w:t>
      </w:r>
      <w:r w:rsidR="0021197B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%. En revanche, le</w:t>
      </w:r>
      <w:r w:rsidRPr="00417712">
        <w:rPr>
          <w:rFonts w:ascii="Arial" w:hAnsi="Arial" w:cs="Arial"/>
          <w:sz w:val="24"/>
          <w:szCs w:val="24"/>
        </w:rPr>
        <w:t xml:space="preserve">s prix ont diminué de </w:t>
      </w:r>
      <w:r w:rsidR="0021197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</w:t>
      </w:r>
      <w:r w:rsidR="00D86A70">
        <w:rPr>
          <w:rFonts w:ascii="Arial" w:hAnsi="Arial" w:cs="Arial"/>
          <w:sz w:val="24"/>
          <w:szCs w:val="24"/>
        </w:rPr>
        <w:t>6</w:t>
      </w:r>
      <w:r w:rsidRPr="00417712">
        <w:rPr>
          <w:rFonts w:ascii="Arial" w:hAnsi="Arial" w:cs="Arial"/>
          <w:sz w:val="24"/>
          <w:szCs w:val="24"/>
        </w:rPr>
        <w:t xml:space="preserve">% pour les « </w:t>
      </w:r>
      <w:r>
        <w:rPr>
          <w:rFonts w:ascii="Arial" w:hAnsi="Arial" w:cs="Arial"/>
          <w:sz w:val="24"/>
          <w:szCs w:val="24"/>
        </w:rPr>
        <w:t>poissons et fruits de mer</w:t>
      </w:r>
      <w:r w:rsidRPr="00417712">
        <w:rPr>
          <w:rFonts w:ascii="Arial" w:hAnsi="Arial" w:cs="Arial"/>
          <w:sz w:val="24"/>
          <w:szCs w:val="24"/>
        </w:rPr>
        <w:t xml:space="preserve"> » et de 0,</w:t>
      </w:r>
      <w:r>
        <w:rPr>
          <w:rFonts w:ascii="Arial" w:hAnsi="Arial" w:cs="Arial"/>
          <w:sz w:val="24"/>
          <w:szCs w:val="24"/>
        </w:rPr>
        <w:t>7</w:t>
      </w:r>
      <w:r w:rsidRPr="00417712">
        <w:rPr>
          <w:rFonts w:ascii="Arial" w:hAnsi="Arial" w:cs="Arial"/>
          <w:sz w:val="24"/>
          <w:szCs w:val="24"/>
        </w:rPr>
        <w:t>% pour  le «</w:t>
      </w:r>
      <w:r>
        <w:rPr>
          <w:rFonts w:ascii="Arial" w:hAnsi="Arial" w:cs="Arial"/>
          <w:sz w:val="24"/>
          <w:szCs w:val="24"/>
        </w:rPr>
        <w:t>lait, fromage et œufs</w:t>
      </w:r>
      <w:r w:rsidRPr="00417712">
        <w:rPr>
          <w:rFonts w:ascii="Arial" w:hAnsi="Arial" w:cs="Arial"/>
          <w:sz w:val="24"/>
          <w:szCs w:val="24"/>
        </w:rPr>
        <w:t xml:space="preserve"> »</w:t>
      </w:r>
      <w:r>
        <w:rPr>
          <w:rFonts w:ascii="Arial" w:hAnsi="Arial" w:cs="Arial"/>
          <w:sz w:val="24"/>
          <w:szCs w:val="24"/>
        </w:rPr>
        <w:t xml:space="preserve">. </w:t>
      </w:r>
      <w:r w:rsidRPr="00417712">
        <w:rPr>
          <w:rFonts w:ascii="Arial" w:hAnsi="Arial" w:cs="Arial"/>
          <w:sz w:val="24"/>
          <w:szCs w:val="24"/>
        </w:rPr>
        <w:t xml:space="preserve">Pour les produits non alimentaires, la </w:t>
      </w:r>
      <w:r>
        <w:rPr>
          <w:rFonts w:ascii="Arial" w:hAnsi="Arial" w:cs="Arial"/>
          <w:sz w:val="24"/>
          <w:szCs w:val="24"/>
        </w:rPr>
        <w:t>hausse a concerné principalement l’</w:t>
      </w:r>
      <w:r w:rsidRPr="000E376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eau et l’assainissement</w:t>
      </w:r>
      <w:r w:rsidRPr="000E3762">
        <w:rPr>
          <w:rFonts w:ascii="Arial" w:hAnsi="Arial" w:cs="Arial"/>
          <w:sz w:val="24"/>
          <w:szCs w:val="24"/>
        </w:rPr>
        <w:t xml:space="preserve">» avec </w:t>
      </w:r>
      <w:r>
        <w:rPr>
          <w:rFonts w:ascii="Arial" w:hAnsi="Arial" w:cs="Arial"/>
          <w:sz w:val="24"/>
          <w:szCs w:val="24"/>
        </w:rPr>
        <w:t>12,8</w:t>
      </w:r>
      <w:r w:rsidRPr="000E3762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et l’</w:t>
      </w:r>
      <w:r w:rsidRPr="000E3762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électricité » avec 6,5%. </w:t>
      </w:r>
    </w:p>
    <w:p w:rsidR="00C339C8" w:rsidRPr="004671FE" w:rsidRDefault="00C339C8" w:rsidP="00C339C8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C339C8" w:rsidRDefault="00C339C8" w:rsidP="00D86A70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</w:t>
      </w:r>
      <w:r w:rsidRPr="000B6C75">
        <w:rPr>
          <w:rFonts w:ascii="Arial" w:hAnsi="Arial" w:cs="Arial"/>
          <w:sz w:val="24"/>
          <w:szCs w:val="24"/>
        </w:rPr>
        <w:t xml:space="preserve">Les </w:t>
      </w:r>
      <w:r>
        <w:rPr>
          <w:rFonts w:ascii="Arial" w:hAnsi="Arial" w:cs="Arial"/>
          <w:sz w:val="24"/>
          <w:szCs w:val="24"/>
        </w:rPr>
        <w:t xml:space="preserve">hausses </w:t>
      </w:r>
      <w:r w:rsidRPr="000B6C75">
        <w:rPr>
          <w:rFonts w:ascii="Arial" w:hAnsi="Arial" w:cs="Arial"/>
          <w:sz w:val="24"/>
          <w:szCs w:val="24"/>
        </w:rPr>
        <w:t xml:space="preserve">les plus importantes de l’IPC ont été enregistrées à </w:t>
      </w:r>
      <w:r>
        <w:rPr>
          <w:rFonts w:ascii="Arial" w:hAnsi="Arial" w:cs="Arial"/>
          <w:sz w:val="24"/>
          <w:szCs w:val="24"/>
        </w:rPr>
        <w:t>Al-Hoceima avec 1,9%, à Agadir, Casablanca et Dakhla avec 1,0%, à Meknès avec  0,9%</w:t>
      </w:r>
      <w:r w:rsidR="00D86A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à </w:t>
      </w:r>
      <w:proofErr w:type="spellStart"/>
      <w:r>
        <w:rPr>
          <w:rFonts w:ascii="Arial" w:hAnsi="Arial" w:cs="Arial"/>
          <w:sz w:val="24"/>
          <w:szCs w:val="24"/>
        </w:rPr>
        <w:t>Kénitra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1197B">
        <w:rPr>
          <w:rFonts w:ascii="Arial" w:hAnsi="Arial" w:cs="Arial"/>
          <w:sz w:val="24"/>
          <w:szCs w:val="24"/>
        </w:rPr>
        <w:t xml:space="preserve">et </w:t>
      </w:r>
      <w:proofErr w:type="spellStart"/>
      <w:r w:rsidR="0021197B">
        <w:rPr>
          <w:rFonts w:ascii="Arial" w:hAnsi="Arial" w:cs="Arial"/>
          <w:sz w:val="24"/>
          <w:szCs w:val="24"/>
        </w:rPr>
        <w:t>Beni</w:t>
      </w:r>
      <w:proofErr w:type="spellEnd"/>
      <w:r w:rsidR="0021197B">
        <w:rPr>
          <w:rFonts w:ascii="Arial" w:hAnsi="Arial" w:cs="Arial"/>
          <w:sz w:val="24"/>
          <w:szCs w:val="24"/>
        </w:rPr>
        <w:t>-</w:t>
      </w:r>
      <w:proofErr w:type="spellStart"/>
      <w:r w:rsidR="0021197B">
        <w:rPr>
          <w:rFonts w:ascii="Arial" w:hAnsi="Arial" w:cs="Arial"/>
          <w:sz w:val="24"/>
          <w:szCs w:val="24"/>
        </w:rPr>
        <w:t>mellal</w:t>
      </w:r>
      <w:proofErr w:type="spellEnd"/>
      <w:r>
        <w:rPr>
          <w:rFonts w:ascii="Arial" w:hAnsi="Arial" w:cs="Arial"/>
          <w:sz w:val="24"/>
          <w:szCs w:val="24"/>
        </w:rPr>
        <w:t xml:space="preserve"> avec 0,8%</w:t>
      </w:r>
      <w:r w:rsidR="00D86A70">
        <w:rPr>
          <w:rFonts w:ascii="Arial" w:hAnsi="Arial" w:cs="Arial"/>
          <w:sz w:val="24"/>
          <w:szCs w:val="24"/>
        </w:rPr>
        <w:t xml:space="preserve"> et à Tanger avec 0,6%</w:t>
      </w:r>
      <w:r>
        <w:rPr>
          <w:rFonts w:ascii="Arial" w:hAnsi="Arial" w:cs="Arial"/>
          <w:sz w:val="24"/>
          <w:szCs w:val="24"/>
        </w:rPr>
        <w:t xml:space="preserve">. </w:t>
      </w:r>
      <w:r w:rsidR="00D86A70">
        <w:rPr>
          <w:rFonts w:ascii="Arial" w:hAnsi="Arial" w:cs="Arial"/>
          <w:sz w:val="24"/>
          <w:szCs w:val="24"/>
        </w:rPr>
        <w:t>U</w:t>
      </w:r>
      <w:r w:rsidR="000F6BB4">
        <w:rPr>
          <w:rFonts w:ascii="Arial" w:hAnsi="Arial" w:cs="Arial"/>
          <w:sz w:val="24"/>
          <w:szCs w:val="24"/>
        </w:rPr>
        <w:t xml:space="preserve">ne stagnation a été </w:t>
      </w:r>
      <w:r w:rsidR="00AE5FCE">
        <w:rPr>
          <w:rFonts w:ascii="Arial" w:hAnsi="Arial" w:cs="Arial"/>
          <w:sz w:val="24"/>
          <w:szCs w:val="24"/>
        </w:rPr>
        <w:t>enregistrée</w:t>
      </w:r>
      <w:r w:rsidR="000F6BB4">
        <w:rPr>
          <w:rFonts w:ascii="Arial" w:hAnsi="Arial" w:cs="Arial"/>
          <w:sz w:val="24"/>
          <w:szCs w:val="24"/>
        </w:rPr>
        <w:t xml:space="preserve"> à Oujda</w:t>
      </w:r>
      <w:r>
        <w:rPr>
          <w:rFonts w:ascii="Arial" w:hAnsi="Arial" w:cs="Arial"/>
          <w:sz w:val="24"/>
          <w:szCs w:val="24"/>
        </w:rPr>
        <w:t>.</w:t>
      </w:r>
    </w:p>
    <w:p w:rsidR="00C339C8" w:rsidRDefault="00C339C8" w:rsidP="00C339C8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</w:p>
    <w:p w:rsidR="00C339C8" w:rsidRDefault="00C339C8" w:rsidP="002305F5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pacing w:val="-2"/>
          <w:sz w:val="24"/>
          <w:szCs w:val="24"/>
        </w:rPr>
        <w:tab/>
        <w:t xml:space="preserve">Comparé au </w:t>
      </w:r>
      <w:r w:rsidRPr="004671FE">
        <w:rPr>
          <w:rFonts w:ascii="Arial" w:hAnsi="Arial" w:cs="Arial"/>
          <w:sz w:val="24"/>
          <w:szCs w:val="24"/>
        </w:rPr>
        <w:t>même mois de l’année précédente, l’indice d</w:t>
      </w:r>
      <w:r>
        <w:rPr>
          <w:rFonts w:ascii="Arial" w:hAnsi="Arial" w:cs="Arial"/>
          <w:sz w:val="24"/>
          <w:szCs w:val="24"/>
        </w:rPr>
        <w:t>es prix à la consommation</w:t>
      </w:r>
      <w:r w:rsidRPr="004671FE">
        <w:rPr>
          <w:rFonts w:ascii="Arial" w:hAnsi="Arial" w:cs="Arial"/>
          <w:sz w:val="24"/>
          <w:szCs w:val="24"/>
        </w:rPr>
        <w:t xml:space="preserve"> a enregistré</w:t>
      </w:r>
      <w:r>
        <w:rPr>
          <w:rFonts w:ascii="Arial" w:hAnsi="Arial" w:cs="Arial"/>
          <w:sz w:val="24"/>
          <w:szCs w:val="24"/>
        </w:rPr>
        <w:t xml:space="preserve"> une </w:t>
      </w:r>
      <w:r w:rsidR="00041C4D">
        <w:rPr>
          <w:rFonts w:ascii="Arial" w:hAnsi="Arial" w:cs="Arial"/>
          <w:sz w:val="24"/>
          <w:szCs w:val="24"/>
        </w:rPr>
        <w:t xml:space="preserve">stagnation </w:t>
      </w:r>
      <w:r w:rsidRPr="00684F8E">
        <w:rPr>
          <w:rFonts w:ascii="Arial" w:hAnsi="Arial" w:cs="Arial"/>
          <w:sz w:val="24"/>
          <w:szCs w:val="24"/>
        </w:rPr>
        <w:t xml:space="preserve">au cours du mois </w:t>
      </w:r>
      <w:r>
        <w:rPr>
          <w:rFonts w:ascii="Arial" w:hAnsi="Arial" w:cs="Arial"/>
          <w:sz w:val="24"/>
          <w:szCs w:val="24"/>
        </w:rPr>
        <w:t>d’août</w:t>
      </w:r>
      <w:r w:rsidRPr="00166D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 w:hint="cs"/>
          <w:sz w:val="24"/>
          <w:szCs w:val="24"/>
          <w:rtl/>
        </w:rPr>
        <w:t>4</w:t>
      </w:r>
      <w:r>
        <w:rPr>
          <w:rFonts w:ascii="Arial" w:hAnsi="Arial" w:cs="Arial"/>
          <w:sz w:val="24"/>
          <w:szCs w:val="24"/>
        </w:rPr>
        <w:t xml:space="preserve"> conséquence de </w:t>
      </w:r>
      <w:r w:rsidRPr="008D538D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baisse</w:t>
      </w:r>
      <w:r w:rsidRPr="008D538D">
        <w:rPr>
          <w:rFonts w:ascii="Arial" w:hAnsi="Arial" w:cs="Arial"/>
          <w:sz w:val="24"/>
          <w:szCs w:val="24"/>
        </w:rPr>
        <w:t xml:space="preserve"> de l’indice des produits</w:t>
      </w:r>
      <w:r>
        <w:rPr>
          <w:rFonts w:ascii="Arial" w:hAnsi="Arial" w:cs="Arial"/>
          <w:sz w:val="24"/>
          <w:szCs w:val="24"/>
        </w:rPr>
        <w:t xml:space="preserve"> alimentaires </w:t>
      </w:r>
      <w:r w:rsidRPr="008D538D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3,</w:t>
      </w:r>
      <w:r w:rsidR="00041C4D">
        <w:rPr>
          <w:rFonts w:ascii="Arial" w:hAnsi="Arial" w:cs="Arial"/>
          <w:sz w:val="24"/>
          <w:szCs w:val="24"/>
        </w:rPr>
        <w:t>0</w:t>
      </w:r>
      <w:r w:rsidRPr="008D538D">
        <w:rPr>
          <w:rFonts w:ascii="Arial" w:hAnsi="Arial" w:cs="Arial"/>
          <w:sz w:val="24"/>
          <w:szCs w:val="24"/>
        </w:rPr>
        <w:t>% et</w:t>
      </w:r>
      <w:r>
        <w:rPr>
          <w:rFonts w:ascii="Arial" w:hAnsi="Arial" w:cs="Arial"/>
          <w:sz w:val="24"/>
          <w:szCs w:val="24"/>
        </w:rPr>
        <w:t xml:space="preserve"> </w:t>
      </w:r>
      <w:r w:rsidRPr="008D538D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la hausse </w:t>
      </w:r>
      <w:r w:rsidRPr="008D538D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celui des </w:t>
      </w:r>
      <w:r w:rsidRPr="008D538D">
        <w:rPr>
          <w:rFonts w:ascii="Arial" w:hAnsi="Arial" w:cs="Arial"/>
          <w:sz w:val="24"/>
          <w:szCs w:val="24"/>
        </w:rPr>
        <w:t>produits</w:t>
      </w:r>
      <w:r>
        <w:rPr>
          <w:rFonts w:ascii="Arial" w:hAnsi="Arial" w:cs="Arial"/>
          <w:sz w:val="24"/>
          <w:szCs w:val="24"/>
        </w:rPr>
        <w:t xml:space="preserve"> non</w:t>
      </w:r>
      <w:r w:rsidRPr="008D538D">
        <w:rPr>
          <w:rFonts w:ascii="Arial" w:hAnsi="Arial" w:cs="Arial"/>
          <w:sz w:val="24"/>
          <w:szCs w:val="24"/>
        </w:rPr>
        <w:t xml:space="preserve"> alimentaires de </w:t>
      </w:r>
      <w:r>
        <w:rPr>
          <w:rFonts w:ascii="Arial" w:hAnsi="Arial" w:cs="Arial"/>
          <w:sz w:val="24"/>
          <w:szCs w:val="24"/>
        </w:rPr>
        <w:t>2,2</w:t>
      </w:r>
      <w:r w:rsidRPr="008D538D">
        <w:rPr>
          <w:rFonts w:ascii="Arial" w:hAnsi="Arial" w:cs="Arial"/>
          <w:sz w:val="24"/>
          <w:szCs w:val="24"/>
        </w:rPr>
        <w:t>%.</w:t>
      </w:r>
      <w:r w:rsidRPr="00CB3F6B"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P</w:t>
      </w:r>
      <w:r w:rsidRPr="006637DA">
        <w:rPr>
          <w:rFonts w:ascii="Arial" w:hAnsi="Arial" w:cs="Arial"/>
          <w:spacing w:val="-2"/>
          <w:sz w:val="24"/>
          <w:szCs w:val="24"/>
        </w:rPr>
        <w:t>our les produits non alimentaires</w:t>
      </w:r>
      <w:r>
        <w:rPr>
          <w:rFonts w:ascii="Arial" w:hAnsi="Arial" w:cs="Arial"/>
          <w:spacing w:val="-2"/>
          <w:sz w:val="24"/>
          <w:szCs w:val="24"/>
        </w:rPr>
        <w:t>, les variations</w:t>
      </w:r>
      <w:r w:rsidRPr="006637DA">
        <w:rPr>
          <w:rFonts w:ascii="Arial" w:hAnsi="Arial" w:cs="Arial"/>
          <w:spacing w:val="-2"/>
          <w:sz w:val="24"/>
          <w:szCs w:val="24"/>
        </w:rPr>
        <w:t xml:space="preserve"> vont d’une baisse de </w:t>
      </w:r>
      <w:r>
        <w:rPr>
          <w:rFonts w:ascii="Arial" w:hAnsi="Arial" w:cs="Arial"/>
          <w:spacing w:val="-2"/>
          <w:sz w:val="24"/>
          <w:szCs w:val="24"/>
        </w:rPr>
        <w:t xml:space="preserve">1,1% dans le secteur de la </w:t>
      </w:r>
      <w:r w:rsidRPr="006637DA">
        <w:rPr>
          <w:rFonts w:ascii="Arial" w:hAnsi="Arial" w:cs="Arial"/>
          <w:spacing w:val="-2"/>
          <w:sz w:val="24"/>
          <w:szCs w:val="24"/>
        </w:rPr>
        <w:t>«</w:t>
      </w:r>
      <w:r>
        <w:rPr>
          <w:rFonts w:ascii="Arial" w:hAnsi="Arial" w:cs="Arial"/>
          <w:spacing w:val="-2"/>
          <w:sz w:val="24"/>
          <w:szCs w:val="24"/>
        </w:rPr>
        <w:t>santé</w:t>
      </w:r>
      <w:r w:rsidRPr="006637DA">
        <w:rPr>
          <w:rFonts w:ascii="Arial" w:hAnsi="Arial" w:cs="Arial"/>
          <w:spacing w:val="-2"/>
          <w:sz w:val="24"/>
          <w:szCs w:val="24"/>
        </w:rPr>
        <w:t xml:space="preserve">» à une hausse de </w:t>
      </w:r>
      <w:r>
        <w:rPr>
          <w:rFonts w:ascii="Arial" w:hAnsi="Arial" w:cs="Arial"/>
          <w:spacing w:val="-2"/>
          <w:sz w:val="24"/>
          <w:szCs w:val="24"/>
        </w:rPr>
        <w:t>4,0</w:t>
      </w:r>
      <w:r w:rsidRPr="006637DA">
        <w:rPr>
          <w:rFonts w:ascii="Arial" w:hAnsi="Arial" w:cs="Arial"/>
          <w:spacing w:val="-2"/>
          <w:sz w:val="24"/>
          <w:szCs w:val="24"/>
        </w:rPr>
        <w:t xml:space="preserve">% </w:t>
      </w:r>
      <w:r>
        <w:rPr>
          <w:rFonts w:ascii="Arial" w:hAnsi="Arial" w:cs="Arial"/>
          <w:spacing w:val="-2"/>
          <w:sz w:val="24"/>
          <w:szCs w:val="24"/>
        </w:rPr>
        <w:t xml:space="preserve">dans </w:t>
      </w:r>
      <w:r w:rsidRPr="006637DA">
        <w:rPr>
          <w:rFonts w:ascii="Arial" w:hAnsi="Arial" w:cs="Arial"/>
          <w:spacing w:val="-2"/>
          <w:sz w:val="24"/>
          <w:szCs w:val="24"/>
        </w:rPr>
        <w:t>l</w:t>
      </w:r>
      <w:r>
        <w:rPr>
          <w:rFonts w:ascii="Arial" w:hAnsi="Arial" w:cs="Arial"/>
          <w:spacing w:val="-2"/>
          <w:sz w:val="24"/>
          <w:szCs w:val="24"/>
        </w:rPr>
        <w:t xml:space="preserve">e </w:t>
      </w:r>
      <w:r w:rsidRPr="006637DA">
        <w:rPr>
          <w:rFonts w:ascii="Arial" w:hAnsi="Arial" w:cs="Arial"/>
          <w:spacing w:val="-2"/>
          <w:sz w:val="24"/>
          <w:szCs w:val="24"/>
        </w:rPr>
        <w:t>«</w:t>
      </w:r>
      <w:r w:rsidR="002305F5">
        <w:rPr>
          <w:rFonts w:ascii="Arial" w:hAnsi="Arial" w:cs="Arial"/>
          <w:spacing w:val="-2"/>
          <w:sz w:val="24"/>
          <w:szCs w:val="24"/>
        </w:rPr>
        <w:t>logement</w:t>
      </w:r>
      <w:r w:rsidR="00B05E0F">
        <w:rPr>
          <w:rFonts w:ascii="Arial" w:hAnsi="Arial" w:cs="Arial"/>
          <w:spacing w:val="-2"/>
          <w:sz w:val="24"/>
          <w:szCs w:val="24"/>
        </w:rPr>
        <w:t>, eau et</w:t>
      </w:r>
      <w:r>
        <w:rPr>
          <w:rFonts w:ascii="Arial" w:hAnsi="Arial" w:cs="Arial"/>
          <w:spacing w:val="-2"/>
          <w:sz w:val="24"/>
          <w:szCs w:val="24"/>
        </w:rPr>
        <w:t xml:space="preserve"> électricité</w:t>
      </w:r>
      <w:r w:rsidRPr="006637DA">
        <w:rPr>
          <w:rFonts w:ascii="Arial" w:hAnsi="Arial" w:cs="Arial"/>
          <w:spacing w:val="-2"/>
          <w:sz w:val="24"/>
          <w:szCs w:val="24"/>
        </w:rPr>
        <w:t>».</w:t>
      </w:r>
    </w:p>
    <w:p w:rsidR="00C339C8" w:rsidRPr="004671FE" w:rsidRDefault="00C339C8" w:rsidP="00C339C8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</w:rPr>
      </w:pPr>
    </w:p>
    <w:p w:rsidR="00C339C8" w:rsidRPr="00194996" w:rsidRDefault="00C339C8" w:rsidP="006A64FF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671FE">
        <w:rPr>
          <w:rFonts w:ascii="Arial" w:hAnsi="Arial" w:cs="Arial"/>
          <w:sz w:val="24"/>
          <w:szCs w:val="24"/>
        </w:rPr>
        <w:t xml:space="preserve"> </w:t>
      </w:r>
      <w:r w:rsidRPr="00194996">
        <w:rPr>
          <w:rFonts w:ascii="Arial" w:hAnsi="Arial" w:cs="Arial"/>
          <w:sz w:val="24"/>
          <w:szCs w:val="24"/>
        </w:rPr>
        <w:t>Dans ces conditions, l’indicateur d’inflation sous-jacente, qui exclut les produits à prix volatiles et les produits à tarifs publics, aurait connu au cours du mois d</w:t>
      </w:r>
      <w:r w:rsidR="008E1A57">
        <w:rPr>
          <w:rFonts w:ascii="Arial" w:hAnsi="Arial" w:cs="Arial"/>
          <w:sz w:val="24"/>
          <w:szCs w:val="24"/>
        </w:rPr>
        <w:t>’août</w:t>
      </w:r>
      <w:r w:rsidRPr="00194996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 w:hint="cs"/>
          <w:sz w:val="24"/>
          <w:szCs w:val="24"/>
          <w:rtl/>
        </w:rPr>
        <w:t>4</w:t>
      </w:r>
      <w:r w:rsidRPr="00194996">
        <w:rPr>
          <w:rFonts w:ascii="Arial" w:hAnsi="Arial" w:cs="Arial"/>
          <w:sz w:val="24"/>
          <w:szCs w:val="24"/>
        </w:rPr>
        <w:t xml:space="preserve"> une </w:t>
      </w:r>
      <w:r w:rsidR="006A64FF">
        <w:rPr>
          <w:rFonts w:ascii="Arial" w:hAnsi="Arial" w:cs="Arial"/>
          <w:sz w:val="24"/>
          <w:szCs w:val="24"/>
        </w:rPr>
        <w:t xml:space="preserve">stagnation </w:t>
      </w:r>
      <w:r w:rsidRPr="00194996">
        <w:rPr>
          <w:rFonts w:ascii="Arial" w:hAnsi="Arial" w:cs="Arial"/>
          <w:sz w:val="24"/>
          <w:szCs w:val="24"/>
        </w:rPr>
        <w:t>par rapport au mois d</w:t>
      </w:r>
      <w:r w:rsidR="008E1A57">
        <w:rPr>
          <w:rFonts w:ascii="Arial" w:hAnsi="Arial" w:cs="Arial"/>
          <w:sz w:val="24"/>
          <w:szCs w:val="24"/>
        </w:rPr>
        <w:t>e juillet</w:t>
      </w:r>
      <w:r w:rsidRPr="00194996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 w:hint="cs"/>
          <w:sz w:val="24"/>
          <w:szCs w:val="24"/>
          <w:rtl/>
        </w:rPr>
        <w:t>4</w:t>
      </w:r>
      <w:r w:rsidRPr="00194996">
        <w:rPr>
          <w:rFonts w:ascii="Arial" w:hAnsi="Arial" w:cs="Arial"/>
          <w:sz w:val="24"/>
          <w:szCs w:val="24"/>
        </w:rPr>
        <w:t xml:space="preserve"> et </w:t>
      </w:r>
      <w:r w:rsidR="006A64FF">
        <w:rPr>
          <w:rFonts w:ascii="Arial" w:hAnsi="Arial" w:cs="Arial"/>
          <w:sz w:val="24"/>
          <w:szCs w:val="24"/>
        </w:rPr>
        <w:t>une hausse de</w:t>
      </w:r>
      <w:r w:rsidRPr="00194996">
        <w:rPr>
          <w:rFonts w:ascii="Arial" w:hAnsi="Arial" w:cs="Arial"/>
          <w:sz w:val="24"/>
          <w:szCs w:val="24"/>
        </w:rPr>
        <w:t xml:space="preserve"> </w:t>
      </w:r>
      <w:r w:rsidR="006A64FF">
        <w:rPr>
          <w:rFonts w:ascii="Arial" w:hAnsi="Arial" w:cs="Arial"/>
          <w:sz w:val="24"/>
          <w:szCs w:val="24"/>
        </w:rPr>
        <w:t>0</w:t>
      </w:r>
      <w:r w:rsidRPr="00194996">
        <w:rPr>
          <w:rFonts w:ascii="Arial" w:hAnsi="Arial" w:cs="Arial"/>
          <w:sz w:val="24"/>
          <w:szCs w:val="24"/>
        </w:rPr>
        <w:t>,</w:t>
      </w:r>
      <w:r w:rsidR="006A64FF">
        <w:rPr>
          <w:rFonts w:ascii="Arial" w:hAnsi="Arial" w:cs="Arial"/>
          <w:sz w:val="24"/>
          <w:szCs w:val="24"/>
        </w:rPr>
        <w:t>8</w:t>
      </w:r>
      <w:r w:rsidRPr="00194996">
        <w:rPr>
          <w:rFonts w:ascii="Arial" w:hAnsi="Arial" w:cs="Arial"/>
          <w:sz w:val="24"/>
          <w:szCs w:val="24"/>
        </w:rPr>
        <w:t>% par rapport au mois d</w:t>
      </w:r>
      <w:r w:rsidR="008E1A57">
        <w:rPr>
          <w:rFonts w:ascii="Arial" w:hAnsi="Arial" w:cs="Arial"/>
          <w:sz w:val="24"/>
          <w:szCs w:val="24"/>
        </w:rPr>
        <w:t>’août</w:t>
      </w:r>
      <w:r w:rsidRPr="00194996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 w:hint="cs"/>
          <w:sz w:val="24"/>
          <w:szCs w:val="24"/>
          <w:rtl/>
        </w:rPr>
        <w:t>3</w:t>
      </w:r>
      <w:r w:rsidRPr="00194996">
        <w:rPr>
          <w:rFonts w:ascii="Arial" w:hAnsi="Arial" w:cs="Arial"/>
          <w:sz w:val="24"/>
          <w:szCs w:val="24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E802A9" w:rsidRPr="004671FE" w:rsidRDefault="00E802A9" w:rsidP="00E802A9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</w:rPr>
      </w:pPr>
    </w:p>
    <w:p w:rsidR="009E579A" w:rsidRPr="004671FE" w:rsidRDefault="009E579A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</w:rPr>
      </w:pPr>
      <w:r w:rsidRPr="00402008">
        <w:rPr>
          <w:rFonts w:cs="Times New Roman"/>
          <w:b/>
          <w:i/>
          <w:color w:val="0000FF"/>
          <w:spacing w:val="-3"/>
          <w:sz w:val="48"/>
        </w:rPr>
        <w:lastRenderedPageBreak/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A33C6F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A33C6F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Indices mensuels</w:t>
            </w:r>
          </w:p>
        </w:tc>
      </w:tr>
      <w:tr w:rsidR="00703CB8" w:rsidRPr="00402008" w:rsidTr="00A33C6F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1F1068" w:rsidP="00A33C6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J</w:t>
            </w:r>
            <w:r w:rsidR="00105654">
              <w:rPr>
                <w:rFonts w:cs="Times New Roman"/>
                <w:b/>
                <w:bCs/>
              </w:rPr>
              <w:t xml:space="preserve">uillet </w:t>
            </w:r>
            <w:r w:rsidR="00FE6184">
              <w:rPr>
                <w:rFonts w:cs="Times New Roman"/>
                <w:b/>
                <w:bCs/>
              </w:rPr>
              <w:t>201</w:t>
            </w:r>
            <w:r w:rsidR="00FE6184"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105654" w:rsidP="00A33C6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Août </w:t>
            </w:r>
            <w:r w:rsidR="00703CB8">
              <w:rPr>
                <w:rFonts w:cs="Times New Roman"/>
                <w:b/>
                <w:bCs/>
              </w:rPr>
              <w:t>201</w:t>
            </w:r>
            <w:r w:rsidR="00730C23"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A33C6F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324B4E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324B4E">
              <w:rPr>
                <w:rFonts w:cs="Times New Roman"/>
                <w:b/>
                <w:bCs/>
              </w:rPr>
              <w:t>%</w:t>
            </w:r>
          </w:p>
        </w:tc>
      </w:tr>
      <w:tr w:rsidR="00AD3F96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AD3F9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AD3F9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AD3F9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  <w:tr w:rsidR="00AD3F9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D3F9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AD3F9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</w:rPr>
              <w:t>a</w:t>
            </w:r>
            <w:r>
              <w:rPr>
                <w:rFonts w:cs="Times New Roman"/>
                <w:sz w:val="18"/>
                <w:szCs w:val="18"/>
              </w:rPr>
              <w:t>r</w:t>
            </w:r>
            <w:r w:rsidRPr="00402008">
              <w:rPr>
                <w:rFonts w:cs="Times New Roman"/>
                <w:sz w:val="18"/>
                <w:szCs w:val="18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D3F9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D3F9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AD3F9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D3F9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D3F9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D3F96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D3F96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D3F96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113,6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</w:rPr>
      </w:pPr>
      <w:r w:rsidRPr="00402008">
        <w:rPr>
          <w:rFonts w:cs="Times New Roman"/>
          <w:b/>
          <w:i/>
          <w:spacing w:val="-2"/>
        </w:rPr>
        <w:t xml:space="preserve"> </w:t>
      </w:r>
    </w:p>
    <w:tbl>
      <w:tblPr>
        <w:tblW w:w="10670" w:type="dxa"/>
        <w:tblInd w:w="-257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A33C6F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02008">
              <w:rPr>
                <w:rFonts w:cs="Times New Roman"/>
                <w:b/>
                <w:bCs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A33C6F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A33C6F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D23C2D">
              <w:rPr>
                <w:rFonts w:cs="Times New Roman"/>
                <w:b/>
                <w:bCs/>
              </w:rPr>
              <w:t xml:space="preserve">Indices des </w:t>
            </w:r>
            <w:r w:rsidR="00105654">
              <w:rPr>
                <w:rFonts w:cs="Times New Roman"/>
                <w:b/>
                <w:bCs/>
              </w:rPr>
              <w:t xml:space="preserve">huit </w:t>
            </w:r>
            <w:r w:rsidRPr="00D23C2D">
              <w:rPr>
                <w:rFonts w:cs="Times New Roman"/>
                <w:b/>
                <w:bCs/>
              </w:rPr>
              <w:t>premiers mois</w:t>
            </w:r>
          </w:p>
        </w:tc>
      </w:tr>
      <w:tr w:rsidR="00703CB8" w:rsidRPr="00402008" w:rsidTr="00A33C6F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105654" w:rsidP="00A33C6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Août </w:t>
            </w:r>
            <w:r w:rsidR="00703CB8">
              <w:rPr>
                <w:rFonts w:cs="Times New Roman"/>
                <w:b/>
                <w:bCs/>
              </w:rPr>
              <w:t xml:space="preserve"> 201</w:t>
            </w:r>
            <w:r w:rsidR="00730C23">
              <w:rPr>
                <w:rFonts w:cs="Times New Roman" w:hint="cs"/>
                <w:b/>
                <w:bCs/>
                <w:rtl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105654" w:rsidP="00A33C6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Août  </w:t>
            </w:r>
            <w:r w:rsidR="00703CB8">
              <w:rPr>
                <w:rFonts w:cs="Times New Roman"/>
                <w:b/>
                <w:bCs/>
              </w:rPr>
              <w:t>201</w:t>
            </w:r>
            <w:r w:rsidR="00730C23"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A33C6F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A33C6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730C23">
              <w:rPr>
                <w:rFonts w:cs="Times New Roman" w:hint="cs"/>
                <w:b/>
                <w:bCs/>
                <w:rtl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A33C6F">
            <w:pPr>
              <w:bidi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201</w:t>
            </w:r>
            <w:r w:rsidR="00730C23">
              <w:rPr>
                <w:rFonts w:cs="Times New Roman" w:hint="cs"/>
                <w:b/>
                <w:bCs/>
                <w:rtl/>
              </w:rPr>
              <w:t>4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A33C6F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793709">
              <w:rPr>
                <w:rFonts w:cs="Times New Roman"/>
                <w:b/>
                <w:bCs/>
              </w:rPr>
              <w:t>Var</w:t>
            </w:r>
            <w:r>
              <w:rPr>
                <w:rFonts w:cs="Times New Roman"/>
                <w:b/>
                <w:bCs/>
              </w:rPr>
              <w:t>.</w:t>
            </w:r>
            <w:r w:rsidRPr="00793709">
              <w:rPr>
                <w:rFonts w:cs="Times New Roman"/>
                <w:b/>
                <w:bCs/>
              </w:rPr>
              <w:t>%</w:t>
            </w:r>
          </w:p>
        </w:tc>
      </w:tr>
      <w:tr w:rsidR="00AD3F96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123,4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-3,0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121,2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-1,3</w:t>
            </w:r>
          </w:p>
        </w:tc>
      </w:tr>
      <w:tr w:rsidR="00AD3F9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</w:tr>
      <w:tr w:rsidR="00AD3F9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AD3F9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  <w:tr w:rsidR="00AD3F9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AD3F9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AD3F9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05 - </w:t>
            </w:r>
            <w:proofErr w:type="spellStart"/>
            <w:r w:rsidRPr="00402008">
              <w:rPr>
                <w:rFonts w:cs="Times New Roman"/>
                <w:sz w:val="18"/>
                <w:szCs w:val="18"/>
              </w:rPr>
              <w:t>Meubles</w:t>
            </w:r>
            <w:proofErr w:type="gramStart"/>
            <w:r w:rsidRPr="00402008">
              <w:rPr>
                <w:rFonts w:cs="Times New Roman"/>
                <w:sz w:val="18"/>
                <w:szCs w:val="18"/>
              </w:rPr>
              <w:t>,articles</w:t>
            </w:r>
            <w:proofErr w:type="spellEnd"/>
            <w:proofErr w:type="gramEnd"/>
            <w:r w:rsidRPr="00402008">
              <w:rPr>
                <w:rFonts w:cs="Times New Roman"/>
                <w:sz w:val="18"/>
                <w:szCs w:val="18"/>
              </w:rPr>
              <w:t xml:space="preserve">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AD3F9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D3F9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AD3F9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-6,7</w:t>
            </w:r>
          </w:p>
        </w:tc>
      </w:tr>
      <w:tr w:rsidR="00AD3F9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AD3F9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AD3F96" w:rsidRPr="00402008" w:rsidTr="00DF7520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AD3F96" w:rsidRPr="00402008" w:rsidTr="00DF7520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18"/>
                <w:szCs w:val="18"/>
              </w:rPr>
            </w:pPr>
            <w:r w:rsidRPr="00402008">
              <w:rPr>
                <w:rFonts w:cs="Times New Roman"/>
                <w:sz w:val="18"/>
                <w:szCs w:val="18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AD3F96" w:rsidRPr="00402008" w:rsidTr="00DF7520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113,6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113,6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112,7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i/>
          <w:spacing w:val="-2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</w:rPr>
        <w:t>Source</w:t>
      </w:r>
      <w:r w:rsidRPr="004671FE">
        <w:rPr>
          <w:rFonts w:ascii="Arial" w:hAnsi="Arial" w:cs="Arial"/>
          <w:i/>
          <w:spacing w:val="-2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Pr="004671FE">
        <w:rPr>
          <w:rFonts w:ascii="Arial" w:hAnsi="Arial" w:cs="Arial"/>
          <w:i/>
          <w:spacing w:val="-2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 xml:space="preserve"> </w:t>
      </w: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  <w:r w:rsidRPr="004671FE">
        <w:rPr>
          <w:rFonts w:ascii="Arial" w:hAnsi="Arial" w:cs="Arial"/>
          <w:i/>
          <w:sz w:val="24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</w:rPr>
      </w:pPr>
      <w:r w:rsidRPr="00402008">
        <w:rPr>
          <w:rFonts w:cs="Times New Roman"/>
          <w:b/>
          <w:i/>
          <w:spacing w:val="-3"/>
          <w:sz w:val="30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</w:rPr>
      </w:pPr>
      <w:r w:rsidRPr="00402008">
        <w:rPr>
          <w:rFonts w:cs="Times New Roman"/>
          <w:b/>
          <w:i/>
          <w:spacing w:val="-3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A33C6F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A33C6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23C2D" w:rsidRDefault="00703CB8" w:rsidP="00A33C6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</w:rPr>
              <w:t xml:space="preserve">Indices des </w:t>
            </w:r>
            <w:r w:rsidR="00566BD5">
              <w:rPr>
                <w:rFonts w:cs="Times New Roman"/>
                <w:b/>
                <w:bCs/>
                <w:sz w:val="24"/>
                <w:szCs w:val="24"/>
              </w:rPr>
              <w:t xml:space="preserve">huit </w:t>
            </w:r>
            <w:r w:rsidRPr="00D23C2D">
              <w:rPr>
                <w:rFonts w:cs="Times New Roman"/>
                <w:b/>
                <w:bCs/>
                <w:sz w:val="24"/>
                <w:szCs w:val="24"/>
              </w:rPr>
              <w:t>premiers mois</w:t>
            </w:r>
          </w:p>
        </w:tc>
      </w:tr>
      <w:tr w:rsidR="00703CB8" w:rsidRPr="00402008" w:rsidTr="00A33C6F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566BD5" w:rsidP="00A33C6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Juillet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DD31F6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DD31F6">
              <w:rPr>
                <w:rFonts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566BD5" w:rsidP="00A33C6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Août</w:t>
            </w:r>
            <w:r w:rsidR="00993409">
              <w:rPr>
                <w:rFonts w:cs="Times New Roman"/>
                <w:b/>
                <w:bCs/>
                <w:sz w:val="24"/>
                <w:szCs w:val="24"/>
              </w:rPr>
              <w:br/>
            </w:r>
            <w:r w:rsidR="00703CB8"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987388">
              <w:rPr>
                <w:rFonts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A33C6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proofErr w:type="spellStart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A33C6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98738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A33C6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201</w:t>
            </w:r>
            <w:r w:rsidR="00987388">
              <w:rPr>
                <w:rFonts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A33C6F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</w:rPr>
              <w:t>Var</w:t>
            </w:r>
            <w:proofErr w:type="spellStart"/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.</w:t>
            </w:r>
            <w:proofErr w:type="spellEnd"/>
            <w:r w:rsidRPr="00DB00D9">
              <w:rPr>
                <w:rFonts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AD3F96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AD3F9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D3F9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AD3F9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Kénitra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AD3F9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AD3F9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AD3F9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AD3F9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D3F9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AD3F9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D3F9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Laâyoune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AD3F9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  <w:r w:rsidRPr="00402008">
              <w:rPr>
                <w:rFonts w:cs="Times New Roman"/>
                <w:sz w:val="24"/>
                <w:szCs w:val="24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D3F9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Guelmim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AD3F9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AD3F9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r w:rsidRPr="00402008">
              <w:rPr>
                <w:rFonts w:cs="Times New Roman"/>
                <w:sz w:val="24"/>
                <w:szCs w:val="24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AD3F96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Beni</w:t>
            </w:r>
            <w:proofErr w:type="spellEnd"/>
            <w:r w:rsidRPr="00402008">
              <w:rPr>
                <w:rFonts w:cs="Times New Roman"/>
                <w:sz w:val="24"/>
                <w:szCs w:val="24"/>
              </w:rPr>
              <w:t>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AD3F96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sz w:val="24"/>
                <w:szCs w:val="24"/>
              </w:rPr>
            </w:pPr>
            <w:proofErr w:type="spellStart"/>
            <w:r w:rsidRPr="00402008">
              <w:rPr>
                <w:rFonts w:cs="Times New Roman"/>
                <w:sz w:val="24"/>
                <w:szCs w:val="24"/>
              </w:rPr>
              <w:t>Al-hoceima</w:t>
            </w:r>
            <w:proofErr w:type="spellEnd"/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</w:tr>
      <w:tr w:rsidR="00AD3F96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Pr="00402008" w:rsidRDefault="00AD3F96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113,6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D3F96" w:rsidRDefault="00AD3F9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</w:rPr>
      </w:pPr>
      <w:r w:rsidRPr="004671FE">
        <w:rPr>
          <w:rFonts w:ascii="Arial" w:hAnsi="Arial" w:cs="Arial"/>
          <w:i/>
          <w:spacing w:val="-2"/>
        </w:rPr>
        <w:t xml:space="preserve">   </w:t>
      </w:r>
      <w:r>
        <w:rPr>
          <w:rFonts w:ascii="Arial" w:hAnsi="Arial" w:cs="Arial"/>
          <w:i/>
          <w:spacing w:val="-2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</w:rPr>
        <w:t>Source</w:t>
      </w:r>
      <w:r w:rsidR="009E579A" w:rsidRPr="004671FE">
        <w:rPr>
          <w:rFonts w:ascii="Arial" w:hAnsi="Arial" w:cs="Arial"/>
          <w:i/>
          <w:spacing w:val="-2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3A8" w:rsidRDefault="009A33A8">
      <w:pPr>
        <w:jc w:val="right"/>
      </w:pPr>
      <w:r>
        <w:separator/>
      </w:r>
    </w:p>
  </w:endnote>
  <w:endnote w:type="continuationSeparator" w:id="0">
    <w:p w:rsidR="009A33A8" w:rsidRDefault="009A33A8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3A8" w:rsidRDefault="009A33A8">
      <w:pPr>
        <w:jc w:val="right"/>
      </w:pPr>
      <w:r>
        <w:separator/>
      </w:r>
    </w:p>
  </w:footnote>
  <w:footnote w:type="continuationSeparator" w:id="0">
    <w:p w:rsidR="009A33A8" w:rsidRDefault="009A33A8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11489"/>
    <w:rsid w:val="000146CD"/>
    <w:rsid w:val="000146F1"/>
    <w:rsid w:val="00014A7D"/>
    <w:rsid w:val="00015B58"/>
    <w:rsid w:val="00016996"/>
    <w:rsid w:val="00016B32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3684D"/>
    <w:rsid w:val="0004043D"/>
    <w:rsid w:val="0004142B"/>
    <w:rsid w:val="00041ABA"/>
    <w:rsid w:val="00041C4D"/>
    <w:rsid w:val="000420CB"/>
    <w:rsid w:val="000427D0"/>
    <w:rsid w:val="000430BB"/>
    <w:rsid w:val="000447BF"/>
    <w:rsid w:val="000468B5"/>
    <w:rsid w:val="00046D23"/>
    <w:rsid w:val="000477B8"/>
    <w:rsid w:val="00047D6A"/>
    <w:rsid w:val="00050F52"/>
    <w:rsid w:val="00054AE8"/>
    <w:rsid w:val="00057509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091E"/>
    <w:rsid w:val="0009125C"/>
    <w:rsid w:val="00093234"/>
    <w:rsid w:val="00094B65"/>
    <w:rsid w:val="000A0EAC"/>
    <w:rsid w:val="000A7C14"/>
    <w:rsid w:val="000B1E72"/>
    <w:rsid w:val="000B3146"/>
    <w:rsid w:val="000B3B58"/>
    <w:rsid w:val="000B54DB"/>
    <w:rsid w:val="000B6311"/>
    <w:rsid w:val="000B6C75"/>
    <w:rsid w:val="000B708C"/>
    <w:rsid w:val="000B7A94"/>
    <w:rsid w:val="000C522D"/>
    <w:rsid w:val="000C52FC"/>
    <w:rsid w:val="000C58B7"/>
    <w:rsid w:val="000D26CA"/>
    <w:rsid w:val="000D5C67"/>
    <w:rsid w:val="000D7448"/>
    <w:rsid w:val="000E3762"/>
    <w:rsid w:val="000F58D9"/>
    <w:rsid w:val="000F6BB4"/>
    <w:rsid w:val="0010193B"/>
    <w:rsid w:val="001054E6"/>
    <w:rsid w:val="00105654"/>
    <w:rsid w:val="0010600E"/>
    <w:rsid w:val="00106965"/>
    <w:rsid w:val="00106C4B"/>
    <w:rsid w:val="00107771"/>
    <w:rsid w:val="00107799"/>
    <w:rsid w:val="00110803"/>
    <w:rsid w:val="001130CB"/>
    <w:rsid w:val="00113647"/>
    <w:rsid w:val="001156AE"/>
    <w:rsid w:val="00115C8F"/>
    <w:rsid w:val="00121A0B"/>
    <w:rsid w:val="00123E4D"/>
    <w:rsid w:val="00123E7F"/>
    <w:rsid w:val="00133549"/>
    <w:rsid w:val="00136986"/>
    <w:rsid w:val="00144C5F"/>
    <w:rsid w:val="00145010"/>
    <w:rsid w:val="001455FD"/>
    <w:rsid w:val="00147371"/>
    <w:rsid w:val="00147E22"/>
    <w:rsid w:val="00153A4D"/>
    <w:rsid w:val="001664C7"/>
    <w:rsid w:val="00166D20"/>
    <w:rsid w:val="00170F76"/>
    <w:rsid w:val="001738F8"/>
    <w:rsid w:val="00173A84"/>
    <w:rsid w:val="00173AF2"/>
    <w:rsid w:val="0017468D"/>
    <w:rsid w:val="0018456C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1DB7"/>
    <w:rsid w:val="001B6356"/>
    <w:rsid w:val="001C391E"/>
    <w:rsid w:val="001C4D7B"/>
    <w:rsid w:val="001C5706"/>
    <w:rsid w:val="001D0A49"/>
    <w:rsid w:val="001D5B05"/>
    <w:rsid w:val="001D69C8"/>
    <w:rsid w:val="001E017E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20152E"/>
    <w:rsid w:val="00203795"/>
    <w:rsid w:val="00204D5B"/>
    <w:rsid w:val="00204FA2"/>
    <w:rsid w:val="00205943"/>
    <w:rsid w:val="00207251"/>
    <w:rsid w:val="002078F2"/>
    <w:rsid w:val="0021197B"/>
    <w:rsid w:val="00214B22"/>
    <w:rsid w:val="002174B9"/>
    <w:rsid w:val="00220942"/>
    <w:rsid w:val="002210F0"/>
    <w:rsid w:val="00221ABF"/>
    <w:rsid w:val="00221CE0"/>
    <w:rsid w:val="00222CED"/>
    <w:rsid w:val="00223EC7"/>
    <w:rsid w:val="002264CF"/>
    <w:rsid w:val="00227A67"/>
    <w:rsid w:val="002305F5"/>
    <w:rsid w:val="00231EE6"/>
    <w:rsid w:val="00235711"/>
    <w:rsid w:val="00235E10"/>
    <w:rsid w:val="00237E67"/>
    <w:rsid w:val="00241D02"/>
    <w:rsid w:val="00242B30"/>
    <w:rsid w:val="002536D6"/>
    <w:rsid w:val="002559FB"/>
    <w:rsid w:val="00255F81"/>
    <w:rsid w:val="00260C05"/>
    <w:rsid w:val="00264881"/>
    <w:rsid w:val="00264CB6"/>
    <w:rsid w:val="00267DB3"/>
    <w:rsid w:val="002718B2"/>
    <w:rsid w:val="00272F23"/>
    <w:rsid w:val="00275306"/>
    <w:rsid w:val="00275643"/>
    <w:rsid w:val="002807A5"/>
    <w:rsid w:val="00280E29"/>
    <w:rsid w:val="002817D4"/>
    <w:rsid w:val="00297BF3"/>
    <w:rsid w:val="002A1466"/>
    <w:rsid w:val="002A1D3B"/>
    <w:rsid w:val="002A352B"/>
    <w:rsid w:val="002A4A07"/>
    <w:rsid w:val="002A7F8E"/>
    <w:rsid w:val="002B1996"/>
    <w:rsid w:val="002B2409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12CF"/>
    <w:rsid w:val="0034053C"/>
    <w:rsid w:val="00341466"/>
    <w:rsid w:val="003424E7"/>
    <w:rsid w:val="0034373C"/>
    <w:rsid w:val="00344C2E"/>
    <w:rsid w:val="00345B54"/>
    <w:rsid w:val="00350832"/>
    <w:rsid w:val="003522B1"/>
    <w:rsid w:val="003538B0"/>
    <w:rsid w:val="0035716A"/>
    <w:rsid w:val="00357388"/>
    <w:rsid w:val="00364714"/>
    <w:rsid w:val="00364F39"/>
    <w:rsid w:val="0036648A"/>
    <w:rsid w:val="00370E1B"/>
    <w:rsid w:val="003753A1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771"/>
    <w:rsid w:val="00395EB9"/>
    <w:rsid w:val="0039733C"/>
    <w:rsid w:val="003A2C52"/>
    <w:rsid w:val="003A59B9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05C08"/>
    <w:rsid w:val="00410156"/>
    <w:rsid w:val="0041282A"/>
    <w:rsid w:val="004129CE"/>
    <w:rsid w:val="004155AD"/>
    <w:rsid w:val="00417A51"/>
    <w:rsid w:val="004215B1"/>
    <w:rsid w:val="004216FE"/>
    <w:rsid w:val="0043243E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35D0"/>
    <w:rsid w:val="0046509A"/>
    <w:rsid w:val="004671FE"/>
    <w:rsid w:val="00471C84"/>
    <w:rsid w:val="00472CB4"/>
    <w:rsid w:val="004739BC"/>
    <w:rsid w:val="00473F2B"/>
    <w:rsid w:val="00475E8E"/>
    <w:rsid w:val="00481134"/>
    <w:rsid w:val="004821C8"/>
    <w:rsid w:val="00484778"/>
    <w:rsid w:val="00490020"/>
    <w:rsid w:val="00490051"/>
    <w:rsid w:val="004903FE"/>
    <w:rsid w:val="00490DA4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1A35"/>
    <w:rsid w:val="004E2AF0"/>
    <w:rsid w:val="004E3E55"/>
    <w:rsid w:val="004E5526"/>
    <w:rsid w:val="004E6BE0"/>
    <w:rsid w:val="004F0676"/>
    <w:rsid w:val="004F1957"/>
    <w:rsid w:val="004F1EE3"/>
    <w:rsid w:val="004F7186"/>
    <w:rsid w:val="00500CB2"/>
    <w:rsid w:val="005046D7"/>
    <w:rsid w:val="00506CE4"/>
    <w:rsid w:val="005102F3"/>
    <w:rsid w:val="00510635"/>
    <w:rsid w:val="0051173A"/>
    <w:rsid w:val="00511AA6"/>
    <w:rsid w:val="005134F4"/>
    <w:rsid w:val="00514BD2"/>
    <w:rsid w:val="0052180B"/>
    <w:rsid w:val="005251E3"/>
    <w:rsid w:val="00527906"/>
    <w:rsid w:val="00530F25"/>
    <w:rsid w:val="00531568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4BAB"/>
    <w:rsid w:val="005459CA"/>
    <w:rsid w:val="00545FD9"/>
    <w:rsid w:val="00550163"/>
    <w:rsid w:val="00551B51"/>
    <w:rsid w:val="00551BDF"/>
    <w:rsid w:val="005536BC"/>
    <w:rsid w:val="00557AC8"/>
    <w:rsid w:val="005603ED"/>
    <w:rsid w:val="00565857"/>
    <w:rsid w:val="005662A0"/>
    <w:rsid w:val="00566BD5"/>
    <w:rsid w:val="00572F92"/>
    <w:rsid w:val="005744B1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122A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BDE"/>
    <w:rsid w:val="006152A9"/>
    <w:rsid w:val="00615B23"/>
    <w:rsid w:val="00616205"/>
    <w:rsid w:val="00616D95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68B8"/>
    <w:rsid w:val="00657D72"/>
    <w:rsid w:val="006637DA"/>
    <w:rsid w:val="00665B89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2619"/>
    <w:rsid w:val="00693459"/>
    <w:rsid w:val="00694153"/>
    <w:rsid w:val="00694DD1"/>
    <w:rsid w:val="00695137"/>
    <w:rsid w:val="006A39AF"/>
    <w:rsid w:val="006A3E02"/>
    <w:rsid w:val="006A64FF"/>
    <w:rsid w:val="006A7CDB"/>
    <w:rsid w:val="006B13BA"/>
    <w:rsid w:val="006B1C97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1328"/>
    <w:rsid w:val="006D1939"/>
    <w:rsid w:val="006D58C3"/>
    <w:rsid w:val="006D7752"/>
    <w:rsid w:val="006E04D2"/>
    <w:rsid w:val="006E0F8A"/>
    <w:rsid w:val="006E4846"/>
    <w:rsid w:val="006E4F8A"/>
    <w:rsid w:val="006F2562"/>
    <w:rsid w:val="006F3E4F"/>
    <w:rsid w:val="006F6346"/>
    <w:rsid w:val="006F7E0B"/>
    <w:rsid w:val="00703CB8"/>
    <w:rsid w:val="0070458A"/>
    <w:rsid w:val="00706C44"/>
    <w:rsid w:val="00707A7B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67DB"/>
    <w:rsid w:val="007817A3"/>
    <w:rsid w:val="007817B9"/>
    <w:rsid w:val="00782F89"/>
    <w:rsid w:val="00784DF9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1FF5"/>
    <w:rsid w:val="007B29DC"/>
    <w:rsid w:val="007B663F"/>
    <w:rsid w:val="007B7F6C"/>
    <w:rsid w:val="007C092E"/>
    <w:rsid w:val="007C540E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5366"/>
    <w:rsid w:val="008468E2"/>
    <w:rsid w:val="0085055E"/>
    <w:rsid w:val="00854EB7"/>
    <w:rsid w:val="008631BC"/>
    <w:rsid w:val="008632F7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89E"/>
    <w:rsid w:val="00897ACC"/>
    <w:rsid w:val="00897ACE"/>
    <w:rsid w:val="008A3548"/>
    <w:rsid w:val="008B09DB"/>
    <w:rsid w:val="008B2828"/>
    <w:rsid w:val="008B4030"/>
    <w:rsid w:val="008B6C05"/>
    <w:rsid w:val="008B6DA0"/>
    <w:rsid w:val="008C33AF"/>
    <w:rsid w:val="008C4A68"/>
    <w:rsid w:val="008C5CD8"/>
    <w:rsid w:val="008D0BD0"/>
    <w:rsid w:val="008D0CB1"/>
    <w:rsid w:val="008D510D"/>
    <w:rsid w:val="008D538D"/>
    <w:rsid w:val="008D78DC"/>
    <w:rsid w:val="008E1A57"/>
    <w:rsid w:val="008E2358"/>
    <w:rsid w:val="008E6BD2"/>
    <w:rsid w:val="008E72E7"/>
    <w:rsid w:val="008E753F"/>
    <w:rsid w:val="008F1073"/>
    <w:rsid w:val="008F5030"/>
    <w:rsid w:val="00905ED3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2C5C"/>
    <w:rsid w:val="00933D29"/>
    <w:rsid w:val="00934846"/>
    <w:rsid w:val="00934BF8"/>
    <w:rsid w:val="00936A7A"/>
    <w:rsid w:val="00937E70"/>
    <w:rsid w:val="00940573"/>
    <w:rsid w:val="0094141D"/>
    <w:rsid w:val="00941832"/>
    <w:rsid w:val="00945511"/>
    <w:rsid w:val="009456AC"/>
    <w:rsid w:val="0094689E"/>
    <w:rsid w:val="00946FAC"/>
    <w:rsid w:val="00950152"/>
    <w:rsid w:val="009550CF"/>
    <w:rsid w:val="00957DEE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93409"/>
    <w:rsid w:val="009A33A8"/>
    <w:rsid w:val="009A4273"/>
    <w:rsid w:val="009A4DC0"/>
    <w:rsid w:val="009A6CD4"/>
    <w:rsid w:val="009A7EB4"/>
    <w:rsid w:val="009B0D6E"/>
    <w:rsid w:val="009B2E1D"/>
    <w:rsid w:val="009B61C1"/>
    <w:rsid w:val="009C273D"/>
    <w:rsid w:val="009C4BD9"/>
    <w:rsid w:val="009D0381"/>
    <w:rsid w:val="009D2BB7"/>
    <w:rsid w:val="009D4403"/>
    <w:rsid w:val="009D64A4"/>
    <w:rsid w:val="009D6980"/>
    <w:rsid w:val="009D6DE3"/>
    <w:rsid w:val="009E04ED"/>
    <w:rsid w:val="009E4869"/>
    <w:rsid w:val="009E579A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A3E"/>
    <w:rsid w:val="00A026CD"/>
    <w:rsid w:val="00A05256"/>
    <w:rsid w:val="00A05B8A"/>
    <w:rsid w:val="00A10533"/>
    <w:rsid w:val="00A143E4"/>
    <w:rsid w:val="00A153EC"/>
    <w:rsid w:val="00A22943"/>
    <w:rsid w:val="00A22A58"/>
    <w:rsid w:val="00A24BB8"/>
    <w:rsid w:val="00A250D1"/>
    <w:rsid w:val="00A26D98"/>
    <w:rsid w:val="00A3269B"/>
    <w:rsid w:val="00A33195"/>
    <w:rsid w:val="00A33C6F"/>
    <w:rsid w:val="00A35647"/>
    <w:rsid w:val="00A36619"/>
    <w:rsid w:val="00A41B6B"/>
    <w:rsid w:val="00A45009"/>
    <w:rsid w:val="00A457E3"/>
    <w:rsid w:val="00A465FF"/>
    <w:rsid w:val="00A46917"/>
    <w:rsid w:val="00A514B3"/>
    <w:rsid w:val="00A52A0F"/>
    <w:rsid w:val="00A52A4D"/>
    <w:rsid w:val="00A55354"/>
    <w:rsid w:val="00A5620F"/>
    <w:rsid w:val="00A57A25"/>
    <w:rsid w:val="00A6140A"/>
    <w:rsid w:val="00A6173B"/>
    <w:rsid w:val="00A6185E"/>
    <w:rsid w:val="00A66337"/>
    <w:rsid w:val="00A71489"/>
    <w:rsid w:val="00A7210A"/>
    <w:rsid w:val="00A723F0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0376"/>
    <w:rsid w:val="00A91347"/>
    <w:rsid w:val="00A949E5"/>
    <w:rsid w:val="00A95081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7E1B"/>
    <w:rsid w:val="00AD006B"/>
    <w:rsid w:val="00AD216D"/>
    <w:rsid w:val="00AD2794"/>
    <w:rsid w:val="00AD3F96"/>
    <w:rsid w:val="00AD5E40"/>
    <w:rsid w:val="00AD79C5"/>
    <w:rsid w:val="00AE1862"/>
    <w:rsid w:val="00AE30B1"/>
    <w:rsid w:val="00AE3C81"/>
    <w:rsid w:val="00AE5E52"/>
    <w:rsid w:val="00AE5FCE"/>
    <w:rsid w:val="00AE6503"/>
    <w:rsid w:val="00AE6F27"/>
    <w:rsid w:val="00AE7416"/>
    <w:rsid w:val="00AF2370"/>
    <w:rsid w:val="00AF2565"/>
    <w:rsid w:val="00B00101"/>
    <w:rsid w:val="00B018A5"/>
    <w:rsid w:val="00B02D1F"/>
    <w:rsid w:val="00B02DEE"/>
    <w:rsid w:val="00B034D2"/>
    <w:rsid w:val="00B03E76"/>
    <w:rsid w:val="00B04562"/>
    <w:rsid w:val="00B05E0F"/>
    <w:rsid w:val="00B10816"/>
    <w:rsid w:val="00B11F61"/>
    <w:rsid w:val="00B14217"/>
    <w:rsid w:val="00B152C6"/>
    <w:rsid w:val="00B15B3E"/>
    <w:rsid w:val="00B1795A"/>
    <w:rsid w:val="00B21932"/>
    <w:rsid w:val="00B24B94"/>
    <w:rsid w:val="00B25CC3"/>
    <w:rsid w:val="00B32695"/>
    <w:rsid w:val="00B33BDB"/>
    <w:rsid w:val="00B342DB"/>
    <w:rsid w:val="00B34AF5"/>
    <w:rsid w:val="00B35819"/>
    <w:rsid w:val="00B35862"/>
    <w:rsid w:val="00B43EC3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7BF8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B16D4"/>
    <w:rsid w:val="00BB1AD1"/>
    <w:rsid w:val="00BB1F87"/>
    <w:rsid w:val="00BB4937"/>
    <w:rsid w:val="00BB5E51"/>
    <w:rsid w:val="00BB6137"/>
    <w:rsid w:val="00BC4FCA"/>
    <w:rsid w:val="00BC7457"/>
    <w:rsid w:val="00BD0726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3B43"/>
    <w:rsid w:val="00C0404A"/>
    <w:rsid w:val="00C05306"/>
    <w:rsid w:val="00C1000E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A2D"/>
    <w:rsid w:val="00C32595"/>
    <w:rsid w:val="00C339C8"/>
    <w:rsid w:val="00C344D2"/>
    <w:rsid w:val="00C3452E"/>
    <w:rsid w:val="00C4044A"/>
    <w:rsid w:val="00C43C51"/>
    <w:rsid w:val="00C44F1C"/>
    <w:rsid w:val="00C46E34"/>
    <w:rsid w:val="00C53CE1"/>
    <w:rsid w:val="00C544C3"/>
    <w:rsid w:val="00C60757"/>
    <w:rsid w:val="00C635F7"/>
    <w:rsid w:val="00C658B0"/>
    <w:rsid w:val="00C66763"/>
    <w:rsid w:val="00C70B6A"/>
    <w:rsid w:val="00C7139B"/>
    <w:rsid w:val="00C757D5"/>
    <w:rsid w:val="00C827FF"/>
    <w:rsid w:val="00C855D5"/>
    <w:rsid w:val="00C86AF6"/>
    <w:rsid w:val="00C87218"/>
    <w:rsid w:val="00C94466"/>
    <w:rsid w:val="00C94B57"/>
    <w:rsid w:val="00C954F8"/>
    <w:rsid w:val="00CA0D32"/>
    <w:rsid w:val="00CA17F7"/>
    <w:rsid w:val="00CA4C3A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4E9"/>
    <w:rsid w:val="00CE52CC"/>
    <w:rsid w:val="00CE5929"/>
    <w:rsid w:val="00CE73E4"/>
    <w:rsid w:val="00CF4CDA"/>
    <w:rsid w:val="00D00997"/>
    <w:rsid w:val="00D017CA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0A15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63FC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A1"/>
    <w:rsid w:val="00D52FCA"/>
    <w:rsid w:val="00D542A3"/>
    <w:rsid w:val="00D60D7F"/>
    <w:rsid w:val="00D64124"/>
    <w:rsid w:val="00D67CCE"/>
    <w:rsid w:val="00D7295F"/>
    <w:rsid w:val="00D73A67"/>
    <w:rsid w:val="00D74252"/>
    <w:rsid w:val="00D74603"/>
    <w:rsid w:val="00D76F6C"/>
    <w:rsid w:val="00D8057A"/>
    <w:rsid w:val="00D8115D"/>
    <w:rsid w:val="00D8234D"/>
    <w:rsid w:val="00D840AA"/>
    <w:rsid w:val="00D8469D"/>
    <w:rsid w:val="00D8621F"/>
    <w:rsid w:val="00D86A70"/>
    <w:rsid w:val="00D93038"/>
    <w:rsid w:val="00D96535"/>
    <w:rsid w:val="00DA24DF"/>
    <w:rsid w:val="00DA4365"/>
    <w:rsid w:val="00DA45E8"/>
    <w:rsid w:val="00DB00D9"/>
    <w:rsid w:val="00DB148E"/>
    <w:rsid w:val="00DB3BAF"/>
    <w:rsid w:val="00DB541B"/>
    <w:rsid w:val="00DB5D22"/>
    <w:rsid w:val="00DC1BDA"/>
    <w:rsid w:val="00DC21FC"/>
    <w:rsid w:val="00DC5F34"/>
    <w:rsid w:val="00DD08FB"/>
    <w:rsid w:val="00DD1C6F"/>
    <w:rsid w:val="00DD31F6"/>
    <w:rsid w:val="00DD53B1"/>
    <w:rsid w:val="00DD6DBC"/>
    <w:rsid w:val="00DE081D"/>
    <w:rsid w:val="00DE17E0"/>
    <w:rsid w:val="00DE1FC4"/>
    <w:rsid w:val="00DE2077"/>
    <w:rsid w:val="00DF0859"/>
    <w:rsid w:val="00DF1D87"/>
    <w:rsid w:val="00DF6A56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2948"/>
    <w:rsid w:val="00E73F7E"/>
    <w:rsid w:val="00E759C8"/>
    <w:rsid w:val="00E75B89"/>
    <w:rsid w:val="00E772D4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433C"/>
    <w:rsid w:val="00EA539E"/>
    <w:rsid w:val="00EA61D7"/>
    <w:rsid w:val="00EB1444"/>
    <w:rsid w:val="00EB1BEE"/>
    <w:rsid w:val="00EB2982"/>
    <w:rsid w:val="00EB3BE2"/>
    <w:rsid w:val="00EB7DCF"/>
    <w:rsid w:val="00EC05DE"/>
    <w:rsid w:val="00ED03C1"/>
    <w:rsid w:val="00ED3739"/>
    <w:rsid w:val="00ED4485"/>
    <w:rsid w:val="00ED4765"/>
    <w:rsid w:val="00EE07F4"/>
    <w:rsid w:val="00EE49CF"/>
    <w:rsid w:val="00EE4B42"/>
    <w:rsid w:val="00EE6C14"/>
    <w:rsid w:val="00EF0D18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48CC"/>
    <w:rsid w:val="00F10A1B"/>
    <w:rsid w:val="00F10BFB"/>
    <w:rsid w:val="00F14DBA"/>
    <w:rsid w:val="00F20FDD"/>
    <w:rsid w:val="00F21F7E"/>
    <w:rsid w:val="00F233C3"/>
    <w:rsid w:val="00F259BF"/>
    <w:rsid w:val="00F2611F"/>
    <w:rsid w:val="00F27640"/>
    <w:rsid w:val="00F33C49"/>
    <w:rsid w:val="00F35181"/>
    <w:rsid w:val="00F3694C"/>
    <w:rsid w:val="00F3730C"/>
    <w:rsid w:val="00F4275D"/>
    <w:rsid w:val="00F43E8D"/>
    <w:rsid w:val="00F537D2"/>
    <w:rsid w:val="00F63C1E"/>
    <w:rsid w:val="00F65313"/>
    <w:rsid w:val="00F65C05"/>
    <w:rsid w:val="00F7159A"/>
    <w:rsid w:val="00F74497"/>
    <w:rsid w:val="00F75AFE"/>
    <w:rsid w:val="00F75C74"/>
    <w:rsid w:val="00F75EC1"/>
    <w:rsid w:val="00F80D6C"/>
    <w:rsid w:val="00F866F5"/>
    <w:rsid w:val="00F930C0"/>
    <w:rsid w:val="00F93394"/>
    <w:rsid w:val="00F93863"/>
    <w:rsid w:val="00F93BA8"/>
    <w:rsid w:val="00F957AB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192D"/>
    <w:rsid w:val="00FD6867"/>
    <w:rsid w:val="00FD68D9"/>
    <w:rsid w:val="00FD6DB8"/>
    <w:rsid w:val="00FD7E74"/>
    <w:rsid w:val="00FE15A6"/>
    <w:rsid w:val="00FE37AE"/>
    <w:rsid w:val="00FE3C5D"/>
    <w:rsid w:val="00FE54E5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791DC-3064-4BC5-867B-999F8E2D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801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3</cp:revision>
  <cp:lastPrinted>2014-08-19T15:28:00Z</cp:lastPrinted>
  <dcterms:created xsi:type="dcterms:W3CDTF">2014-09-21T13:12:00Z</dcterms:created>
  <dcterms:modified xsi:type="dcterms:W3CDTF">2014-09-21T13:19:00Z</dcterms:modified>
</cp:coreProperties>
</file>