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52535A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70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457614944" r:id="rId8"/>
        </w:pic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453FB2" w:rsidRPr="00A00613" w:rsidRDefault="00453FB2" w:rsidP="00053BAE">
      <w:pPr>
        <w:jc w:val="both"/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9781"/>
      </w:tblGrid>
      <w:tr w:rsidR="00453FB2" w:rsidRPr="00627A37" w:rsidTr="00D13135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0D9" w:rsidRDefault="00BF30D9" w:rsidP="00BF30D9">
            <w:pPr>
              <w:pStyle w:val="Titre"/>
              <w:spacing w:line="312" w:lineRule="auto"/>
              <w:rPr>
                <w:shadow/>
                <w:color w:val="FF9900"/>
                <w:sz w:val="28"/>
                <w:lang w:bidi="ar-MA"/>
              </w:rPr>
            </w:pPr>
            <w:r w:rsidRPr="00FB1934">
              <w:rPr>
                <w:shadow/>
                <w:color w:val="FF9900"/>
                <w:sz w:val="28"/>
                <w:lang w:bidi="ar-MA"/>
              </w:rPr>
              <w:t xml:space="preserve">Note d’information sur </w:t>
            </w:r>
            <w:r>
              <w:rPr>
                <w:shadow/>
                <w:color w:val="FF9900"/>
                <w:sz w:val="28"/>
                <w:lang w:bidi="ar-MA"/>
              </w:rPr>
              <w:t xml:space="preserve">l’arrêté des comptes nationaux </w:t>
            </w:r>
          </w:p>
          <w:p w:rsidR="00BF30D9" w:rsidRPr="00FB1934" w:rsidRDefault="00BF30D9" w:rsidP="00BF30D9">
            <w:pPr>
              <w:pStyle w:val="Titre"/>
              <w:spacing w:line="312" w:lineRule="auto"/>
              <w:rPr>
                <w:shadow/>
                <w:color w:val="FF9900"/>
                <w:sz w:val="28"/>
                <w:lang w:bidi="ar-MA"/>
              </w:rPr>
            </w:pPr>
            <w:r>
              <w:rPr>
                <w:shadow/>
                <w:color w:val="FF9900"/>
                <w:sz w:val="28"/>
                <w:lang w:bidi="ar-MA"/>
              </w:rPr>
              <w:t xml:space="preserve">au titre du quatrième </w:t>
            </w:r>
            <w:r w:rsidRPr="00FB1934">
              <w:rPr>
                <w:shadow/>
                <w:color w:val="FF9900"/>
                <w:sz w:val="28"/>
                <w:lang w:bidi="ar-MA"/>
              </w:rPr>
              <w:t>trimestre 2013</w:t>
            </w:r>
          </w:p>
          <w:p w:rsidR="00BF30D9" w:rsidRPr="001D241F" w:rsidRDefault="00BF30D9" w:rsidP="00BF30D9">
            <w:pPr>
              <w:shd w:val="clear" w:color="auto" w:fill="FFFFFF"/>
              <w:spacing w:before="120"/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:rsidR="00BF30D9" w:rsidRDefault="00BF30D9" w:rsidP="00BF30D9">
            <w:pPr>
              <w:shd w:val="clear" w:color="auto" w:fill="FFFFFF"/>
              <w:spacing w:before="120"/>
              <w:jc w:val="both"/>
              <w:outlineLvl w:val="0"/>
              <w:rPr>
                <w:b/>
                <w:bCs/>
              </w:rPr>
            </w:pPr>
            <w:r w:rsidRPr="00F31F4A">
              <w:rPr>
                <w:b/>
                <w:bCs/>
              </w:rPr>
              <w:t>L’arrêté des comptes nationaux du quatrième trimestre 2013 montre que</w:t>
            </w:r>
            <w:r>
              <w:rPr>
                <w:b/>
                <w:bCs/>
              </w:rPr>
              <w:t> :</w:t>
            </w:r>
          </w:p>
          <w:p w:rsidR="00BF30D9" w:rsidRDefault="00BF30D9" w:rsidP="00BF30D9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497" w:hanging="283"/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F31F4A">
              <w:rPr>
                <w:b/>
                <w:bCs/>
              </w:rPr>
              <w:t>a croissa</w:t>
            </w:r>
            <w:r>
              <w:rPr>
                <w:b/>
                <w:bCs/>
              </w:rPr>
              <w:t xml:space="preserve">nce économique nationale a été </w:t>
            </w:r>
            <w:r w:rsidRPr="00F31F4A">
              <w:rPr>
                <w:b/>
                <w:bCs/>
              </w:rPr>
              <w:t xml:space="preserve">de 4,5% </w:t>
            </w:r>
            <w:r>
              <w:rPr>
                <w:b/>
                <w:bCs/>
              </w:rPr>
              <w:t>au lieu de</w:t>
            </w:r>
            <w:r w:rsidRPr="00F31F4A">
              <w:rPr>
                <w:b/>
                <w:bCs/>
              </w:rPr>
              <w:t xml:space="preserve"> 2,3% </w:t>
            </w:r>
            <w:r>
              <w:rPr>
                <w:b/>
                <w:bCs/>
              </w:rPr>
              <w:t>durant le</w:t>
            </w:r>
            <w:r w:rsidRPr="00F31F4A">
              <w:rPr>
                <w:b/>
                <w:bCs/>
              </w:rPr>
              <w:t xml:space="preserve"> même trimestre de l’année 2012</w:t>
            </w:r>
            <w:r>
              <w:rPr>
                <w:b/>
                <w:bCs/>
              </w:rPr>
              <w:t>;</w:t>
            </w:r>
            <w:r w:rsidR="003C12D2">
              <w:rPr>
                <w:b/>
                <w:bCs/>
              </w:rPr>
              <w:t xml:space="preserve">  </w:t>
            </w:r>
          </w:p>
          <w:p w:rsidR="00BF30D9" w:rsidRDefault="00BF30D9" w:rsidP="00BF30D9">
            <w:pPr>
              <w:numPr>
                <w:ilvl w:val="0"/>
                <w:numId w:val="7"/>
              </w:numPr>
              <w:shd w:val="clear" w:color="auto" w:fill="FFFFFF"/>
              <w:spacing w:after="120"/>
              <w:ind w:left="497" w:hanging="283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l’inflation, approchée par l’évolution du prix implicite du PIB, s’est située à 0,5% au lieu de 1,4%.</w:t>
            </w:r>
          </w:p>
          <w:p w:rsidR="00BF30D9" w:rsidRDefault="00BF30D9" w:rsidP="00BF30D9">
            <w:pPr>
              <w:shd w:val="clear" w:color="auto" w:fill="FFFFFF"/>
              <w:spacing w:after="120"/>
              <w:jc w:val="both"/>
              <w:outlineLvl w:val="2"/>
              <w:rPr>
                <w:b/>
                <w:bCs/>
              </w:rPr>
            </w:pPr>
            <w:r w:rsidRPr="00F31F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Sur l’ensemble de l’année 2013 :</w:t>
            </w:r>
          </w:p>
          <w:p w:rsidR="00BF30D9" w:rsidRDefault="00BF30D9" w:rsidP="00BF30D9">
            <w:pPr>
              <w:numPr>
                <w:ilvl w:val="0"/>
                <w:numId w:val="7"/>
              </w:numPr>
              <w:shd w:val="clear" w:color="auto" w:fill="FFFFFF"/>
              <w:spacing w:before="120"/>
              <w:ind w:left="497" w:hanging="283"/>
              <w:jc w:val="both"/>
              <w:outlineLvl w:val="0"/>
              <w:rPr>
                <w:b/>
                <w:bCs/>
              </w:rPr>
            </w:pPr>
            <w:r w:rsidRPr="00F31F4A">
              <w:rPr>
                <w:b/>
                <w:bCs/>
              </w:rPr>
              <w:t xml:space="preserve"> le taux de croissance aurait été de 4,3%</w:t>
            </w:r>
            <w:r>
              <w:rPr>
                <w:b/>
                <w:bCs/>
              </w:rPr>
              <w:t xml:space="preserve"> au lieu de 4,4% prévu par le HCP ;</w:t>
            </w:r>
          </w:p>
          <w:p w:rsidR="00BF30D9" w:rsidRPr="006B4393" w:rsidRDefault="00BF30D9" w:rsidP="00BF30D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497" w:hanging="283"/>
              <w:jc w:val="both"/>
              <w:outlineLvl w:val="2"/>
              <w:rPr>
                <w:b/>
                <w:bCs/>
              </w:rPr>
            </w:pPr>
            <w:r w:rsidRPr="006B4393">
              <w:rPr>
                <w:b/>
                <w:bCs/>
              </w:rPr>
              <w:t xml:space="preserve"> l’évolution du taux implicite du prix du PIB serait 1,2% au lieu de 1,4% prévu par la </w:t>
            </w:r>
            <w:r w:rsidR="00CE56E2">
              <w:rPr>
                <w:b/>
                <w:bCs/>
              </w:rPr>
              <w:t xml:space="preserve"> </w:t>
            </w:r>
            <w:r w:rsidRPr="006B4393">
              <w:rPr>
                <w:b/>
                <w:bCs/>
              </w:rPr>
              <w:t xml:space="preserve">même institution. </w:t>
            </w:r>
            <w:r w:rsidR="00B63189">
              <w:rPr>
                <w:b/>
                <w:bCs/>
              </w:rPr>
              <w:t xml:space="preserve"> </w:t>
            </w:r>
          </w:p>
          <w:p w:rsidR="00BF30D9" w:rsidRDefault="00BF30D9" w:rsidP="00BF30D9">
            <w:pPr>
              <w:autoSpaceDE w:val="0"/>
              <w:autoSpaceDN w:val="0"/>
              <w:adjustRightInd w:val="0"/>
              <w:ind w:right="142"/>
              <w:jc w:val="both"/>
            </w:pPr>
            <w:r>
              <w:t>Au cours du quatrième trimestre 2013, l</w:t>
            </w:r>
            <w:r w:rsidRPr="002E32E7">
              <w:t xml:space="preserve">’activité économique </w:t>
            </w:r>
            <w:r>
              <w:t>a continué</w:t>
            </w:r>
            <w:r w:rsidRPr="002E32E7">
              <w:t xml:space="preserve"> à être soutenue par le rebondissement de l’activité agricole, avec des activités non agricoles en ralentissement.</w:t>
            </w:r>
          </w:p>
          <w:p w:rsidR="00BF30D9" w:rsidRDefault="00BF30D9" w:rsidP="00BF30D9">
            <w:pPr>
              <w:autoSpaceDE w:val="0"/>
              <w:autoSpaceDN w:val="0"/>
              <w:adjustRightInd w:val="0"/>
              <w:ind w:right="142"/>
              <w:jc w:val="both"/>
            </w:pPr>
          </w:p>
          <w:p w:rsidR="00BF30D9" w:rsidRPr="00CE2139" w:rsidRDefault="00BF30D9" w:rsidP="00BF30D9">
            <w:pPr>
              <w:autoSpaceDE w:val="0"/>
              <w:autoSpaceDN w:val="0"/>
              <w:adjustRightInd w:val="0"/>
              <w:ind w:right="142"/>
              <w:jc w:val="both"/>
            </w:pPr>
            <w:r w:rsidRPr="00CE2139">
              <w:t xml:space="preserve">C’est ainsi que, </w:t>
            </w:r>
            <w:r w:rsidRPr="001B7045">
              <w:rPr>
                <w:b/>
                <w:bCs/>
              </w:rPr>
              <w:t>la valeur ajoutée agricole</w:t>
            </w:r>
            <w:r w:rsidRPr="00CE2139">
              <w:t xml:space="preserve"> en volume</w:t>
            </w:r>
            <w:r w:rsidRPr="009160F6">
              <w:t>,</w:t>
            </w:r>
            <w:r>
              <w:t xml:space="preserve"> </w:t>
            </w:r>
            <w:r w:rsidRPr="001940E6">
              <w:t>corrigé</w:t>
            </w:r>
            <w:r>
              <w:t>e</w:t>
            </w:r>
            <w:r w:rsidRPr="001940E6">
              <w:t xml:space="preserve"> de variations saisonnières</w:t>
            </w:r>
            <w:r>
              <w:t xml:space="preserve"> (</w:t>
            </w:r>
            <w:proofErr w:type="spellStart"/>
            <w:r>
              <w:t>cvs</w:t>
            </w:r>
            <w:proofErr w:type="spellEnd"/>
            <w:r>
              <w:t>)</w:t>
            </w:r>
            <w:r w:rsidRPr="001940E6">
              <w:t>,</w:t>
            </w:r>
            <w:r>
              <w:t xml:space="preserve"> s’est accrue de 18,5% au lieu d’une baisse de 9</w:t>
            </w:r>
            <w:r w:rsidRPr="00CE2139">
              <w:t>,</w:t>
            </w:r>
            <w:r>
              <w:t>1</w:t>
            </w:r>
            <w:r w:rsidRPr="00CE2139">
              <w:t>% le</w:t>
            </w:r>
            <w:r>
              <w:t xml:space="preserve"> </w:t>
            </w:r>
            <w:r w:rsidRPr="00CE2139">
              <w:t xml:space="preserve">même trimestre de l’année précédente, alors que celle </w:t>
            </w:r>
            <w:r w:rsidRPr="001B7045">
              <w:rPr>
                <w:b/>
                <w:bCs/>
              </w:rPr>
              <w:t>des activités non agricoles</w:t>
            </w:r>
            <w:r>
              <w:t xml:space="preserve"> a été </w:t>
            </w:r>
            <w:r w:rsidRPr="00CE2139">
              <w:t>en ralentisse</w:t>
            </w:r>
            <w:r>
              <w:t>ment avec une croissance de 2,4% au lieu de 4</w:t>
            </w:r>
            <w:r w:rsidRPr="00CE2139">
              <w:t xml:space="preserve">%. </w:t>
            </w:r>
          </w:p>
          <w:p w:rsidR="00BF30D9" w:rsidRPr="00CE2139" w:rsidRDefault="00BF30D9" w:rsidP="00BF30D9">
            <w:pPr>
              <w:autoSpaceDE w:val="0"/>
              <w:autoSpaceDN w:val="0"/>
              <w:adjustRightInd w:val="0"/>
              <w:ind w:right="142"/>
              <w:jc w:val="both"/>
            </w:pPr>
          </w:p>
          <w:p w:rsidR="00BF30D9" w:rsidRPr="00CE2139" w:rsidRDefault="00BF30D9" w:rsidP="00BF30D9">
            <w:pPr>
              <w:autoSpaceDE w:val="0"/>
              <w:autoSpaceDN w:val="0"/>
              <w:adjustRightInd w:val="0"/>
              <w:ind w:right="142"/>
              <w:jc w:val="both"/>
            </w:pPr>
            <w:r>
              <w:t>Dans ce contexte,</w:t>
            </w:r>
            <w:r w:rsidRPr="00CE2139">
              <w:t xml:space="preserve"> la valeur</w:t>
            </w:r>
            <w:r>
              <w:t xml:space="preserve"> ajoutée du </w:t>
            </w:r>
            <w:r w:rsidRPr="001B7045">
              <w:rPr>
                <w:b/>
                <w:bCs/>
              </w:rPr>
              <w:t>secteur secondaire</w:t>
            </w:r>
            <w:r>
              <w:t xml:space="preserve"> s’est accrue de 2,2% au cours de ce dernier trimestre de l’année 2013 au lieu d’une baisse de 0,7% la même période de l’année précédente. Ceci résulte de l’augmentation des activités :</w:t>
            </w:r>
          </w:p>
          <w:p w:rsidR="00BF30D9" w:rsidRPr="00CE2139" w:rsidRDefault="00BF30D9" w:rsidP="00BF30D9">
            <w:pPr>
              <w:autoSpaceDE w:val="0"/>
              <w:autoSpaceDN w:val="0"/>
              <w:adjustRightInd w:val="0"/>
              <w:ind w:right="142"/>
              <w:jc w:val="both"/>
            </w:pPr>
          </w:p>
          <w:p w:rsidR="00BF30D9" w:rsidRDefault="00BF30D9" w:rsidP="00BF30D9">
            <w:pPr>
              <w:pStyle w:val="ListParagraph1"/>
              <w:numPr>
                <w:ilvl w:val="0"/>
                <w:numId w:val="5"/>
              </w:numPr>
              <w:tabs>
                <w:tab w:val="clear" w:pos="814"/>
                <w:tab w:val="num" w:pos="480"/>
              </w:tabs>
              <w:autoSpaceDE w:val="0"/>
              <w:autoSpaceDN w:val="0"/>
              <w:adjustRightInd w:val="0"/>
              <w:ind w:left="480" w:hanging="240"/>
              <w:jc w:val="both"/>
            </w:pPr>
            <w:r>
              <w:t>de l’</w:t>
            </w:r>
            <w:r w:rsidRPr="00CE2139">
              <w:t>électricité et eau</w:t>
            </w:r>
            <w:r>
              <w:t xml:space="preserve"> de 5,7% au lieu d’une baisse de 1,9%; </w:t>
            </w:r>
          </w:p>
          <w:p w:rsidR="00BF30D9" w:rsidRDefault="00BF30D9" w:rsidP="00BF30D9">
            <w:pPr>
              <w:pStyle w:val="ListParagraph1"/>
              <w:numPr>
                <w:ilvl w:val="0"/>
                <w:numId w:val="5"/>
              </w:numPr>
              <w:tabs>
                <w:tab w:val="clear" w:pos="814"/>
                <w:tab w:val="num" w:pos="480"/>
              </w:tabs>
              <w:autoSpaceDE w:val="0"/>
              <w:autoSpaceDN w:val="0"/>
              <w:adjustRightInd w:val="0"/>
              <w:ind w:left="480" w:hanging="240"/>
              <w:jc w:val="both"/>
            </w:pPr>
            <w:r>
              <w:t xml:space="preserve">du </w:t>
            </w:r>
            <w:r w:rsidRPr="00CE2139">
              <w:t>bâtiment et travaux publics</w:t>
            </w:r>
            <w:r>
              <w:t xml:space="preserve"> de 3,2% au lieu de 0,7%;</w:t>
            </w:r>
          </w:p>
          <w:p w:rsidR="00BF30D9" w:rsidRDefault="00BF30D9" w:rsidP="00BF30D9">
            <w:pPr>
              <w:pStyle w:val="ListParagraph1"/>
              <w:numPr>
                <w:ilvl w:val="0"/>
                <w:numId w:val="5"/>
              </w:numPr>
              <w:tabs>
                <w:tab w:val="clear" w:pos="814"/>
                <w:tab w:val="num" w:pos="480"/>
              </w:tabs>
              <w:autoSpaceDE w:val="0"/>
              <w:autoSpaceDN w:val="0"/>
              <w:adjustRightInd w:val="0"/>
              <w:ind w:left="480" w:hanging="240"/>
              <w:jc w:val="both"/>
            </w:pPr>
            <w:r>
              <w:t xml:space="preserve">des </w:t>
            </w:r>
            <w:r w:rsidRPr="00CE2139">
              <w:t>industries de transformation</w:t>
            </w:r>
            <w:r>
              <w:t xml:space="preserve"> de 2,7% au lieu de 0,1%;</w:t>
            </w:r>
          </w:p>
          <w:p w:rsidR="00BF30D9" w:rsidRDefault="00BF30D9" w:rsidP="00BF30D9">
            <w:pPr>
              <w:pStyle w:val="ListParagraph1"/>
              <w:numPr>
                <w:ilvl w:val="0"/>
                <w:numId w:val="5"/>
              </w:numPr>
              <w:tabs>
                <w:tab w:val="clear" w:pos="814"/>
                <w:tab w:val="num" w:pos="480"/>
              </w:tabs>
              <w:autoSpaceDE w:val="0"/>
              <w:autoSpaceDN w:val="0"/>
              <w:adjustRightInd w:val="0"/>
              <w:ind w:left="480" w:hanging="240"/>
              <w:jc w:val="both"/>
            </w:pPr>
            <w:r>
              <w:t>et de la diminution</w:t>
            </w:r>
            <w:r w:rsidRPr="00CE2139">
              <w:t xml:space="preserve"> de</w:t>
            </w:r>
            <w:r>
              <w:t>s activités de</w:t>
            </w:r>
            <w:r w:rsidRPr="00CE2139">
              <w:t xml:space="preserve"> l’industrie d’extraction </w:t>
            </w:r>
            <w:r>
              <w:t>de 1,9% au lieu d’une baisse de 3,7%.</w:t>
            </w:r>
          </w:p>
          <w:p w:rsidR="00BF30D9" w:rsidRDefault="00BF30D9" w:rsidP="00BF30D9">
            <w:pPr>
              <w:shd w:val="clear" w:color="auto" w:fill="FFFFFF"/>
              <w:jc w:val="both"/>
            </w:pPr>
          </w:p>
          <w:p w:rsidR="00BF30D9" w:rsidRDefault="00BF30D9" w:rsidP="00BF30D9">
            <w:pPr>
              <w:shd w:val="clear" w:color="auto" w:fill="FFFFFF"/>
              <w:jc w:val="both"/>
            </w:pPr>
            <w:r>
              <w:t>L</w:t>
            </w:r>
            <w:r w:rsidRPr="00CE2139">
              <w:t xml:space="preserve">a valeur ajoutée du </w:t>
            </w:r>
            <w:r w:rsidRPr="001B7045">
              <w:rPr>
                <w:b/>
                <w:bCs/>
              </w:rPr>
              <w:t>secteur tertiaire</w:t>
            </w:r>
            <w:r>
              <w:rPr>
                <w:b/>
                <w:bCs/>
              </w:rPr>
              <w:t xml:space="preserve">, </w:t>
            </w:r>
            <w:r w:rsidRPr="007A3D1B">
              <w:t>en revanche</w:t>
            </w:r>
            <w:r>
              <w:rPr>
                <w:b/>
                <w:bCs/>
              </w:rPr>
              <w:t>,</w:t>
            </w:r>
            <w:r>
              <w:t xml:space="preserve"> a continué d’afficher un ralentissement de son rythme de croissance,</w:t>
            </w:r>
            <w:r w:rsidRPr="00275F67">
              <w:t xml:space="preserve"> </w:t>
            </w:r>
            <w:r>
              <w:t>se situant à 2,9% au lieu de 6,4</w:t>
            </w:r>
            <w:r w:rsidRPr="00CE2139">
              <w:t xml:space="preserve"> %</w:t>
            </w:r>
            <w:r w:rsidRPr="00A32969">
              <w:t xml:space="preserve"> </w:t>
            </w:r>
            <w:r>
              <w:t>le quatrième trimestre de l’année précédente. A l’exception de l’activité du commerce qui s’est améliorée de 4,1% contre 1,4%, ce ralentissement a été observé dans les diverses branches d’activité de ce secteur :</w:t>
            </w:r>
            <w:r w:rsidRPr="00CE2139">
              <w:t xml:space="preserve"> </w:t>
            </w:r>
          </w:p>
          <w:p w:rsidR="00BF30D9" w:rsidRPr="001D241F" w:rsidRDefault="00BF30D9" w:rsidP="00BF30D9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BF30D9" w:rsidRDefault="00BF30D9" w:rsidP="00BF30D9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567" w:hanging="480"/>
            </w:pPr>
            <w:r>
              <w:t>les hôtels et restaurants, avec une croissance de 4</w:t>
            </w:r>
            <w:r w:rsidRPr="00CE2139">
              <w:t>,</w:t>
            </w:r>
            <w:r>
              <w:t>1</w:t>
            </w:r>
            <w:r w:rsidRPr="00CE2139">
              <w:t>%</w:t>
            </w:r>
            <w:r>
              <w:t xml:space="preserve"> au lieu 8,8% ;</w:t>
            </w:r>
          </w:p>
          <w:p w:rsidR="00BF30D9" w:rsidRDefault="00BF30D9" w:rsidP="00BF30D9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567" w:hanging="480"/>
            </w:pPr>
            <w:r>
              <w:t>les transports avec 2,6% au lieu 5,3% ;</w:t>
            </w:r>
          </w:p>
          <w:p w:rsidR="00BF30D9" w:rsidRDefault="00BF30D9" w:rsidP="00BF30D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142" w:firstLine="0"/>
            </w:pPr>
            <w:r>
              <w:t>les postes et télécommunications, avec 8,8% au lieu de 28,6%</w:t>
            </w:r>
            <w:r w:rsidRPr="00CE2139">
              <w:t>;</w:t>
            </w:r>
          </w:p>
          <w:p w:rsidR="00BF30D9" w:rsidRDefault="00BF30D9" w:rsidP="00BF30D9">
            <w:pPr>
              <w:shd w:val="clear" w:color="auto" w:fill="FFFFFF"/>
              <w:tabs>
                <w:tab w:val="left" w:pos="284"/>
              </w:tabs>
              <w:ind w:left="142"/>
            </w:pPr>
            <w:r>
              <w:t xml:space="preserve">- les </w:t>
            </w:r>
            <w:r w:rsidRPr="00CE2139">
              <w:t>services rendus a</w:t>
            </w:r>
            <w:r>
              <w:t>ux ménages et aux entreprises, avec</w:t>
            </w:r>
            <w:r w:rsidRPr="00CE2139">
              <w:t xml:space="preserve"> </w:t>
            </w:r>
            <w:r>
              <w:t>3</w:t>
            </w:r>
            <w:r w:rsidRPr="00CE2139">
              <w:t>,</w:t>
            </w:r>
            <w:r>
              <w:t>1% au lieu de 5,3%</w:t>
            </w:r>
            <w:r w:rsidRPr="00CE2139">
              <w:t>;</w:t>
            </w:r>
          </w:p>
          <w:p w:rsidR="00BF30D9" w:rsidRPr="00CE2139" w:rsidRDefault="00BF30D9" w:rsidP="00BF30D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284"/>
              </w:tabs>
              <w:ind w:left="142" w:firstLine="0"/>
            </w:pPr>
            <w:r>
              <w:lastRenderedPageBreak/>
              <w:t xml:space="preserve">les </w:t>
            </w:r>
            <w:r w:rsidRPr="00CE2139">
              <w:t>services</w:t>
            </w:r>
            <w:r>
              <w:t xml:space="preserve"> financiers et assurances, avec 1,2% au lieu de 3,6%</w:t>
            </w:r>
            <w:r w:rsidRPr="00CE2139">
              <w:t>;</w:t>
            </w:r>
          </w:p>
          <w:p w:rsidR="00BF30D9" w:rsidRDefault="00BF30D9" w:rsidP="00BF30D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284"/>
              </w:tabs>
              <w:ind w:left="284" w:right="-342" w:hanging="142"/>
            </w:pPr>
            <w:r>
              <w:t xml:space="preserve">les </w:t>
            </w:r>
            <w:r w:rsidRPr="00CE2139">
              <w:t>services rendus par l’administration publiqu</w:t>
            </w:r>
            <w:r>
              <w:t>e générale et sécurité sociale,</w:t>
            </w:r>
            <w:r w:rsidRPr="00CE2139">
              <w:t xml:space="preserve"> </w:t>
            </w:r>
            <w:r>
              <w:t>avec 0,3% au lieu de 6,1% ;</w:t>
            </w:r>
          </w:p>
          <w:p w:rsidR="00BF30D9" w:rsidRDefault="00BF30D9" w:rsidP="00BF30D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ind w:left="142" w:right="-342" w:firstLine="0"/>
              <w:jc w:val="both"/>
            </w:pPr>
            <w:r>
              <w:t xml:space="preserve">les </w:t>
            </w:r>
            <w:r w:rsidRPr="00CE2139">
              <w:t>services de l’éducation, de la santé</w:t>
            </w:r>
            <w:r>
              <w:t xml:space="preserve"> et de l’action sociale, avec 2,1% au lieu de 5,2%.</w:t>
            </w:r>
          </w:p>
          <w:p w:rsidR="00BF30D9" w:rsidRDefault="00BF30D9" w:rsidP="00BF30D9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142" w:right="-342"/>
              <w:jc w:val="both"/>
            </w:pPr>
          </w:p>
          <w:p w:rsidR="00BF30D9" w:rsidRDefault="00BF30D9" w:rsidP="00BF30D9">
            <w:pPr>
              <w:jc w:val="both"/>
            </w:pPr>
            <w:r>
              <w:t xml:space="preserve">Au total, </w:t>
            </w:r>
            <w:r w:rsidRPr="001B7045">
              <w:rPr>
                <w:b/>
                <w:bCs/>
              </w:rPr>
              <w:t>le Produit Intérieur Brut (PIB)</w:t>
            </w:r>
            <w:r w:rsidRPr="001940E6">
              <w:t xml:space="preserve"> </w:t>
            </w:r>
            <w:r>
              <w:t xml:space="preserve">s’est accru de 4,5% en volume au lieu de 2,3% la même période de l’année 2012 et de 5% en valeur au lieu de 3,7%. Ainsi, le prix implicite du PIB a augmenté de 0,5% au lieu de 1,4%. </w:t>
            </w:r>
          </w:p>
          <w:p w:rsidR="00BF30D9" w:rsidRDefault="00BF30D9" w:rsidP="00BF30D9">
            <w:pPr>
              <w:pStyle w:val="Titre"/>
              <w:jc w:val="both"/>
              <w:rPr>
                <w:szCs w:val="24"/>
              </w:rPr>
            </w:pPr>
          </w:p>
          <w:p w:rsidR="00BF30D9" w:rsidRPr="00CE2139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  <w:r w:rsidRPr="001B7045">
              <w:rPr>
                <w:szCs w:val="24"/>
              </w:rPr>
              <w:t xml:space="preserve">Au niveau des emplois du PIB </w:t>
            </w:r>
            <w:r w:rsidRPr="00642298">
              <w:rPr>
                <w:b w:val="0"/>
                <w:bCs w:val="0"/>
                <w:szCs w:val="24"/>
              </w:rPr>
              <w:t>en volume</w:t>
            </w:r>
            <w:r w:rsidRPr="00CE2139">
              <w:rPr>
                <w:b w:val="0"/>
                <w:bCs w:val="0"/>
                <w:szCs w:val="24"/>
              </w:rPr>
              <w:t xml:space="preserve">, les dépenses de consommation finale des ménages se sont  accrues  de </w:t>
            </w:r>
            <w:r>
              <w:rPr>
                <w:b w:val="0"/>
                <w:bCs w:val="0"/>
                <w:szCs w:val="24"/>
              </w:rPr>
              <w:t>4,9</w:t>
            </w:r>
            <w:r w:rsidRPr="00CE2139">
              <w:rPr>
                <w:b w:val="0"/>
                <w:bCs w:val="0"/>
                <w:szCs w:val="24"/>
              </w:rPr>
              <w:t xml:space="preserve">% au lieu de </w:t>
            </w:r>
            <w:r>
              <w:rPr>
                <w:b w:val="0"/>
                <w:bCs w:val="0"/>
                <w:szCs w:val="24"/>
              </w:rPr>
              <w:t>3,5</w:t>
            </w:r>
            <w:r w:rsidRPr="00CE2139">
              <w:rPr>
                <w:b w:val="0"/>
                <w:bCs w:val="0"/>
                <w:szCs w:val="24"/>
              </w:rPr>
              <w:t>% la même période de l’année précé</w:t>
            </w:r>
            <w:r>
              <w:rPr>
                <w:b w:val="0"/>
                <w:bCs w:val="0"/>
                <w:szCs w:val="24"/>
              </w:rPr>
              <w:t>dente, contribuant ainsi pour 2,9</w:t>
            </w:r>
            <w:r w:rsidRPr="00CE2139">
              <w:rPr>
                <w:b w:val="0"/>
                <w:bCs w:val="0"/>
                <w:szCs w:val="24"/>
              </w:rPr>
              <w:t xml:space="preserve"> poin</w:t>
            </w:r>
            <w:r>
              <w:rPr>
                <w:b w:val="0"/>
                <w:bCs w:val="0"/>
                <w:szCs w:val="24"/>
              </w:rPr>
              <w:t xml:space="preserve">ts à la croissance au lieu de 2 points. En revanche, la consommation finale </w:t>
            </w:r>
            <w:r w:rsidRPr="00CE2139">
              <w:rPr>
                <w:b w:val="0"/>
                <w:bCs w:val="0"/>
                <w:szCs w:val="24"/>
              </w:rPr>
              <w:t>des administrations publiques</w:t>
            </w:r>
            <w:r>
              <w:rPr>
                <w:b w:val="0"/>
                <w:bCs w:val="0"/>
                <w:szCs w:val="24"/>
              </w:rPr>
              <w:t xml:space="preserve"> a connu une progression moins forte que l’année dernière de 3,8</w:t>
            </w:r>
            <w:r w:rsidRPr="00CE2139">
              <w:rPr>
                <w:b w:val="0"/>
                <w:bCs w:val="0"/>
                <w:szCs w:val="24"/>
              </w:rPr>
              <w:t xml:space="preserve">% au lieu de </w:t>
            </w:r>
            <w:r>
              <w:rPr>
                <w:b w:val="0"/>
                <w:bCs w:val="0"/>
                <w:szCs w:val="24"/>
              </w:rPr>
              <w:t xml:space="preserve">9,1% avec une contribution de 0,6 </w:t>
            </w:r>
            <w:r w:rsidRPr="00CE2139">
              <w:rPr>
                <w:b w:val="0"/>
                <w:bCs w:val="0"/>
                <w:szCs w:val="24"/>
              </w:rPr>
              <w:t>point</w:t>
            </w:r>
            <w:r>
              <w:rPr>
                <w:b w:val="0"/>
                <w:bCs w:val="0"/>
                <w:szCs w:val="24"/>
              </w:rPr>
              <w:t xml:space="preserve"> au lieu de 1,4 point.</w:t>
            </w:r>
            <w:r w:rsidRPr="00CE2139">
              <w:rPr>
                <w:b w:val="0"/>
                <w:bCs w:val="0"/>
                <w:szCs w:val="24"/>
              </w:rPr>
              <w:t xml:space="preserve"> </w:t>
            </w:r>
            <w:r>
              <w:rPr>
                <w:b w:val="0"/>
                <w:bCs w:val="0"/>
                <w:szCs w:val="24"/>
              </w:rPr>
              <w:t xml:space="preserve">De son côté, </w:t>
            </w:r>
            <w:r w:rsidRPr="00CE2139">
              <w:rPr>
                <w:b w:val="0"/>
                <w:bCs w:val="0"/>
                <w:szCs w:val="24"/>
              </w:rPr>
              <w:t>l’investissement brut (formation brute de capital fixe et variation d</w:t>
            </w:r>
            <w:r>
              <w:rPr>
                <w:b w:val="0"/>
                <w:bCs w:val="0"/>
                <w:szCs w:val="24"/>
              </w:rPr>
              <w:t>e stocks) a marqué une diminution de 1,5% au lieu d’une baisse de 0,8</w:t>
            </w:r>
            <w:r w:rsidRPr="00CE2139">
              <w:rPr>
                <w:b w:val="0"/>
                <w:bCs w:val="0"/>
                <w:szCs w:val="24"/>
              </w:rPr>
              <w:t>%. Globalement</w:t>
            </w:r>
            <w:r>
              <w:rPr>
                <w:b w:val="0"/>
                <w:bCs w:val="0"/>
                <w:szCs w:val="24"/>
              </w:rPr>
              <w:t>,</w:t>
            </w:r>
            <w:r w:rsidRPr="00CE2139">
              <w:rPr>
                <w:b w:val="0"/>
                <w:bCs w:val="0"/>
                <w:szCs w:val="24"/>
              </w:rPr>
              <w:t xml:space="preserve"> la demande intérieure a</w:t>
            </w:r>
            <w:r>
              <w:rPr>
                <w:b w:val="0"/>
                <w:bCs w:val="0"/>
                <w:szCs w:val="24"/>
              </w:rPr>
              <w:t xml:space="preserve"> continué à afficher une augmentation qui a été de 2% au lieu de 1,3% contribuant avec</w:t>
            </w:r>
            <w:r w:rsidRPr="00CE2139">
              <w:rPr>
                <w:b w:val="0"/>
                <w:bCs w:val="0"/>
                <w:szCs w:val="24"/>
              </w:rPr>
              <w:t xml:space="preserve"> </w:t>
            </w:r>
            <w:r>
              <w:rPr>
                <w:b w:val="0"/>
                <w:bCs w:val="0"/>
                <w:szCs w:val="24"/>
              </w:rPr>
              <w:t>2,1</w:t>
            </w:r>
            <w:r w:rsidRPr="00CE2139">
              <w:rPr>
                <w:b w:val="0"/>
                <w:bCs w:val="0"/>
                <w:szCs w:val="24"/>
              </w:rPr>
              <w:t xml:space="preserve"> poi</w:t>
            </w:r>
            <w:r>
              <w:rPr>
                <w:b w:val="0"/>
                <w:bCs w:val="0"/>
                <w:szCs w:val="24"/>
              </w:rPr>
              <w:t>nts à la croissance au lieu de 1,3 point</w:t>
            </w:r>
            <w:r w:rsidRPr="00F144B4">
              <w:rPr>
                <w:b w:val="0"/>
                <w:bCs w:val="0"/>
                <w:szCs w:val="24"/>
              </w:rPr>
              <w:t xml:space="preserve"> </w:t>
            </w:r>
            <w:r w:rsidRPr="00CE2139">
              <w:rPr>
                <w:b w:val="0"/>
                <w:bCs w:val="0"/>
                <w:szCs w:val="24"/>
              </w:rPr>
              <w:t>une année auparavant.</w:t>
            </w:r>
          </w:p>
          <w:p w:rsidR="00BF30D9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</w:p>
          <w:p w:rsidR="00BF30D9" w:rsidRPr="00CE2139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Dans cette croissance, la contribution des</w:t>
            </w:r>
            <w:r w:rsidRPr="00CE2139">
              <w:rPr>
                <w:b w:val="0"/>
                <w:bCs w:val="0"/>
                <w:szCs w:val="24"/>
              </w:rPr>
              <w:t xml:space="preserve"> échanges extérieurs de biens et s</w:t>
            </w:r>
            <w:r w:rsidRPr="001E77F9">
              <w:rPr>
                <w:b w:val="0"/>
                <w:bCs w:val="0"/>
                <w:szCs w:val="24"/>
              </w:rPr>
              <w:t xml:space="preserve">ervices </w:t>
            </w:r>
            <w:r>
              <w:rPr>
                <w:b w:val="0"/>
                <w:bCs w:val="0"/>
                <w:szCs w:val="24"/>
              </w:rPr>
              <w:t>a été de 2,4</w:t>
            </w:r>
            <w:r w:rsidRPr="001E77F9">
              <w:rPr>
                <w:b w:val="0"/>
                <w:bCs w:val="0"/>
                <w:szCs w:val="24"/>
              </w:rPr>
              <w:t xml:space="preserve"> points au lieu de </w:t>
            </w:r>
            <w:r>
              <w:rPr>
                <w:b w:val="0"/>
                <w:bCs w:val="0"/>
                <w:szCs w:val="24"/>
              </w:rPr>
              <w:t>1</w:t>
            </w:r>
            <w:r w:rsidRPr="00CE2139">
              <w:rPr>
                <w:b w:val="0"/>
                <w:bCs w:val="0"/>
                <w:szCs w:val="24"/>
              </w:rPr>
              <w:t xml:space="preserve"> point. </w:t>
            </w:r>
            <w:r>
              <w:rPr>
                <w:b w:val="0"/>
                <w:bCs w:val="0"/>
                <w:szCs w:val="24"/>
              </w:rPr>
              <w:t>L</w:t>
            </w:r>
            <w:r w:rsidRPr="00CE2139">
              <w:rPr>
                <w:b w:val="0"/>
                <w:bCs w:val="0"/>
                <w:szCs w:val="24"/>
              </w:rPr>
              <w:t>es exportations de biens et services ont, en</w:t>
            </w:r>
            <w:r>
              <w:rPr>
                <w:b w:val="0"/>
                <w:bCs w:val="0"/>
                <w:szCs w:val="24"/>
              </w:rPr>
              <w:t xml:space="preserve"> effet, connu </w:t>
            </w:r>
            <w:r w:rsidRPr="00CE2139">
              <w:rPr>
                <w:b w:val="0"/>
                <w:bCs w:val="0"/>
                <w:szCs w:val="24"/>
              </w:rPr>
              <w:t xml:space="preserve">une hausse de </w:t>
            </w:r>
            <w:r>
              <w:rPr>
                <w:b w:val="0"/>
                <w:bCs w:val="0"/>
                <w:szCs w:val="24"/>
              </w:rPr>
              <w:t>3% au lieu de 5,2</w:t>
            </w:r>
            <w:r w:rsidRPr="00CE2139">
              <w:rPr>
                <w:b w:val="0"/>
                <w:bCs w:val="0"/>
                <w:szCs w:val="24"/>
              </w:rPr>
              <w:t>%</w:t>
            </w:r>
            <w:r>
              <w:rPr>
                <w:b w:val="0"/>
                <w:bCs w:val="0"/>
                <w:szCs w:val="24"/>
              </w:rPr>
              <w:t xml:space="preserve">,  </w:t>
            </w:r>
            <w:r w:rsidRPr="00CE2139">
              <w:rPr>
                <w:b w:val="0"/>
                <w:bCs w:val="0"/>
                <w:szCs w:val="24"/>
              </w:rPr>
              <w:t xml:space="preserve">les importations </w:t>
            </w:r>
            <w:r>
              <w:rPr>
                <w:b w:val="0"/>
                <w:bCs w:val="0"/>
                <w:szCs w:val="24"/>
              </w:rPr>
              <w:t>ayant</w:t>
            </w:r>
            <w:r w:rsidRPr="00CE2139">
              <w:rPr>
                <w:b w:val="0"/>
                <w:bCs w:val="0"/>
                <w:szCs w:val="24"/>
              </w:rPr>
              <w:t xml:space="preserve"> diminué de </w:t>
            </w:r>
            <w:r>
              <w:rPr>
                <w:b w:val="0"/>
                <w:bCs w:val="0"/>
                <w:szCs w:val="24"/>
              </w:rPr>
              <w:t>4</w:t>
            </w:r>
            <w:r w:rsidRPr="00CE2139">
              <w:rPr>
                <w:b w:val="0"/>
                <w:bCs w:val="0"/>
                <w:szCs w:val="24"/>
              </w:rPr>
              <w:t xml:space="preserve">% au lieu d’une hausse de </w:t>
            </w:r>
            <w:r>
              <w:rPr>
                <w:b w:val="0"/>
                <w:bCs w:val="0"/>
                <w:szCs w:val="24"/>
              </w:rPr>
              <w:t>1,7</w:t>
            </w:r>
            <w:r w:rsidRPr="00CE2139">
              <w:rPr>
                <w:b w:val="0"/>
                <w:bCs w:val="0"/>
                <w:szCs w:val="24"/>
              </w:rPr>
              <w:t>%.</w:t>
            </w:r>
          </w:p>
          <w:p w:rsidR="00BF30D9" w:rsidRPr="00CE2139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            </w:t>
            </w:r>
          </w:p>
          <w:p w:rsidR="00BF30D9" w:rsidRPr="009C73AB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Avec l’augmentation importante des revenus nets reçus du reste du monde de 59,5</w:t>
            </w:r>
            <w:r w:rsidRPr="00CE2139">
              <w:rPr>
                <w:b w:val="0"/>
                <w:bCs w:val="0"/>
                <w:szCs w:val="24"/>
              </w:rPr>
              <w:t>%</w:t>
            </w:r>
            <w:r>
              <w:rPr>
                <w:b w:val="0"/>
                <w:bCs w:val="0"/>
                <w:szCs w:val="24"/>
              </w:rPr>
              <w:t xml:space="preserve"> et la hausse du PIB de 5%, le  </w:t>
            </w:r>
            <w:r w:rsidRPr="00601E93">
              <w:rPr>
                <w:b w:val="0"/>
                <w:bCs w:val="0"/>
                <w:szCs w:val="24"/>
              </w:rPr>
              <w:t>revenu national brut disponible</w:t>
            </w:r>
            <w:r>
              <w:rPr>
                <w:b w:val="0"/>
                <w:bCs w:val="0"/>
                <w:szCs w:val="24"/>
              </w:rPr>
              <w:t xml:space="preserve"> s’est accru </w:t>
            </w:r>
            <w:r w:rsidRPr="00CE2139">
              <w:rPr>
                <w:b w:val="0"/>
                <w:bCs w:val="0"/>
                <w:szCs w:val="24"/>
              </w:rPr>
              <w:t xml:space="preserve">de </w:t>
            </w:r>
            <w:r>
              <w:rPr>
                <w:b w:val="0"/>
                <w:bCs w:val="0"/>
                <w:szCs w:val="24"/>
              </w:rPr>
              <w:t>7,7</w:t>
            </w:r>
            <w:r w:rsidRPr="00CE2139">
              <w:rPr>
                <w:b w:val="0"/>
                <w:bCs w:val="0"/>
                <w:szCs w:val="24"/>
              </w:rPr>
              <w:t xml:space="preserve">% au lieu de </w:t>
            </w:r>
            <w:r>
              <w:rPr>
                <w:b w:val="0"/>
                <w:bCs w:val="0"/>
                <w:szCs w:val="24"/>
              </w:rPr>
              <w:t>2,2</w:t>
            </w:r>
            <w:r w:rsidRPr="00CE2139">
              <w:rPr>
                <w:b w:val="0"/>
                <w:bCs w:val="0"/>
                <w:szCs w:val="24"/>
              </w:rPr>
              <w:t>%</w:t>
            </w:r>
            <w:r>
              <w:rPr>
                <w:b w:val="0"/>
                <w:bCs w:val="0"/>
                <w:szCs w:val="24"/>
              </w:rPr>
              <w:t xml:space="preserve">. L’épargne nationale a atteint 28,4% du PIB au lieu de 26,2% avec une </w:t>
            </w:r>
            <w:r w:rsidRPr="00CE2139">
              <w:rPr>
                <w:b w:val="0"/>
                <w:bCs w:val="0"/>
                <w:szCs w:val="24"/>
              </w:rPr>
              <w:t xml:space="preserve">amélioration de la consommation finale de </w:t>
            </w:r>
            <w:r>
              <w:rPr>
                <w:b w:val="0"/>
                <w:bCs w:val="0"/>
                <w:szCs w:val="24"/>
              </w:rPr>
              <w:t>5,7</w:t>
            </w:r>
            <w:r w:rsidRPr="00CE2139">
              <w:rPr>
                <w:b w:val="0"/>
                <w:bCs w:val="0"/>
                <w:szCs w:val="24"/>
              </w:rPr>
              <w:t>%</w:t>
            </w:r>
            <w:r>
              <w:rPr>
                <w:b w:val="0"/>
                <w:bCs w:val="0"/>
                <w:szCs w:val="24"/>
              </w:rPr>
              <w:t>.</w:t>
            </w:r>
          </w:p>
          <w:p w:rsidR="00BF30D9" w:rsidRPr="009C73AB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</w:p>
          <w:p w:rsidR="00BF30D9" w:rsidRPr="00CE2139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L’investissement brut s’est situé à 34,4</w:t>
            </w:r>
            <w:r w:rsidRPr="00CE2139">
              <w:rPr>
                <w:b w:val="0"/>
                <w:bCs w:val="0"/>
                <w:szCs w:val="24"/>
              </w:rPr>
              <w:t xml:space="preserve">% </w:t>
            </w:r>
            <w:r>
              <w:rPr>
                <w:b w:val="0"/>
                <w:bCs w:val="0"/>
                <w:szCs w:val="24"/>
              </w:rPr>
              <w:t xml:space="preserve">du </w:t>
            </w:r>
            <w:r w:rsidRPr="00CE2139">
              <w:rPr>
                <w:b w:val="0"/>
                <w:bCs w:val="0"/>
                <w:szCs w:val="24"/>
              </w:rPr>
              <w:t>PIB</w:t>
            </w:r>
            <w:r>
              <w:rPr>
                <w:b w:val="0"/>
                <w:bCs w:val="0"/>
                <w:szCs w:val="24"/>
              </w:rPr>
              <w:t xml:space="preserve"> au lieu de 37,1% et </w:t>
            </w:r>
            <w:r w:rsidRPr="00CE2139">
              <w:rPr>
                <w:b w:val="0"/>
                <w:bCs w:val="0"/>
                <w:szCs w:val="24"/>
              </w:rPr>
              <w:t>le besoin de fina</w:t>
            </w:r>
            <w:r>
              <w:rPr>
                <w:b w:val="0"/>
                <w:bCs w:val="0"/>
                <w:szCs w:val="24"/>
              </w:rPr>
              <w:t xml:space="preserve">ncement de l’économie nationale </w:t>
            </w:r>
            <w:r w:rsidRPr="00CE2139">
              <w:rPr>
                <w:b w:val="0"/>
                <w:bCs w:val="0"/>
                <w:szCs w:val="24"/>
              </w:rPr>
              <w:t xml:space="preserve">s’est </w:t>
            </w:r>
            <w:r>
              <w:rPr>
                <w:b w:val="0"/>
                <w:bCs w:val="0"/>
                <w:szCs w:val="24"/>
              </w:rPr>
              <w:t>ainsi établi à</w:t>
            </w:r>
            <w:r w:rsidRPr="00CE2139">
              <w:rPr>
                <w:b w:val="0"/>
                <w:bCs w:val="0"/>
                <w:szCs w:val="24"/>
              </w:rPr>
              <w:t xml:space="preserve"> </w:t>
            </w:r>
            <w:r>
              <w:rPr>
                <w:b w:val="0"/>
                <w:bCs w:val="0"/>
                <w:szCs w:val="24"/>
              </w:rPr>
              <w:t>6</w:t>
            </w:r>
            <w:r w:rsidRPr="00CE2139">
              <w:rPr>
                <w:b w:val="0"/>
                <w:bCs w:val="0"/>
                <w:szCs w:val="24"/>
              </w:rPr>
              <w:t xml:space="preserve">% du PIB au lieu de </w:t>
            </w:r>
            <w:r>
              <w:rPr>
                <w:b w:val="0"/>
                <w:bCs w:val="0"/>
                <w:szCs w:val="24"/>
              </w:rPr>
              <w:t>10,9</w:t>
            </w:r>
            <w:r w:rsidRPr="00CE2139">
              <w:rPr>
                <w:b w:val="0"/>
                <w:bCs w:val="0"/>
                <w:szCs w:val="24"/>
              </w:rPr>
              <w:t>%</w:t>
            </w:r>
            <w:r>
              <w:rPr>
                <w:b w:val="0"/>
                <w:bCs w:val="0"/>
                <w:szCs w:val="24"/>
              </w:rPr>
              <w:t>.</w:t>
            </w:r>
            <w:r>
              <w:rPr>
                <w:b w:val="0"/>
                <w:bCs w:val="0"/>
                <w:szCs w:val="24"/>
              </w:rPr>
              <w:tab/>
            </w:r>
          </w:p>
          <w:p w:rsidR="00BF30D9" w:rsidRPr="00CE2139" w:rsidRDefault="00BF30D9" w:rsidP="00BF30D9">
            <w:pPr>
              <w:pStyle w:val="Titre"/>
              <w:jc w:val="both"/>
              <w:rPr>
                <w:b w:val="0"/>
                <w:bCs w:val="0"/>
                <w:szCs w:val="24"/>
              </w:rPr>
            </w:pPr>
          </w:p>
          <w:p w:rsidR="00BF30D9" w:rsidRDefault="00BF30D9" w:rsidP="00BF30D9">
            <w:r w:rsidRPr="00CE2139">
              <w:t xml:space="preserve">Ci-joint les tableaux présentant les résultats des comptes nationaux du </w:t>
            </w:r>
            <w:r>
              <w:t>quatrième</w:t>
            </w:r>
            <w:r w:rsidRPr="00CE2139">
              <w:t xml:space="preserve"> trimestre 2013</w:t>
            </w:r>
            <w:r>
              <w:t>.</w:t>
            </w:r>
          </w:p>
          <w:p w:rsidR="00F434D8" w:rsidRDefault="00F434D8" w:rsidP="00F434D8"/>
          <w:p w:rsidR="00F434D8" w:rsidRDefault="00F434D8" w:rsidP="00F434D8"/>
          <w:p w:rsidR="00453FB2" w:rsidRPr="00627A37" w:rsidRDefault="00453FB2" w:rsidP="00F434D8">
            <w:pPr>
              <w:rPr>
                <w:rFonts w:ascii="Arial" w:hAnsi="Arial" w:cs="Arial"/>
                <w:b/>
                <w:bCs/>
              </w:rPr>
            </w:pPr>
          </w:p>
        </w:tc>
      </w:tr>
    </w:tbl>
    <w:bookmarkStart w:id="0" w:name="_MON_1441711720"/>
    <w:bookmarkStart w:id="1" w:name="_MON_1441775101"/>
    <w:bookmarkStart w:id="2" w:name="_MON_1441778557"/>
    <w:bookmarkStart w:id="3" w:name="_MON_1441799777"/>
    <w:bookmarkStart w:id="4" w:name="_MON_1442074274"/>
    <w:bookmarkStart w:id="5" w:name="_MON_1442074357"/>
    <w:bookmarkEnd w:id="0"/>
    <w:bookmarkEnd w:id="1"/>
    <w:bookmarkEnd w:id="2"/>
    <w:bookmarkEnd w:id="3"/>
    <w:bookmarkEnd w:id="4"/>
    <w:bookmarkEnd w:id="5"/>
    <w:bookmarkStart w:id="6" w:name="_MON_1441711655"/>
    <w:bookmarkStart w:id="7" w:name="_MON_1457608602"/>
    <w:bookmarkStart w:id="8" w:name="_MON_1457608620"/>
    <w:bookmarkEnd w:id="6"/>
    <w:bookmarkEnd w:id="7"/>
    <w:bookmarkEnd w:id="8"/>
    <w:p w:rsidR="00453FB2" w:rsidRDefault="00BF30D9">
      <w:r w:rsidRPr="00CD5BCB">
        <w:object w:dxaOrig="11007" w:dyaOrig="13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553pt" o:ole="">
            <v:imagedata r:id="rId9" o:title=""/>
          </v:shape>
          <o:OLEObject Type="Embed" ProgID="Excel.Sheet.8" ShapeID="_x0000_i1025" DrawAspect="Content" ObjectID="_1457614943" r:id="rId10"/>
        </w:object>
      </w:r>
    </w:p>
    <w:sectPr w:rsidR="00453FB2" w:rsidSect="00790FC8">
      <w:footerReference w:type="default" r:id="rId11"/>
      <w:pgSz w:w="12240" w:h="15840"/>
      <w:pgMar w:top="1418" w:right="1327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09" w:rsidRDefault="00AF4509" w:rsidP="00611FF6">
      <w:r>
        <w:separator/>
      </w:r>
    </w:p>
  </w:endnote>
  <w:endnote w:type="continuationSeparator" w:id="0">
    <w:p w:rsidR="00AF4509" w:rsidRDefault="00AF4509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52535A">
    <w:pPr>
      <w:pStyle w:val="Pieddepage"/>
      <w:jc w:val="center"/>
    </w:pPr>
    <w:fldSimple w:instr=" PAGE   \* MERGEFORMAT ">
      <w:r w:rsidR="00CE56E2">
        <w:rPr>
          <w:noProof/>
        </w:rPr>
        <w:t>2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09" w:rsidRDefault="00AF4509" w:rsidP="00611FF6">
      <w:r>
        <w:separator/>
      </w:r>
    </w:p>
  </w:footnote>
  <w:footnote w:type="continuationSeparator" w:id="0">
    <w:p w:rsidR="00AF4509" w:rsidRDefault="00AF4509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75AD399F"/>
    <w:multiLevelType w:val="hybridMultilevel"/>
    <w:tmpl w:val="70FAC08A"/>
    <w:lvl w:ilvl="0" w:tplc="FEC20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309C2"/>
    <w:rsid w:val="00044FC6"/>
    <w:rsid w:val="000532E5"/>
    <w:rsid w:val="00053BAE"/>
    <w:rsid w:val="000604C4"/>
    <w:rsid w:val="0006664F"/>
    <w:rsid w:val="0007102C"/>
    <w:rsid w:val="0007573E"/>
    <w:rsid w:val="00085217"/>
    <w:rsid w:val="00091B25"/>
    <w:rsid w:val="0009383B"/>
    <w:rsid w:val="000B0B65"/>
    <w:rsid w:val="000C09AF"/>
    <w:rsid w:val="000C23CB"/>
    <w:rsid w:val="000D29AB"/>
    <w:rsid w:val="000D63C8"/>
    <w:rsid w:val="000F3D3D"/>
    <w:rsid w:val="000F75DC"/>
    <w:rsid w:val="0010418D"/>
    <w:rsid w:val="00111F64"/>
    <w:rsid w:val="00115CC3"/>
    <w:rsid w:val="001610B6"/>
    <w:rsid w:val="001727AC"/>
    <w:rsid w:val="0018215F"/>
    <w:rsid w:val="001940E6"/>
    <w:rsid w:val="001A0192"/>
    <w:rsid w:val="001A0777"/>
    <w:rsid w:val="001A4A33"/>
    <w:rsid w:val="001A5C14"/>
    <w:rsid w:val="001B4853"/>
    <w:rsid w:val="001B7045"/>
    <w:rsid w:val="001B7A37"/>
    <w:rsid w:val="001E282C"/>
    <w:rsid w:val="00204F31"/>
    <w:rsid w:val="002105CD"/>
    <w:rsid w:val="002138C2"/>
    <w:rsid w:val="00214222"/>
    <w:rsid w:val="002333D9"/>
    <w:rsid w:val="002434D0"/>
    <w:rsid w:val="00252408"/>
    <w:rsid w:val="00261BD6"/>
    <w:rsid w:val="00264581"/>
    <w:rsid w:val="002649A4"/>
    <w:rsid w:val="002679E2"/>
    <w:rsid w:val="0028536F"/>
    <w:rsid w:val="0028577D"/>
    <w:rsid w:val="00296A0C"/>
    <w:rsid w:val="002A2143"/>
    <w:rsid w:val="002A42FF"/>
    <w:rsid w:val="002A67AB"/>
    <w:rsid w:val="002B4871"/>
    <w:rsid w:val="002B6FC8"/>
    <w:rsid w:val="002C1ACC"/>
    <w:rsid w:val="002C271E"/>
    <w:rsid w:val="002C3FFB"/>
    <w:rsid w:val="002C702F"/>
    <w:rsid w:val="002D51DB"/>
    <w:rsid w:val="002E32E7"/>
    <w:rsid w:val="002E5B65"/>
    <w:rsid w:val="002E7900"/>
    <w:rsid w:val="002F2F51"/>
    <w:rsid w:val="002F3F44"/>
    <w:rsid w:val="00310172"/>
    <w:rsid w:val="00315D02"/>
    <w:rsid w:val="003175CA"/>
    <w:rsid w:val="00325671"/>
    <w:rsid w:val="00326654"/>
    <w:rsid w:val="0032680B"/>
    <w:rsid w:val="00331ECC"/>
    <w:rsid w:val="00334BA3"/>
    <w:rsid w:val="00354B44"/>
    <w:rsid w:val="00355B15"/>
    <w:rsid w:val="003725F0"/>
    <w:rsid w:val="003811C4"/>
    <w:rsid w:val="003844C1"/>
    <w:rsid w:val="00385F5C"/>
    <w:rsid w:val="00387214"/>
    <w:rsid w:val="00391333"/>
    <w:rsid w:val="003A298E"/>
    <w:rsid w:val="003A72BC"/>
    <w:rsid w:val="003B1D13"/>
    <w:rsid w:val="003B489D"/>
    <w:rsid w:val="003C0365"/>
    <w:rsid w:val="003C12D2"/>
    <w:rsid w:val="003D144A"/>
    <w:rsid w:val="003E1434"/>
    <w:rsid w:val="003E5B3C"/>
    <w:rsid w:val="00411FF2"/>
    <w:rsid w:val="004125AD"/>
    <w:rsid w:val="00445A67"/>
    <w:rsid w:val="00453819"/>
    <w:rsid w:val="00453FB2"/>
    <w:rsid w:val="00467BEF"/>
    <w:rsid w:val="00483696"/>
    <w:rsid w:val="0049194E"/>
    <w:rsid w:val="00493A27"/>
    <w:rsid w:val="004B234D"/>
    <w:rsid w:val="004B3B96"/>
    <w:rsid w:val="004D509B"/>
    <w:rsid w:val="004E2BA5"/>
    <w:rsid w:val="00500683"/>
    <w:rsid w:val="00501518"/>
    <w:rsid w:val="005171DC"/>
    <w:rsid w:val="00517558"/>
    <w:rsid w:val="0052535A"/>
    <w:rsid w:val="0053489A"/>
    <w:rsid w:val="00544E8F"/>
    <w:rsid w:val="005460FF"/>
    <w:rsid w:val="00546F36"/>
    <w:rsid w:val="00552317"/>
    <w:rsid w:val="00560D21"/>
    <w:rsid w:val="0056297F"/>
    <w:rsid w:val="0057077B"/>
    <w:rsid w:val="00583738"/>
    <w:rsid w:val="00583AF0"/>
    <w:rsid w:val="00591734"/>
    <w:rsid w:val="00593DBB"/>
    <w:rsid w:val="00594AEB"/>
    <w:rsid w:val="005A0094"/>
    <w:rsid w:val="005B40E7"/>
    <w:rsid w:val="005B4E44"/>
    <w:rsid w:val="005B52BA"/>
    <w:rsid w:val="005B53CC"/>
    <w:rsid w:val="005B5E05"/>
    <w:rsid w:val="005B69D1"/>
    <w:rsid w:val="005D1F4C"/>
    <w:rsid w:val="005D2309"/>
    <w:rsid w:val="005E3DDE"/>
    <w:rsid w:val="005E5F5A"/>
    <w:rsid w:val="005F4449"/>
    <w:rsid w:val="005F5B42"/>
    <w:rsid w:val="00601E93"/>
    <w:rsid w:val="00611FF6"/>
    <w:rsid w:val="00617CED"/>
    <w:rsid w:val="00624CC3"/>
    <w:rsid w:val="00627A37"/>
    <w:rsid w:val="00630E5D"/>
    <w:rsid w:val="00643E53"/>
    <w:rsid w:val="006551CD"/>
    <w:rsid w:val="00655A5D"/>
    <w:rsid w:val="00662CA5"/>
    <w:rsid w:val="006709D1"/>
    <w:rsid w:val="00684363"/>
    <w:rsid w:val="00686ACA"/>
    <w:rsid w:val="00690DEE"/>
    <w:rsid w:val="006973E9"/>
    <w:rsid w:val="006A0E61"/>
    <w:rsid w:val="006B4393"/>
    <w:rsid w:val="006B5299"/>
    <w:rsid w:val="006C17FF"/>
    <w:rsid w:val="006C2A4C"/>
    <w:rsid w:val="006C4535"/>
    <w:rsid w:val="006D1BD0"/>
    <w:rsid w:val="006D2CA1"/>
    <w:rsid w:val="006F5946"/>
    <w:rsid w:val="00704845"/>
    <w:rsid w:val="007052E2"/>
    <w:rsid w:val="007117CA"/>
    <w:rsid w:val="00712000"/>
    <w:rsid w:val="00715BDF"/>
    <w:rsid w:val="007169B0"/>
    <w:rsid w:val="00761185"/>
    <w:rsid w:val="00766767"/>
    <w:rsid w:val="007801D3"/>
    <w:rsid w:val="00782F49"/>
    <w:rsid w:val="00790FC8"/>
    <w:rsid w:val="00792438"/>
    <w:rsid w:val="0079618F"/>
    <w:rsid w:val="007A02EF"/>
    <w:rsid w:val="007A3D1B"/>
    <w:rsid w:val="007A49A7"/>
    <w:rsid w:val="007B15A7"/>
    <w:rsid w:val="007B3948"/>
    <w:rsid w:val="007D5451"/>
    <w:rsid w:val="007D7B3D"/>
    <w:rsid w:val="007E7367"/>
    <w:rsid w:val="00807C7B"/>
    <w:rsid w:val="008131FD"/>
    <w:rsid w:val="008160A2"/>
    <w:rsid w:val="008330A0"/>
    <w:rsid w:val="00840246"/>
    <w:rsid w:val="00842C92"/>
    <w:rsid w:val="008437D7"/>
    <w:rsid w:val="00851D45"/>
    <w:rsid w:val="008527AF"/>
    <w:rsid w:val="008552FA"/>
    <w:rsid w:val="00855C2B"/>
    <w:rsid w:val="00856F76"/>
    <w:rsid w:val="00860B1F"/>
    <w:rsid w:val="0086308A"/>
    <w:rsid w:val="00870C10"/>
    <w:rsid w:val="00871DE2"/>
    <w:rsid w:val="00873EF8"/>
    <w:rsid w:val="00877A77"/>
    <w:rsid w:val="008A0B6A"/>
    <w:rsid w:val="008A1CEF"/>
    <w:rsid w:val="008B0D42"/>
    <w:rsid w:val="008C292C"/>
    <w:rsid w:val="008E1A8F"/>
    <w:rsid w:val="008E5F0A"/>
    <w:rsid w:val="008F222D"/>
    <w:rsid w:val="00902870"/>
    <w:rsid w:val="00907003"/>
    <w:rsid w:val="00912AF8"/>
    <w:rsid w:val="009160F6"/>
    <w:rsid w:val="00922153"/>
    <w:rsid w:val="00933CA5"/>
    <w:rsid w:val="00943A2F"/>
    <w:rsid w:val="00944ADD"/>
    <w:rsid w:val="0095454E"/>
    <w:rsid w:val="00954C71"/>
    <w:rsid w:val="00954F5A"/>
    <w:rsid w:val="009733A9"/>
    <w:rsid w:val="009744F8"/>
    <w:rsid w:val="00976663"/>
    <w:rsid w:val="00976C97"/>
    <w:rsid w:val="00984975"/>
    <w:rsid w:val="00986867"/>
    <w:rsid w:val="00993477"/>
    <w:rsid w:val="0099779E"/>
    <w:rsid w:val="00997FB9"/>
    <w:rsid w:val="009A1922"/>
    <w:rsid w:val="009A2390"/>
    <w:rsid w:val="009A6AD0"/>
    <w:rsid w:val="009B188D"/>
    <w:rsid w:val="009C670F"/>
    <w:rsid w:val="009D3DC5"/>
    <w:rsid w:val="00A00613"/>
    <w:rsid w:val="00A01C87"/>
    <w:rsid w:val="00A04EE4"/>
    <w:rsid w:val="00A06624"/>
    <w:rsid w:val="00A10BB9"/>
    <w:rsid w:val="00A1223E"/>
    <w:rsid w:val="00A1530E"/>
    <w:rsid w:val="00A22A70"/>
    <w:rsid w:val="00A3008E"/>
    <w:rsid w:val="00A31489"/>
    <w:rsid w:val="00A32969"/>
    <w:rsid w:val="00A32AD0"/>
    <w:rsid w:val="00A35941"/>
    <w:rsid w:val="00A3667F"/>
    <w:rsid w:val="00A40F5A"/>
    <w:rsid w:val="00A47AA8"/>
    <w:rsid w:val="00A52295"/>
    <w:rsid w:val="00A53F63"/>
    <w:rsid w:val="00A6499F"/>
    <w:rsid w:val="00A66BCE"/>
    <w:rsid w:val="00A671AA"/>
    <w:rsid w:val="00A71820"/>
    <w:rsid w:val="00A72BDE"/>
    <w:rsid w:val="00A746C8"/>
    <w:rsid w:val="00A91B31"/>
    <w:rsid w:val="00A93EEC"/>
    <w:rsid w:val="00A96C5A"/>
    <w:rsid w:val="00AB0640"/>
    <w:rsid w:val="00AB47DD"/>
    <w:rsid w:val="00AC7BB7"/>
    <w:rsid w:val="00AE3542"/>
    <w:rsid w:val="00AE5A6D"/>
    <w:rsid w:val="00AF0E66"/>
    <w:rsid w:val="00AF4509"/>
    <w:rsid w:val="00B005FE"/>
    <w:rsid w:val="00B1446A"/>
    <w:rsid w:val="00B15B9E"/>
    <w:rsid w:val="00B16B86"/>
    <w:rsid w:val="00B176CA"/>
    <w:rsid w:val="00B3138A"/>
    <w:rsid w:val="00B32235"/>
    <w:rsid w:val="00B43A33"/>
    <w:rsid w:val="00B463A1"/>
    <w:rsid w:val="00B53052"/>
    <w:rsid w:val="00B5600B"/>
    <w:rsid w:val="00B6038F"/>
    <w:rsid w:val="00B61B9E"/>
    <w:rsid w:val="00B63189"/>
    <w:rsid w:val="00B6467E"/>
    <w:rsid w:val="00B719B0"/>
    <w:rsid w:val="00B85FFD"/>
    <w:rsid w:val="00B8745B"/>
    <w:rsid w:val="00B87AE4"/>
    <w:rsid w:val="00BA70D1"/>
    <w:rsid w:val="00BC20D1"/>
    <w:rsid w:val="00BC40FE"/>
    <w:rsid w:val="00BC4918"/>
    <w:rsid w:val="00BD52F6"/>
    <w:rsid w:val="00BE35F1"/>
    <w:rsid w:val="00BE45AF"/>
    <w:rsid w:val="00BF04E0"/>
    <w:rsid w:val="00BF30D9"/>
    <w:rsid w:val="00BF32FD"/>
    <w:rsid w:val="00C00522"/>
    <w:rsid w:val="00C11221"/>
    <w:rsid w:val="00C13D2E"/>
    <w:rsid w:val="00C174AC"/>
    <w:rsid w:val="00C20029"/>
    <w:rsid w:val="00C3716C"/>
    <w:rsid w:val="00C37BF4"/>
    <w:rsid w:val="00C504BD"/>
    <w:rsid w:val="00C6365B"/>
    <w:rsid w:val="00C665D8"/>
    <w:rsid w:val="00C70B0C"/>
    <w:rsid w:val="00C75B2A"/>
    <w:rsid w:val="00C76BA2"/>
    <w:rsid w:val="00C903EC"/>
    <w:rsid w:val="00C959DB"/>
    <w:rsid w:val="00C95F2B"/>
    <w:rsid w:val="00CA3FF4"/>
    <w:rsid w:val="00CA6DC0"/>
    <w:rsid w:val="00CB09B6"/>
    <w:rsid w:val="00CB6F79"/>
    <w:rsid w:val="00CC51B6"/>
    <w:rsid w:val="00CD5BCB"/>
    <w:rsid w:val="00CD6928"/>
    <w:rsid w:val="00CD7581"/>
    <w:rsid w:val="00CE2139"/>
    <w:rsid w:val="00CE56E2"/>
    <w:rsid w:val="00CE7BED"/>
    <w:rsid w:val="00CF3FFC"/>
    <w:rsid w:val="00D05E13"/>
    <w:rsid w:val="00D13135"/>
    <w:rsid w:val="00D2128F"/>
    <w:rsid w:val="00D24703"/>
    <w:rsid w:val="00D37390"/>
    <w:rsid w:val="00D42665"/>
    <w:rsid w:val="00D43371"/>
    <w:rsid w:val="00D43D00"/>
    <w:rsid w:val="00D43D53"/>
    <w:rsid w:val="00D464F3"/>
    <w:rsid w:val="00D52027"/>
    <w:rsid w:val="00D66084"/>
    <w:rsid w:val="00D702FF"/>
    <w:rsid w:val="00D70381"/>
    <w:rsid w:val="00D70876"/>
    <w:rsid w:val="00D734D1"/>
    <w:rsid w:val="00D825FB"/>
    <w:rsid w:val="00D8622E"/>
    <w:rsid w:val="00D8789E"/>
    <w:rsid w:val="00D97ACE"/>
    <w:rsid w:val="00DA0838"/>
    <w:rsid w:val="00DB1C94"/>
    <w:rsid w:val="00DD2554"/>
    <w:rsid w:val="00DE0BEB"/>
    <w:rsid w:val="00DE2212"/>
    <w:rsid w:val="00DE49FE"/>
    <w:rsid w:val="00DF08A0"/>
    <w:rsid w:val="00E027DA"/>
    <w:rsid w:val="00E02EC7"/>
    <w:rsid w:val="00E30AE6"/>
    <w:rsid w:val="00E318F1"/>
    <w:rsid w:val="00E45B73"/>
    <w:rsid w:val="00E53C9E"/>
    <w:rsid w:val="00E6636B"/>
    <w:rsid w:val="00E70667"/>
    <w:rsid w:val="00E80038"/>
    <w:rsid w:val="00E8018B"/>
    <w:rsid w:val="00E86210"/>
    <w:rsid w:val="00E862FE"/>
    <w:rsid w:val="00EA1D95"/>
    <w:rsid w:val="00EA42C5"/>
    <w:rsid w:val="00EA5C24"/>
    <w:rsid w:val="00EA6570"/>
    <w:rsid w:val="00EB1E5B"/>
    <w:rsid w:val="00ED0F87"/>
    <w:rsid w:val="00EE4D05"/>
    <w:rsid w:val="00EF5D2A"/>
    <w:rsid w:val="00F00F4A"/>
    <w:rsid w:val="00F061FC"/>
    <w:rsid w:val="00F144B4"/>
    <w:rsid w:val="00F15AC5"/>
    <w:rsid w:val="00F32A78"/>
    <w:rsid w:val="00F434D8"/>
    <w:rsid w:val="00F461D5"/>
    <w:rsid w:val="00F6025E"/>
    <w:rsid w:val="00F610B1"/>
    <w:rsid w:val="00F640A6"/>
    <w:rsid w:val="00F81841"/>
    <w:rsid w:val="00F91365"/>
    <w:rsid w:val="00F915B6"/>
    <w:rsid w:val="00F94379"/>
    <w:rsid w:val="00FA311B"/>
    <w:rsid w:val="00FA4232"/>
    <w:rsid w:val="00FB1934"/>
    <w:rsid w:val="00FB48C6"/>
    <w:rsid w:val="00FC489D"/>
    <w:rsid w:val="00FC5D50"/>
    <w:rsid w:val="00FD2161"/>
    <w:rsid w:val="00FD7335"/>
    <w:rsid w:val="00FF018B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2014-03-29T14:31:00Z</cp:lastPrinted>
  <dcterms:created xsi:type="dcterms:W3CDTF">2014-03-29T16:03:00Z</dcterms:created>
  <dcterms:modified xsi:type="dcterms:W3CDTF">2014-03-29T16:16:00Z</dcterms:modified>
</cp:coreProperties>
</file>