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967F39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</w:t>
      </w:r>
      <w:r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  <w:r w:rsidR="00967F39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</w:t>
      </w: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 </w:t>
      </w: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لدى الأسر </w:t>
      </w:r>
    </w:p>
    <w:p w:rsidR="00FB5154" w:rsidRPr="00305222" w:rsidRDefault="009E0E01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الرابع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من سنة 2013</w:t>
      </w:r>
    </w:p>
    <w:p w:rsidR="00FB5154" w:rsidRPr="00892060" w:rsidRDefault="00FB5154" w:rsidP="00FB5154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FB5154" w:rsidRPr="000F5040" w:rsidRDefault="00FB5154" w:rsidP="00514628">
      <w:pPr>
        <w:bidi/>
        <w:spacing w:before="24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تبين نتائج البحث الدائم حول الظرفية لدى الأسر، المنجز من طرف</w:t>
      </w:r>
      <w:r w:rsidRPr="000F5040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المندوبية السامية للتخطيط، أن مؤشر ثقة الأسر قد سجل خلال </w:t>
      </w:r>
      <w:r w:rsidR="009E0E0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الفصل الرابع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سنة 2013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انخفاضا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قدر ب 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4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,</w:t>
      </w:r>
      <w:r w:rsidR="00225AD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</w:t>
      </w:r>
      <w:r w:rsidRPr="000F5040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نق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ط </w:t>
      </w:r>
      <w:r w:rsidR="00294D15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مقارنة مع 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مستواه خلال </w:t>
      </w:r>
      <w:r w:rsidR="00294D15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الفصل 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الرابع </w:t>
      </w:r>
      <w:r w:rsidR="00294D15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من سنة 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2012 و ب 1,2 نقطة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مقارنة مع </w:t>
      </w:r>
      <w:r w:rsidR="009E0E0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الفصل الثالث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من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</w:t>
      </w:r>
      <w:r w:rsidR="00105F6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3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9569BA" w:rsidRDefault="00933226" w:rsidP="00514628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هكذا، استقر</w:t>
      </w:r>
      <w:r w:rsidR="00052202" w:rsidRP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="00052202" w:rsidRPr="006555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52202" w:rsidRPr="006555DD">
        <w:rPr>
          <w:rFonts w:ascii="Times New Roman" w:hAnsi="Times New Roman" w:cs="Simplified Arabic" w:hint="cs"/>
          <w:sz w:val="28"/>
          <w:szCs w:val="28"/>
          <w:rtl/>
          <w:lang w:bidi="ar-MA"/>
        </w:rPr>
        <w:t>ثقة الأسر</w:t>
      </w:r>
      <w:r w:rsid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9E0E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الرابع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2013، في</w:t>
      </w:r>
      <w:r w:rsidR="004576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أقل مستوى له من</w:t>
      </w:r>
      <w:r w:rsidR="004A1A98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4576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بداية البحث، والمقدر ب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94D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74,2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مقابل </w:t>
      </w:r>
      <w:r w:rsidR="00294D15">
        <w:rPr>
          <w:rFonts w:ascii="Times New Roman" w:hAnsi="Times New Roman" w:cs="Simplified Arabic" w:hint="cs"/>
          <w:sz w:val="28"/>
          <w:szCs w:val="28"/>
          <w:rtl/>
          <w:lang w:bidi="ar-MA"/>
        </w:rPr>
        <w:t>75</w:t>
      </w:r>
      <w:r w:rsidR="00294D15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94D15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FB515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السابق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E64B0A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294D15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94D15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 w:rsidRPr="0099074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نفس الفصل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السنة السابقة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282A76" w:rsidRDefault="00282A76" w:rsidP="00282A76">
      <w:pPr>
        <w:bidi/>
        <w:spacing w:before="24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9569BA" w:rsidRDefault="00282A76" w:rsidP="009569BA">
      <w:pPr>
        <w:bidi/>
        <w:jc w:val="both"/>
        <w:rPr>
          <w:rFonts w:cs="Simplified Arabic"/>
          <w:rtl/>
          <w:lang w:bidi="ar-MA"/>
        </w:rPr>
      </w:pPr>
      <w:r w:rsidRPr="00282A76">
        <w:rPr>
          <w:rFonts w:cs="Simplified Arabic"/>
          <w:noProof/>
          <w:rtl/>
        </w:rPr>
        <w:drawing>
          <wp:inline distT="0" distB="0" distL="0" distR="0">
            <wp:extent cx="6079933" cy="3269411"/>
            <wp:effectExtent l="19050" t="0" r="16067" b="7189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0C6B" w:rsidRDefault="00A60C6B" w:rsidP="00A60C6B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A60C6B" w:rsidRDefault="00A60C6B" w:rsidP="00A60C6B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514628" w:rsidRDefault="00514628" w:rsidP="00514628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FB5154" w:rsidRDefault="00FB5154" w:rsidP="00B631C4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تطور مكون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ات </w:t>
      </w: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مؤشر الثقة</w:t>
      </w:r>
    </w:p>
    <w:p w:rsidR="00701282" w:rsidRPr="00701282" w:rsidRDefault="00701282" w:rsidP="00B631C4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701282">
        <w:rPr>
          <w:rFonts w:ascii="Times New Roman" w:hAnsi="Times New Roman" w:cs="Simplified Arabic" w:hint="cs"/>
          <w:sz w:val="28"/>
          <w:szCs w:val="28"/>
          <w:rtl/>
          <w:lang w:bidi="ar-MA"/>
        </w:rPr>
        <w:t>يرجع تطور مؤشر الثقة  للتطورات المتباينة لمختلف مكوناته.</w:t>
      </w:r>
    </w:p>
    <w:p w:rsidR="00FB5154" w:rsidRPr="003E265E" w:rsidRDefault="00FB5154" w:rsidP="001203F7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3E26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مستوى </w:t>
      </w:r>
      <w:r w:rsidR="001D288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  <w:r w:rsidR="001D288C" w:rsidRPr="003E26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لمعيشة</w:t>
      </w:r>
      <w:r w:rsidR="001D288C">
        <w:rPr>
          <w:rFonts w:ascii="Times New Roman" w:hAnsi="Times New Roman" w:cs="Simplified Arabic"/>
          <w:b/>
          <w:bCs/>
          <w:sz w:val="30"/>
          <w:szCs w:val="30"/>
          <w:lang w:bidi="ar-MA"/>
        </w:rPr>
        <w:t>: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1203F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توجه نحو الانخفاض</w:t>
      </w:r>
    </w:p>
    <w:p w:rsidR="00561537" w:rsidRDefault="00D212C6" w:rsidP="00B631C4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عرفت آراء الأسر فيما يخص التطور السابق لمستوى المعيشة بالمغرب</w:t>
      </w:r>
      <w:r w:rsidR="001D288C" w:rsidRP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تحسنا 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9E0E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الرابع 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سنة 2013 سواء 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بالمقارنة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أو مع نفس الفترة من 2012 حيث ارتفع رصيد هذا المؤشر ب 1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B6DA4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نقط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و ب </w:t>
      </w:r>
      <w:r w:rsidR="00CB6DA4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B6DA4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هاتين الفترتين 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على التوالي.</w:t>
      </w:r>
    </w:p>
    <w:p w:rsidR="00267C04" w:rsidRDefault="00CB6DA4" w:rsidP="00514628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الآراء المتعلقة بالتطور المستقبلي</w:t>
      </w:r>
      <w:r w:rsidR="001604B1" w:rsidRP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لمستوى المعيشة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فقد سجل </w:t>
      </w:r>
      <w:r w:rsidR="007A2963">
        <w:rPr>
          <w:rFonts w:ascii="Times New Roman" w:hAnsi="Times New Roman" w:cs="Simplified Arabic" w:hint="cs"/>
          <w:sz w:val="28"/>
          <w:szCs w:val="28"/>
          <w:rtl/>
          <w:lang w:bidi="ar-MA"/>
        </w:rPr>
        <w:t>انخفاضا قدر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096DF6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096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096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D44881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الفصل السابق 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1604B1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ط بالمقارنة مع نفس الفترة من 2012</w:t>
      </w:r>
      <w:r w:rsidR="00267C0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FB5154" w:rsidRDefault="00194803" w:rsidP="00FB5154">
      <w:pPr>
        <w:widowControl/>
        <w:autoSpaceDE/>
        <w:autoSpaceDN/>
        <w:bidi/>
        <w:adjustRightInd/>
        <w:spacing w:after="200" w:line="276" w:lineRule="auto"/>
        <w:jc w:val="center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194803">
        <w:rPr>
          <w:rFonts w:ascii="Times New Roman" w:hAnsi="Times New Roman" w:cs="Simplified Arabic"/>
          <w:b/>
          <w:bCs/>
          <w:noProof/>
          <w:sz w:val="30"/>
          <w:szCs w:val="30"/>
          <w:rtl/>
        </w:rPr>
        <w:drawing>
          <wp:inline distT="0" distB="0" distL="0" distR="0">
            <wp:extent cx="5963285" cy="2743200"/>
            <wp:effectExtent l="19050" t="0" r="18415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542A" w:rsidRPr="000C542A" w:rsidRDefault="000C542A" w:rsidP="000C542A">
      <w:pPr>
        <w:pStyle w:val="Paragraphedeliste"/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FB5154" w:rsidRPr="00751E8B" w:rsidRDefault="00FB5154" w:rsidP="00C947BB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البطال</w:t>
      </w:r>
      <w:r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D554A9" w:rsidRPr="00751E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 </w:t>
      </w:r>
      <w:r w:rsidR="001203F7" w:rsidRPr="00751E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</w:t>
      </w:r>
      <w:r w:rsidR="00C947BB" w:rsidRPr="00751E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  <w:r w:rsidRPr="00751E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رتفاع</w:t>
      </w:r>
      <w:r w:rsidR="00A3155D" w:rsidRPr="00751E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C947BB" w:rsidRPr="00751E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معتدل</w:t>
      </w:r>
    </w:p>
    <w:p w:rsidR="00FB5154" w:rsidRDefault="003E2DE1" w:rsidP="00B631C4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E0E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الرابع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2013، 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>75,4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عدد العاطلين خلال 12 شهرا </w:t>
      </w:r>
      <w:r w:rsidR="00F325B2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المقبلة</w:t>
      </w:r>
      <w:r w:rsidR="00F325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>77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فصلا من قبل و 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>70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33E6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 من قبل. </w:t>
      </w:r>
      <w:r w:rsidR="003639B6">
        <w:rPr>
          <w:rFonts w:ascii="Times New Roman" w:hAnsi="Times New Roman" w:cs="Simplified Arabic" w:hint="cs"/>
          <w:sz w:val="28"/>
          <w:szCs w:val="28"/>
          <w:rtl/>
          <w:lang w:bidi="ar-MA"/>
        </w:rPr>
        <w:t>وهكذا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3F16A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مستوى سلبي قدر ب </w:t>
      </w:r>
      <w:r w:rsidR="00DF70DA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DF70DA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2- نقطة 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حيث </w:t>
      </w:r>
      <w:r w:rsidR="00514628">
        <w:rPr>
          <w:rFonts w:ascii="Times New Roman" w:hAnsi="Times New Roman" w:cs="Simplified Arabic" w:hint="cs"/>
          <w:sz w:val="28"/>
          <w:szCs w:val="28"/>
          <w:rtl/>
          <w:lang w:bidi="ar-MA"/>
        </w:rPr>
        <w:t>كسر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المنحى التناقصي ال</w:t>
      </w:r>
      <w:r w:rsidR="00514628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>ي عرفه من</w:t>
      </w:r>
      <w:r w:rsidR="00514628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سنتين 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 ب</w:t>
      </w:r>
      <w:r w:rsidR="00514628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</w:t>
      </w:r>
      <w:r w:rsidR="00CC481D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1,6 نقطة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السابق 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حين عرف تدهورا قدر ب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ط مقارنة مع نفس الفصل من 201</w:t>
      </w:r>
      <w:r w:rsidR="00AB4028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45126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FB5154" w:rsidRDefault="00FB5154" w:rsidP="00FB5154">
      <w:pPr>
        <w:rPr>
          <w:rtl/>
          <w:lang w:bidi="ar-MA"/>
        </w:rPr>
      </w:pPr>
    </w:p>
    <w:p w:rsidR="000E1043" w:rsidRDefault="000E1043" w:rsidP="00FB5154">
      <w:pPr>
        <w:rPr>
          <w:rtl/>
          <w:lang w:bidi="ar-MA"/>
        </w:rPr>
      </w:pPr>
    </w:p>
    <w:p w:rsidR="000E1043" w:rsidRDefault="000E1043" w:rsidP="00FB5154">
      <w:pPr>
        <w:rPr>
          <w:rtl/>
          <w:lang w:bidi="ar-MA"/>
        </w:rPr>
      </w:pPr>
    </w:p>
    <w:p w:rsidR="000E1043" w:rsidRDefault="000E1043" w:rsidP="00FB5154">
      <w:pPr>
        <w:rPr>
          <w:rtl/>
          <w:lang w:bidi="ar-MA"/>
        </w:rPr>
      </w:pPr>
    </w:p>
    <w:p w:rsidR="000E1043" w:rsidRDefault="000E1043" w:rsidP="00FB5154">
      <w:pPr>
        <w:rPr>
          <w:rtl/>
          <w:lang w:bidi="ar-MA"/>
        </w:rPr>
      </w:pPr>
    </w:p>
    <w:p w:rsidR="00FB5154" w:rsidRDefault="00E0471C" w:rsidP="00FB5154">
      <w:pPr>
        <w:rPr>
          <w:rtl/>
          <w:lang w:bidi="ar-MA"/>
        </w:rPr>
      </w:pPr>
      <w:r w:rsidRPr="00E0471C">
        <w:rPr>
          <w:noProof/>
        </w:rPr>
        <w:drawing>
          <wp:inline distT="0" distB="0" distL="0" distR="0">
            <wp:extent cx="5883275" cy="2590800"/>
            <wp:effectExtent l="19050" t="0" r="22225" b="0"/>
            <wp:docPr id="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5376" w:rsidRDefault="002E5376" w:rsidP="002E5376">
      <w:pPr>
        <w:pStyle w:val="Paragraphedeliste"/>
        <w:widowControl/>
        <w:autoSpaceDE/>
        <w:autoSpaceDN/>
        <w:bidi/>
        <w:adjustRightInd/>
        <w:spacing w:after="200" w:line="380" w:lineRule="exact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FB5154" w:rsidRDefault="00BC03B1" w:rsidP="00B631C4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استمرار اعتبار الظروف غير </w:t>
      </w:r>
      <w:r w:rsidR="0069559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ملائمة للقيام بشراء السلع المستديمة</w:t>
      </w:r>
    </w:p>
    <w:p w:rsidR="00B60126" w:rsidRDefault="000E0292" w:rsidP="00B631C4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9E0E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الرابع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سنة 2013،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اعتبر أكثر من 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0C54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للقيام بشراء سلع مستديمة</w:t>
      </w:r>
      <w:r w:rsidR="00512D0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أن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>19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ترى 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عكس ذلك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وقد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>31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>ا ب</w:t>
      </w:r>
      <w:r w:rsidR="00514628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تدهورا سواء بالمقارنة مع 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2,3-  نقاط </w:t>
      </w:r>
      <w:r w:rsidR="00A57FC8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أو مع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ترة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2012 </w:t>
      </w:r>
      <w:r w:rsidR="00A57FC8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2,5-  نقاط </w:t>
      </w:r>
      <w:r w:rsidR="00A57FC8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FB5154" w:rsidRDefault="0004405A" w:rsidP="00FB5154">
      <w:pPr>
        <w:rPr>
          <w:rtl/>
        </w:rPr>
      </w:pPr>
      <w:r w:rsidRPr="0004405A">
        <w:rPr>
          <w:noProof/>
        </w:rPr>
        <w:t xml:space="preserve"> </w:t>
      </w:r>
      <w:r w:rsidR="00196E61" w:rsidRPr="00196E61">
        <w:rPr>
          <w:noProof/>
        </w:rPr>
        <w:drawing>
          <wp:inline distT="0" distB="0" distL="0" distR="0">
            <wp:extent cx="5883275" cy="2771775"/>
            <wp:effectExtent l="19050" t="0" r="22225" b="0"/>
            <wp:docPr id="5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1043" w:rsidRPr="000E1043" w:rsidRDefault="000E1043" w:rsidP="000E1043">
      <w:pPr>
        <w:pStyle w:val="Paragraphedeliste"/>
        <w:widowControl/>
        <w:autoSpaceDE/>
        <w:autoSpaceDN/>
        <w:bidi/>
        <w:adjustRightInd/>
        <w:spacing w:after="200"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FB5154" w:rsidRPr="007E52A5" w:rsidRDefault="00731C5E" w:rsidP="00731C5E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  <w:r w:rsidR="000E104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</w:t>
      </w:r>
      <w:r w:rsidR="007F508E"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وضعي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 w:rsidR="006B1F2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26219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</w:t>
      </w:r>
      <w:r w:rsidR="007F508E"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مالية</w:t>
      </w:r>
      <w:r w:rsidR="0026219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للأسر :</w:t>
      </w:r>
      <w:r w:rsidRPr="00731C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 لتطور سلبي</w:t>
      </w:r>
    </w:p>
    <w:p w:rsidR="00FB5154" w:rsidRDefault="00FB5154" w:rsidP="00B631C4">
      <w:pPr>
        <w:widowControl/>
        <w:autoSpaceDE/>
        <w:autoSpaceDN/>
        <w:bidi/>
        <w:adjustRightInd/>
        <w:spacing w:after="200"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بالنسبة ل</w:t>
      </w:r>
      <w:r w:rsidR="004744D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966260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4744D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الأسر، فإن مداخيلها  تغطي  مصاريفها في حين 3</w:t>
      </w:r>
      <w:r w:rsidR="004744D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667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تستنزف من مدخراتها أو </w:t>
      </w:r>
      <w:r w:rsidR="00A83C1A">
        <w:rPr>
          <w:rFonts w:ascii="Times New Roman" w:hAnsi="Times New Roman" w:cs="Simplified Arabic" w:hint="cs"/>
          <w:sz w:val="28"/>
          <w:szCs w:val="28"/>
          <w:rtl/>
          <w:lang w:bidi="ar-MA"/>
        </w:rPr>
        <w:t>تلجأ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الاستدان</w:t>
      </w:r>
      <w:r w:rsidR="00306B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فيما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66260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107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فقط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0D62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صرحت بتمكنها من ادخار جزء من مدخولها. وهكذا استقر رصيد مؤشر </w:t>
      </w:r>
      <w:r w:rsidR="0021249E">
        <w:rPr>
          <w:rFonts w:ascii="Times New Roman" w:hAnsi="Times New Roman" w:cs="Simplified Arabic" w:hint="cs"/>
          <w:sz w:val="28"/>
          <w:szCs w:val="28"/>
          <w:rtl/>
          <w:lang w:bidi="ar-MA"/>
        </w:rPr>
        <w:t>الوضعية المالية الحالية للأسر في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قدر ب </w:t>
      </w:r>
      <w:r w:rsidR="008B3A54">
        <w:rPr>
          <w:rFonts w:ascii="Times New Roman" w:hAnsi="Times New Roman" w:cs="Simplified Arabic" w:hint="cs"/>
          <w:sz w:val="28"/>
          <w:szCs w:val="28"/>
          <w:rtl/>
          <w:lang w:bidi="ar-MA"/>
        </w:rPr>
        <w:t>29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B3A54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مسجلا بذلك 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استقرارا </w:t>
      </w:r>
      <w:r w:rsidR="006620A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الفصل السابق و تدهورا طفيفا </w:t>
      </w:r>
      <w:r w:rsidR="00CA679E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CA679E">
        <w:rPr>
          <w:rFonts w:ascii="Times New Roman" w:hAnsi="Times New Roman" w:cs="Simplified Arabic" w:hint="cs"/>
          <w:sz w:val="28"/>
          <w:szCs w:val="28"/>
          <w:rtl/>
          <w:lang w:bidi="ar-MA"/>
        </w:rPr>
        <w:t>0,1- نقطة</w:t>
      </w:r>
      <w:r w:rsidR="00CA679E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CA679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بالمقارنة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مع نفس الفصل من سنة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</w:t>
      </w:r>
      <w:r w:rsidR="002B56E7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A51077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2447B7" w:rsidRDefault="00FB5154" w:rsidP="00716460">
      <w:pPr>
        <w:widowControl/>
        <w:autoSpaceDE/>
        <w:autoSpaceDN/>
        <w:bidi/>
        <w:adjustRightInd/>
        <w:spacing w:after="200"/>
        <w:ind w:left="283" w:hanging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بالنسبة للتطور الساب</w:t>
      </w:r>
      <w:r w:rsidR="00B35F02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ق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5F02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لوضعيته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B35F02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 w:rsidR="002C315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ف</w:t>
      </w:r>
      <w:r w:rsidR="008B1C9B">
        <w:rPr>
          <w:rFonts w:ascii="Times New Roman" w:hAnsi="Times New Roman" w:cs="Simplified Arabic" w:hint="cs"/>
          <w:sz w:val="28"/>
          <w:szCs w:val="28"/>
          <w:rtl/>
          <w:lang w:bidi="ar-MA"/>
        </w:rPr>
        <w:t>لم تعرف</w:t>
      </w:r>
      <w:r w:rsidR="00A5107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أرصدة</w:t>
      </w:r>
      <w:r w:rsidR="008B1C9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آراء الأسر</w:t>
      </w:r>
      <w:r w:rsidR="008B1C9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أي تغيير مقارن</w:t>
      </w:r>
      <w:r w:rsidR="008B1C9B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="008B1C9B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8B1C9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فصل من قبل 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>في حين</w:t>
      </w:r>
      <w:r w:rsidR="008B1C9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عرفت 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>انخف</w:t>
      </w:r>
      <w:r w:rsidR="008B1C9B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>ض</w:t>
      </w:r>
      <w:r w:rsidR="008B1C9B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447B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8B1C9B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2447B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,2 </w:t>
      </w:r>
      <w:r w:rsidR="000708E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نقاط </w:t>
      </w:r>
      <w:r w:rsidR="002447B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 w:rsidR="006A64D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 2012.</w:t>
      </w:r>
    </w:p>
    <w:p w:rsidR="0041230B" w:rsidRDefault="007F6595" w:rsidP="00817133">
      <w:pPr>
        <w:widowControl/>
        <w:autoSpaceDE/>
        <w:autoSpaceDN/>
        <w:bidi/>
        <w:adjustRightInd/>
        <w:spacing w:after="200"/>
        <w:ind w:left="283" w:hanging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1230B">
        <w:rPr>
          <w:rFonts w:ascii="Times New Roman" w:hAnsi="Times New Roman" w:cs="Simplified Arabic" w:hint="cs"/>
          <w:sz w:val="28"/>
          <w:szCs w:val="28"/>
          <w:rtl/>
          <w:lang w:bidi="ar-MA"/>
        </w:rPr>
        <w:t>ولأول مرة من</w:t>
      </w:r>
      <w:r w:rsidR="00817133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4123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بداية البحث، استقر رصيد التطور المستقبلي للوضعية المالية للأسر في مستوى سلبي حدد في 1,7- نقطة مسجلا ب</w:t>
      </w:r>
      <w:r w:rsidR="00514628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4123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انخفاضا ب 4,5 نقاط </w:t>
      </w:r>
      <w:r w:rsidR="0041230B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 w:rsidR="004123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الفصل السابق و ب 12,3 نقطة مقارنة مع نفس الفترة من 2012.     </w:t>
      </w:r>
    </w:p>
    <w:p w:rsidR="00FB5154" w:rsidRDefault="005A640C" w:rsidP="00FB5154">
      <w:pPr>
        <w:rPr>
          <w:rtl/>
          <w:lang w:bidi="ar-MA"/>
        </w:rPr>
      </w:pPr>
      <w:r w:rsidRPr="005A640C">
        <w:rPr>
          <w:noProof/>
        </w:rPr>
        <w:drawing>
          <wp:inline distT="0" distB="0" distL="0" distR="0">
            <wp:extent cx="5734685" cy="2895600"/>
            <wp:effectExtent l="19050" t="0" r="18415" b="0"/>
            <wp:docPr id="6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5154" w:rsidRPr="00A343E7" w:rsidRDefault="00FB5154" w:rsidP="00B631C4">
      <w:pPr>
        <w:widowControl/>
        <w:autoSpaceDE/>
        <w:autoSpaceDN/>
        <w:bidi/>
        <w:adjustRightInd/>
        <w:spacing w:before="240" w:after="20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2. تطور مؤشرات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D3AC3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فصلية 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أخرى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آراء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الأسر </w:t>
      </w:r>
      <w:r w:rsidR="00B1639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حول الظرفية</w:t>
      </w:r>
    </w:p>
    <w:p w:rsidR="006C6950" w:rsidRDefault="006C6950" w:rsidP="00B631C4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بالإضافة إلى المؤشرات السبع المكونة لمؤشر الثقة للأسر، يوفر البحث معطيات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فصلية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متعلقة بتصورات الأسر حول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مجالات أخرى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تتعلق بظروف معيشتهم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ويتعلق الأمر على الخصوص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بقدرة الأسر على الادخار وب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 الأثمنة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C1247B" w:rsidRPr="00C1247B" w:rsidRDefault="006A1177" w:rsidP="001203F7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قدر</w:t>
      </w:r>
      <w:r w:rsidR="00FA0F2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الأسر على الادخار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</w:t>
      </w:r>
      <w:r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1203F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استمرار ال</w:t>
      </w:r>
      <w:r w:rsidR="006C69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تشائم</w:t>
      </w:r>
    </w:p>
    <w:p w:rsidR="001C4A0B" w:rsidRDefault="0059278D" w:rsidP="00DD38B5">
      <w:pPr>
        <w:widowControl/>
        <w:autoSpaceDE/>
        <w:autoSpaceDN/>
        <w:bidi/>
        <w:adjustRightInd/>
        <w:spacing w:after="200"/>
        <w:ind w:left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تبقى الأسر دائما متشائمة بخصوص قدرتها 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على الادخار خلال الشه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 القادمة.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</w:t>
      </w:r>
      <w:r w:rsidR="007B262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9E0E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الرابع </w:t>
      </w:r>
      <w:r w:rsidR="007B262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2013،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عبرت 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أكثر من ثماني أسر من كل عشرة (8</w:t>
      </w:r>
      <w:r w:rsidR="00075E5A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75E5A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B5154" w:rsidRPr="00C1247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عن 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عدم قدرتها على </w:t>
      </w:r>
      <w:r w:rsidR="001C4A0B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الادخار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 </w:t>
      </w:r>
      <w:r w:rsidR="007B262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12 شهرا المقبلة مقابل 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DD38B5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7B262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D38B5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7B2624" w:rsidRPr="00C1247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B262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تتوقع عكس </w:t>
      </w:r>
      <w:r w:rsidR="007B278D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>لك</w:t>
      </w:r>
      <w:r w:rsidR="007B262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>
        <w:rPr>
          <w:rFonts w:ascii="Times New Roman" w:hAnsi="Times New Roman" w:cs="Simplified Arabic" w:hint="cs"/>
          <w:sz w:val="28"/>
          <w:szCs w:val="28"/>
          <w:rtl/>
          <w:lang w:bidi="ar-MA"/>
        </w:rPr>
        <w:t>وب</w:t>
      </w:r>
      <w:r w:rsidR="00996A25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C062A5">
        <w:rPr>
          <w:rFonts w:ascii="Times New Roman" w:hAnsi="Times New Roman" w:cs="Simplified Arabic" w:hint="cs"/>
          <w:sz w:val="28"/>
          <w:szCs w:val="28"/>
          <w:rtl/>
          <w:lang w:bidi="ar-MA"/>
        </w:rPr>
        <w:t>لك استق</w:t>
      </w:r>
      <w:r w:rsidR="00C062A5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ر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>
        <w:rPr>
          <w:rFonts w:ascii="Times New Roman" w:hAnsi="Times New Roman" w:cs="Simplified Arabic" w:hint="cs"/>
          <w:sz w:val="28"/>
          <w:szCs w:val="28"/>
          <w:rtl/>
          <w:lang w:bidi="ar-MA"/>
        </w:rPr>
        <w:t>في مستوى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سلبي يقدر </w:t>
      </w:r>
      <w:r w:rsidR="00C062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CB504D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</w:t>
      </w:r>
      <w:r w:rsidR="001001D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تحسن 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1001D9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>ط  مقارنة مع الفصل السابق و</w:t>
      </w:r>
      <w:r w:rsidR="001001D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 ب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DC038B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>ط مقارنة مع نفس الفصل من 2012.</w:t>
      </w:r>
      <w:r w:rsidR="001C4A0B" w:rsidRPr="0045126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FB5154" w:rsidRDefault="00FB5154" w:rsidP="00441C14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أثمنة المواد الغذائية</w:t>
      </w:r>
      <w:r w:rsidR="003A5AEE" w:rsidRPr="002610C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</w:t>
      </w:r>
      <w:r w:rsidR="002610C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363FE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 بالارتفاع</w:t>
      </w:r>
    </w:p>
    <w:p w:rsidR="00D80851" w:rsidRPr="00D80851" w:rsidRDefault="00D80851" w:rsidP="009C15BC">
      <w:pPr>
        <w:pStyle w:val="Paragraphedeliste"/>
        <w:widowControl/>
        <w:autoSpaceDE/>
        <w:autoSpaceDN/>
        <w:bidi/>
        <w:adjustRightInd/>
        <w:ind w:left="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9E0E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الرابع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2013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03926">
        <w:rPr>
          <w:rFonts w:ascii="Times New Roman" w:hAnsi="Times New Roman" w:cs="Simplified Arabic" w:hint="cs"/>
          <w:sz w:val="28"/>
          <w:szCs w:val="28"/>
          <w:rtl/>
          <w:lang w:bidi="ar-MA"/>
        </w:rPr>
        <w:t>تمثل ل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915CF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C35C32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A2D3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أن أثمنة المواد الغذائية  عرفت ارتفاعا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السابق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 9</w:t>
      </w:r>
      <w:r w:rsidR="00C35C32">
        <w:rPr>
          <w:rFonts w:ascii="Times New Roman" w:hAnsi="Times New Roman" w:cs="Simplified Arabic" w:hint="cs"/>
          <w:sz w:val="28"/>
          <w:szCs w:val="28"/>
          <w:rtl/>
          <w:lang w:bidi="ar-MA"/>
        </w:rPr>
        <w:t>1,4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فصل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من قبل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C35C32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35C32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سنة </w:t>
      </w:r>
      <w:r w:rsidR="00472F8A">
        <w:rPr>
          <w:rFonts w:ascii="Times New Roman" w:hAnsi="Times New Roman" w:cs="Simplified Arabic" w:hint="cs"/>
          <w:sz w:val="28"/>
          <w:szCs w:val="28"/>
          <w:rtl/>
          <w:lang w:bidi="ar-MA"/>
        </w:rPr>
        <w:t>من قبل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C35C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5E30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 رصيد ه</w:t>
      </w:r>
      <w:r w:rsidR="00346369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المؤشر </w:t>
      </w:r>
      <w:r w:rsidR="00C35C32">
        <w:rPr>
          <w:rFonts w:ascii="Times New Roman" w:hAnsi="Times New Roman" w:cs="Simplified Arabic" w:hint="cs"/>
          <w:sz w:val="28"/>
          <w:szCs w:val="28"/>
          <w:rtl/>
          <w:lang w:bidi="ar-MA"/>
        </w:rPr>
        <w:t>انخفاضا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قدر ب </w:t>
      </w:r>
      <w:r w:rsidR="00C35C32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نفس الفصل من 2012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ب </w:t>
      </w:r>
      <w:r w:rsidR="00C35C32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35C32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C35C32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294A82" w:rsidRP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</w:t>
      </w:r>
      <w:r w:rsidR="00294A82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FB5154" w:rsidRDefault="000A1AFF" w:rsidP="00A2494B">
      <w:pPr>
        <w:pStyle w:val="Paragraphedeliste"/>
        <w:widowControl/>
        <w:autoSpaceDE/>
        <w:autoSpaceDN/>
        <w:bidi/>
        <w:adjustRightInd/>
        <w:spacing w:after="240"/>
        <w:ind w:left="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بخصوص التصورات المستقبلية لتطور أثمنة المواد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ف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يتوقع أكثر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ثلاث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أسر من كل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أربعة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</w:t>
      </w:r>
      <w:r w:rsidR="00AF69B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122BBD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ارتفاعها في المستقبل مقابل </w:t>
      </w:r>
      <w:r w:rsidR="00AF69B7">
        <w:rPr>
          <w:rFonts w:ascii="Times New Roman" w:hAnsi="Times New Roman" w:cs="Simplified Arabic" w:hint="cs"/>
          <w:sz w:val="28"/>
          <w:szCs w:val="28"/>
          <w:rtl/>
          <w:lang w:bidi="ar-MA"/>
        </w:rPr>
        <w:t>76</w:t>
      </w:r>
      <w:r w:rsidR="00AF69B7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AF69B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9E0E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2013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AF69B7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AF69B7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9E0E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الرابع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2012. أما 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الرصيد الخاص بالتطور 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مستقبلي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له</w:t>
      </w:r>
      <w:r w:rsidR="00A2494B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ه ا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لأثمنة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فقد ا</w:t>
      </w:r>
      <w:r w:rsidR="00591390">
        <w:rPr>
          <w:rFonts w:ascii="Times New Roman" w:hAnsi="Times New Roman" w:cs="Simplified Arabic" w:hint="cs"/>
          <w:sz w:val="28"/>
          <w:szCs w:val="28"/>
          <w:rtl/>
          <w:lang w:bidi="ar-MA"/>
        </w:rPr>
        <w:t>نخفض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591390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</w:t>
      </w:r>
      <w:r w:rsidR="00AF69B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نفس الفترة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2012 </w:t>
      </w:r>
      <w:r w:rsidR="007B7C63">
        <w:rPr>
          <w:rFonts w:ascii="Times New Roman" w:hAnsi="Times New Roman" w:cs="Simplified Arabic" w:hint="cs"/>
          <w:sz w:val="28"/>
          <w:szCs w:val="28"/>
          <w:rtl/>
          <w:lang w:bidi="ar-MA"/>
        </w:rPr>
        <w:t>مع ا</w:t>
      </w:r>
      <w:r w:rsidR="00AF69B7">
        <w:rPr>
          <w:rFonts w:ascii="Times New Roman" w:hAnsi="Times New Roman" w:cs="Simplified Arabic" w:hint="cs"/>
          <w:sz w:val="28"/>
          <w:szCs w:val="28"/>
          <w:rtl/>
          <w:lang w:bidi="ar-MA"/>
        </w:rPr>
        <w:t>حتف</w:t>
      </w:r>
      <w:r w:rsidR="007B7C63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AF69B7">
        <w:rPr>
          <w:rFonts w:ascii="Times New Roman" w:hAnsi="Times New Roman" w:cs="Simplified Arabic" w:hint="cs"/>
          <w:sz w:val="28"/>
          <w:szCs w:val="28"/>
          <w:rtl/>
          <w:lang w:bidi="ar-MA"/>
        </w:rPr>
        <w:t>ظ</w:t>
      </w:r>
      <w:r w:rsidR="007B7C63">
        <w:rPr>
          <w:rFonts w:ascii="Times New Roman" w:hAnsi="Times New Roman" w:cs="Simplified Arabic" w:hint="cs"/>
          <w:sz w:val="28"/>
          <w:szCs w:val="28"/>
          <w:rtl/>
          <w:lang w:bidi="ar-MA"/>
        </w:rPr>
        <w:t>ه</w:t>
      </w:r>
      <w:r w:rsidR="00AF69B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بمستواه المسجل خلال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C6FD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591390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</w:t>
      </w:r>
      <w:r w:rsidR="00305668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FB5154" w:rsidRDefault="00FB5154">
      <w:pPr>
        <w:rPr>
          <w:noProof/>
        </w:rPr>
      </w:pPr>
      <w:r w:rsidRPr="00FB5154">
        <w:rPr>
          <w:noProof/>
        </w:rPr>
        <w:t xml:space="preserve"> </w:t>
      </w:r>
      <w:r w:rsidR="005F5895" w:rsidRPr="005F5895">
        <w:rPr>
          <w:noProof/>
        </w:rPr>
        <w:drawing>
          <wp:inline distT="0" distB="0" distL="0" distR="0">
            <wp:extent cx="2677440" cy="3226003"/>
            <wp:effectExtent l="19050" t="0" r="27660" b="0"/>
            <wp:docPr id="7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F5895" w:rsidRPr="005F5895">
        <w:rPr>
          <w:noProof/>
        </w:rPr>
        <w:drawing>
          <wp:inline distT="0" distB="0" distL="0" distR="0">
            <wp:extent cx="2543810" cy="3228975"/>
            <wp:effectExtent l="19050" t="0" r="27940" b="0"/>
            <wp:docPr id="13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51E40" w:rsidRDefault="00B51E40">
      <w:pPr>
        <w:rPr>
          <w:noProof/>
        </w:rPr>
      </w:pPr>
    </w:p>
    <w:p w:rsidR="00B51E40" w:rsidRDefault="00B51E40">
      <w:pPr>
        <w:rPr>
          <w:noProof/>
        </w:rPr>
      </w:pPr>
    </w:p>
    <w:p w:rsidR="00365421" w:rsidRDefault="00365421">
      <w:pPr>
        <w:rPr>
          <w:noProof/>
          <w:rtl/>
        </w:rPr>
      </w:pPr>
    </w:p>
    <w:p w:rsidR="003E4E24" w:rsidRPr="00A343E7" w:rsidRDefault="003E4E24" w:rsidP="00ED4310">
      <w:pPr>
        <w:widowControl/>
        <w:autoSpaceDE/>
        <w:autoSpaceDN/>
        <w:bidi/>
        <w:adjustRightInd/>
        <w:spacing w:before="240" w:after="20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3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. تطور مؤشرات </w:t>
      </w:r>
      <w:r w:rsidR="00ED431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سنوية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آراء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الأسر حول الظرفية</w:t>
      </w:r>
    </w:p>
    <w:p w:rsidR="003E4E24" w:rsidRPr="00DC7161" w:rsidRDefault="003E4E24" w:rsidP="00EB71AB">
      <w:pPr>
        <w:widowControl/>
        <w:autoSpaceDE/>
        <w:autoSpaceDN/>
        <w:bidi/>
        <w:adjustRightInd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بالاضافة للمؤشرات الفصلية، تقوم المندوبية السامية للتخطيط في نهاية كل سنة بحساب أرصدة تصورات الأسر لمكونات أخرى متعلقة بمحيطها والتي لا تعرف تغييرات معبرة من فصل إلى آخر.</w:t>
      </w:r>
    </w:p>
    <w:p w:rsidR="003E4E24" w:rsidRDefault="003E4E24" w:rsidP="00DD171D">
      <w:pPr>
        <w:pStyle w:val="Paragraphedeliste"/>
        <w:widowControl/>
        <w:autoSpaceDE/>
        <w:autoSpaceDN/>
        <w:bidi/>
        <w:adjustRightInd/>
        <w:ind w:left="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ويتعلق الأمر ب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التطور الحاصل ما بين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3A008A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3A008A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لآراء الأسر حول </w:t>
      </w:r>
      <w:r w:rsidRPr="00007D34">
        <w:rPr>
          <w:rFonts w:ascii="Times New Roman" w:hAnsi="Times New Roman" w:cs="Simplified Arabic"/>
          <w:sz w:val="28"/>
          <w:szCs w:val="28"/>
          <w:rtl/>
          <w:lang w:bidi="ar-MA"/>
        </w:rPr>
        <w:t>وضعية حقوق الإنسان والبيئة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وكذا جودة بعض الخدمات العمومية.</w:t>
      </w:r>
    </w:p>
    <w:p w:rsidR="00EC7802" w:rsidRDefault="00EC7802" w:rsidP="00EC7802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EC7802" w:rsidRPr="00EC7802" w:rsidRDefault="00EC7802" w:rsidP="00EC7802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365421" w:rsidRPr="00BD383B" w:rsidRDefault="00365421" w:rsidP="00B80E5A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ind w:left="141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BD383B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وضعية حقوق الإنسان</w:t>
      </w:r>
      <w:r w:rsidRPr="00BD383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: </w:t>
      </w:r>
      <w:r w:rsidR="00B80E5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استمرارية إيجابية الآراء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365421" w:rsidRDefault="00365421" w:rsidP="00EC7802">
      <w:pPr>
        <w:bidi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سنة 201</w:t>
      </w:r>
      <w:r w:rsidR="003A008A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ترى </w:t>
      </w:r>
      <w:r w:rsidR="003A008A">
        <w:rPr>
          <w:rFonts w:ascii="Times New Roman" w:hAnsi="Times New Roman" w:cs="Simplified Arabic" w:hint="cs"/>
          <w:sz w:val="28"/>
          <w:szCs w:val="28"/>
          <w:rtl/>
          <w:lang w:bidi="ar-MA"/>
        </w:rPr>
        <w:t>60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3A008A">
        <w:rPr>
          <w:rFonts w:ascii="Times New Roman" w:hAnsi="Times New Roman" w:cs="Simplified Arabic" w:hint="cs"/>
          <w:sz w:val="28"/>
          <w:szCs w:val="28"/>
          <w:rtl/>
          <w:lang w:bidi="ar-MA"/>
        </w:rPr>
        <w:t>أن وضعية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A4C39">
        <w:rPr>
          <w:rFonts w:ascii="Times New Roman" w:hAnsi="Times New Roman" w:cs="Simplified Arabic"/>
          <w:sz w:val="28"/>
          <w:szCs w:val="28"/>
          <w:rtl/>
          <w:lang w:bidi="ar-MA"/>
        </w:rPr>
        <w:t>حقوق الإنسان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بالمغرب قد تحسنت و 3</w:t>
      </w:r>
      <w:r w:rsidR="003A008A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A008A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أنها لم تعرف أي تغيير فيما تظن </w:t>
      </w:r>
      <w:r w:rsidR="003A008A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A008A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 قد تراجعت. و قد عرف رصيد هذا المؤشر</w:t>
      </w:r>
      <w:r w:rsidR="003A008A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A008A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الأكثر ارتفاعا من بين كل مؤشرات الظرفية</w:t>
      </w:r>
      <w:r w:rsidR="00DB59C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(50</w:t>
      </w:r>
      <w:r w:rsidR="00DB59CC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B59CC">
        <w:rPr>
          <w:rFonts w:ascii="Times New Roman" w:hAnsi="Times New Roman" w:cs="Simplified Arabic" w:hint="cs"/>
          <w:sz w:val="28"/>
          <w:szCs w:val="28"/>
          <w:rtl/>
          <w:lang w:bidi="ar-MA"/>
        </w:rPr>
        <w:t>2 نقطة)</w:t>
      </w:r>
      <w:r w:rsidR="003A00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DB10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قدر ب 0,</w:t>
      </w:r>
      <w:r w:rsidR="00DB10C4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مقارنة مع مستواه في 201</w:t>
      </w:r>
      <w:r w:rsidR="00DB10C4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365421" w:rsidRPr="00043971" w:rsidRDefault="00365421" w:rsidP="00401AE2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ind w:left="14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ج</w:t>
      </w:r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ود</w:t>
      </w:r>
      <w:r w:rsidRPr="001D1850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الخدمات الإدارية</w:t>
      </w:r>
      <w:r w:rsidRPr="00751E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DA522C" w:rsidRPr="00751E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إحساس ب</w:t>
      </w:r>
      <w:r w:rsidRPr="00751E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تحسن</w:t>
      </w:r>
      <w:r w:rsidR="00DA522C" w:rsidRPr="00751E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م</w:t>
      </w:r>
      <w:r w:rsidR="00401AE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ستواها</w:t>
      </w:r>
    </w:p>
    <w:p w:rsidR="00365421" w:rsidRDefault="00365421" w:rsidP="00EB71AB">
      <w:pPr>
        <w:pStyle w:val="Paragraphedeliste"/>
        <w:widowControl/>
        <w:autoSpaceDE/>
        <w:autoSpaceDN/>
        <w:bidi/>
        <w:adjustRightInd/>
        <w:spacing w:after="200"/>
        <w:ind w:left="14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 سنة 201</w:t>
      </w:r>
      <w:r w:rsidR="00E976D3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ت</w:t>
      </w:r>
      <w:r w:rsidR="00E976D3">
        <w:rPr>
          <w:rFonts w:ascii="Times New Roman" w:hAnsi="Times New Roman" w:cs="Simplified Arabic" w:hint="cs"/>
          <w:sz w:val="28"/>
          <w:szCs w:val="28"/>
          <w:rtl/>
          <w:lang w:bidi="ar-MA"/>
        </w:rPr>
        <w:t>زايد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عدد الأسر التي ترى </w:t>
      </w:r>
      <w:r w:rsidR="00E976D3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جودة </w:t>
      </w:r>
      <w:r w:rsidRPr="007A4C39">
        <w:rPr>
          <w:rFonts w:ascii="Times New Roman" w:hAnsi="Times New Roman" w:cs="Simplified Arabic" w:hint="cs"/>
          <w:sz w:val="28"/>
          <w:szCs w:val="28"/>
          <w:rtl/>
          <w:lang w:bidi="ar-MA"/>
        </w:rPr>
        <w:t>الخدمات الإدارية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عن ما كان عليه في 201</w:t>
      </w:r>
      <w:r w:rsidR="00E976D3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</w:t>
      </w:r>
      <w:r w:rsidR="00E976D3">
        <w:rPr>
          <w:rFonts w:ascii="Times New Roman" w:hAnsi="Times New Roman" w:cs="Simplified Arabic" w:hint="cs"/>
          <w:sz w:val="28"/>
          <w:szCs w:val="28"/>
          <w:rtl/>
          <w:lang w:bidi="ar-MA"/>
        </w:rPr>
        <w:t>55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E976D3">
        <w:rPr>
          <w:rFonts w:ascii="Times New Roman" w:hAnsi="Times New Roman" w:cs="Simplified Arabic" w:hint="cs"/>
          <w:sz w:val="28"/>
          <w:szCs w:val="28"/>
          <w:rtl/>
          <w:lang w:bidi="ar-MA"/>
        </w:rPr>
        <w:t>51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).   فخلال هذه الفترة، عرف رصيد هذا المؤشر تحسنا قدر ب </w:t>
      </w:r>
      <w:r w:rsidR="00E976D3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E976D3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نقاط.</w:t>
      </w:r>
    </w:p>
    <w:p w:rsidR="00043971" w:rsidRPr="00043971" w:rsidRDefault="00A11AA2" w:rsidP="00B80E5A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ind w:left="14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04397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المحافظة على </w:t>
      </w:r>
      <w:r w:rsidR="00365421" w:rsidRPr="00043971"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  <w:t>البيئة</w:t>
      </w:r>
      <w:r w:rsidR="00365421" w:rsidRPr="0004397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8F25F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</w:t>
      </w:r>
      <w:r w:rsidR="00B80E5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شعو</w:t>
      </w:r>
      <w:r w:rsidR="00365421" w:rsidRPr="0004397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ر </w:t>
      </w:r>
      <w:r w:rsidR="00B80E5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</w:t>
      </w:r>
      <w:r w:rsidR="001451F9" w:rsidRPr="0004397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تدهور طفي</w:t>
      </w:r>
      <w:r w:rsidR="001451F9" w:rsidRPr="00043971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ف</w:t>
      </w:r>
    </w:p>
    <w:p w:rsidR="00365421" w:rsidRDefault="00365421" w:rsidP="00EB71AB">
      <w:pPr>
        <w:pStyle w:val="Paragraphedeliste"/>
        <w:widowControl/>
        <w:autoSpaceDE/>
        <w:autoSpaceDN/>
        <w:bidi/>
        <w:adjustRightInd/>
        <w:spacing w:after="200"/>
        <w:ind w:left="14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04397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تدهورت </w:t>
      </w:r>
      <w:r w:rsidR="001451F9" w:rsidRPr="0004397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شيئا ما </w:t>
      </w:r>
      <w:r w:rsidRPr="00043971">
        <w:rPr>
          <w:rFonts w:ascii="Times New Roman" w:hAnsi="Times New Roman" w:cs="Simplified Arabic" w:hint="cs"/>
          <w:sz w:val="28"/>
          <w:szCs w:val="28"/>
          <w:rtl/>
          <w:lang w:bidi="ar-MA"/>
        </w:rPr>
        <w:t>آراء الأسر بخصوص وضعية حماية</w:t>
      </w:r>
      <w:r w:rsidRPr="00043971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البيئة</w:t>
      </w:r>
      <w:r w:rsidRPr="0004397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945689" w:rsidRPr="00043971">
        <w:rPr>
          <w:rFonts w:ascii="Times New Roman" w:hAnsi="Times New Roman" w:cs="Simplified Arabic" w:hint="cs"/>
          <w:sz w:val="28"/>
          <w:szCs w:val="28"/>
          <w:rtl/>
          <w:lang w:bidi="ar-MA"/>
        </w:rPr>
        <w:t>فما بين سنتي 2012 و 2013</w:t>
      </w:r>
      <w:r w:rsidRPr="00043971">
        <w:rPr>
          <w:rFonts w:ascii="Times New Roman" w:hAnsi="Times New Roman" w:cs="Simplified Arabic" w:hint="cs"/>
          <w:sz w:val="28"/>
          <w:szCs w:val="28"/>
          <w:rtl/>
          <w:lang w:bidi="ar-MA"/>
        </w:rPr>
        <w:t>، انخفض رصيد هذا المؤشر</w:t>
      </w:r>
      <w:r w:rsidR="00945689" w:rsidRPr="0004397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Pr="0004397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45689" w:rsidRPr="00043971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Pr="0004397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45689" w:rsidRPr="00043971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04397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نقطة. </w:t>
      </w:r>
    </w:p>
    <w:p w:rsidR="00365421" w:rsidRDefault="00365421" w:rsidP="007F75D2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ind w:left="141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3839D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خدمات التعليم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 </w:t>
      </w:r>
      <w:r w:rsidR="005B5D9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7F75D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شعور بتحسن جودتها</w:t>
      </w:r>
    </w:p>
    <w:p w:rsidR="00365421" w:rsidRDefault="00365421" w:rsidP="005C24BD">
      <w:pPr>
        <w:pStyle w:val="Paragraphedeliste"/>
        <w:widowControl/>
        <w:autoSpaceDE/>
        <w:autoSpaceDN/>
        <w:bidi/>
        <w:adjustRightInd/>
        <w:spacing w:after="200"/>
        <w:ind w:left="14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سنة 201</w:t>
      </w:r>
      <w:r w:rsidR="00F916C8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5C7953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ظن </w:t>
      </w:r>
      <w:r w:rsidR="00F916C8">
        <w:rPr>
          <w:rFonts w:ascii="Times New Roman" w:hAnsi="Times New Roman" w:cs="Simplified Arabic" w:hint="cs"/>
          <w:sz w:val="28"/>
          <w:szCs w:val="28"/>
          <w:rtl/>
          <w:lang w:bidi="ar-MA"/>
        </w:rPr>
        <w:t>37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أن</w:t>
      </w:r>
      <w:r w:rsidRPr="006441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جود</w:t>
      </w:r>
      <w:r w:rsidRPr="00644182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Pr="006441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خدمات التعليم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قد تحسنت و 3</w:t>
      </w:r>
      <w:r w:rsidR="00F916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5 </w:t>
      </w:r>
      <w:r w:rsidR="005C7953"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5C795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لم تعرف أي تغيير فيما </w:t>
      </w:r>
      <w:r w:rsidR="005C7953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916C8">
        <w:rPr>
          <w:rFonts w:ascii="Times New Roman" w:hAnsi="Times New Roman" w:cs="Simplified Arabic" w:hint="cs"/>
          <w:sz w:val="28"/>
          <w:szCs w:val="28"/>
          <w:rtl/>
          <w:lang w:bidi="ar-MA"/>
        </w:rPr>
        <w:t>28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 قد تدهورت. و هكذا </w:t>
      </w:r>
      <w:r w:rsidR="00F916C8">
        <w:rPr>
          <w:rFonts w:ascii="Times New Roman" w:hAnsi="Times New Roman" w:cs="Simplified Arabic" w:hint="cs"/>
          <w:sz w:val="28"/>
          <w:szCs w:val="28"/>
          <w:rtl/>
          <w:lang w:bidi="ar-MA"/>
        </w:rPr>
        <w:t>ارتفع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 ب </w:t>
      </w:r>
      <w:r w:rsidR="00F916C8">
        <w:rPr>
          <w:rFonts w:ascii="Times New Roman" w:hAnsi="Times New Roman" w:cs="Simplified Arabic" w:hint="cs"/>
          <w:sz w:val="28"/>
          <w:szCs w:val="28"/>
          <w:rtl/>
          <w:lang w:bidi="ar-MA"/>
        </w:rPr>
        <w:t>15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F916C8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916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 w:rsidR="005C795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</w:t>
      </w:r>
      <w:r w:rsidR="00F916C8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 2012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365421" w:rsidRPr="003839D8" w:rsidRDefault="00365421" w:rsidP="006A600B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ind w:left="141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3839D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خدمات الصحة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6A600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شعور </w:t>
      </w:r>
      <w:r w:rsidR="0093066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أقل سلبية</w:t>
      </w:r>
      <w:r w:rsidR="006A600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لجودة أدائها</w:t>
      </w:r>
    </w:p>
    <w:p w:rsidR="00C77851" w:rsidRDefault="00365421" w:rsidP="00EB71AB">
      <w:pPr>
        <w:pStyle w:val="Paragraphedeliste"/>
        <w:widowControl/>
        <w:autoSpaceDE/>
        <w:autoSpaceDN/>
        <w:bidi/>
        <w:adjustRightInd/>
        <w:spacing w:after="200"/>
        <w:ind w:left="14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سنة 201</w:t>
      </w:r>
      <w:r w:rsidR="00B55BE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3، اعتبرت 23,6 </w:t>
      </w:r>
      <w:r w:rsidR="00B55BE1"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55BE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أن </w:t>
      </w:r>
      <w:r w:rsidR="00B55BE1" w:rsidRPr="00644182">
        <w:rPr>
          <w:rFonts w:ascii="Times New Roman" w:hAnsi="Times New Roman" w:cs="Simplified Arabic" w:hint="cs"/>
          <w:sz w:val="28"/>
          <w:szCs w:val="28"/>
          <w:rtl/>
          <w:lang w:bidi="ar-MA"/>
        </w:rPr>
        <w:t>جود</w:t>
      </w:r>
      <w:r w:rsidR="00B55BE1" w:rsidRPr="00644182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="00B55BE1" w:rsidRPr="006441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55BE1" w:rsidRPr="0015203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الخدمات الصحية</w:t>
      </w:r>
      <w:r w:rsidR="00B55BE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قد تحسنت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(مقابل 2</w:t>
      </w:r>
      <w:r w:rsidR="00B55BE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3 </w:t>
      </w:r>
      <w:r w:rsidR="00B55BE1"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55BE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2012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) و</w:t>
      </w:r>
      <w:r w:rsidR="0033012D">
        <w:rPr>
          <w:rFonts w:ascii="Times New Roman" w:hAnsi="Times New Roman" w:cs="Simplified Arabic" w:hint="cs"/>
          <w:sz w:val="28"/>
          <w:szCs w:val="28"/>
          <w:rtl/>
          <w:lang w:bidi="ar-MA"/>
        </w:rPr>
        <w:t>34,2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تعتبر  أنها قد استقرت </w:t>
      </w:r>
      <w:r w:rsidR="0033012D">
        <w:rPr>
          <w:rFonts w:ascii="Times New Roman" w:hAnsi="Times New Roman" w:cs="Simplified Arabic" w:hint="cs"/>
          <w:sz w:val="28"/>
          <w:szCs w:val="28"/>
          <w:rtl/>
          <w:lang w:bidi="ar-MA"/>
        </w:rPr>
        <w:t>(مقابل 28</w:t>
      </w:r>
      <w:r w:rsidR="0033012D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3012D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33012D"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33012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تظن 4</w:t>
      </w:r>
      <w:r w:rsidR="0033012D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3012D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 قد تدهورت</w:t>
      </w:r>
      <w:r w:rsidR="0033012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(مقابل48</w:t>
      </w:r>
      <w:r w:rsidR="0033012D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3012D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33012D"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33012D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88426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فبالرغم من مستواه السلبي، </w:t>
      </w:r>
      <w:r w:rsidR="00DB1264">
        <w:rPr>
          <w:rFonts w:ascii="Times New Roman" w:hAnsi="Times New Roman" w:cs="Simplified Arabic" w:hint="cs"/>
          <w:sz w:val="28"/>
          <w:szCs w:val="28"/>
          <w:rtl/>
          <w:lang w:bidi="ar-MA"/>
        </w:rPr>
        <w:t>ف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قد سجل رصيد</w:t>
      </w:r>
      <w:r w:rsidR="00DB126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هذا المؤشر </w:t>
      </w:r>
      <w:r w:rsidR="00DB126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2013 تحسنا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قدر ب </w:t>
      </w:r>
      <w:r w:rsidR="00DB1264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B1264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نقاط</w:t>
      </w:r>
      <w:r w:rsidR="00DB126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سنة 2012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B55BE1" w:rsidRPr="00B55BE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tbl>
      <w:tblPr>
        <w:tblW w:w="94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64"/>
        <w:gridCol w:w="755"/>
        <w:gridCol w:w="945"/>
        <w:gridCol w:w="747"/>
        <w:gridCol w:w="864"/>
        <w:gridCol w:w="755"/>
        <w:gridCol w:w="945"/>
        <w:gridCol w:w="747"/>
        <w:gridCol w:w="2831"/>
      </w:tblGrid>
      <w:tr w:rsidR="00365421" w:rsidRPr="009E43E8" w:rsidTr="00DF70DA">
        <w:trPr>
          <w:trHeight w:val="421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21" w:rsidRPr="009E43E8" w:rsidRDefault="00C77851" w:rsidP="00DF70DA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</w:rPr>
            </w:pPr>
            <w:r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21" w:rsidRPr="009E43E8" w:rsidRDefault="00C77851" w:rsidP="00C77851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</w:rPr>
            </w:pPr>
            <w:r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21" w:rsidRPr="009E43E8" w:rsidRDefault="00365421" w:rsidP="00DF70DA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43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Pr="009E43E8">
              <w:rPr>
                <w:rFonts w:ascii="Times New Roman" w:hAnsi="Times New Roman" w:cs="Simplified Arabic" w:hint="cs"/>
                <w:b/>
                <w:bCs/>
                <w:color w:val="000000"/>
                <w:sz w:val="28"/>
                <w:szCs w:val="28"/>
                <w:rtl/>
              </w:rPr>
              <w:t>المؤشر</w:t>
            </w:r>
          </w:p>
        </w:tc>
      </w:tr>
      <w:tr w:rsidR="00365421" w:rsidRPr="009E43E8" w:rsidTr="00DF70DA">
        <w:trPr>
          <w:trHeight w:val="421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21" w:rsidRPr="009E43E8" w:rsidRDefault="00365421" w:rsidP="00DF70DA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</w:rPr>
            </w:pPr>
            <w:r w:rsidRPr="009E43E8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الرصيد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21" w:rsidRPr="009E43E8" w:rsidRDefault="00365421" w:rsidP="00DF70DA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</w:rPr>
            </w:pPr>
            <w:r w:rsidRPr="009E43E8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تدهور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21" w:rsidRPr="009E43E8" w:rsidRDefault="00365421" w:rsidP="00DF70DA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</w:rPr>
            </w:pPr>
            <w:r w:rsidRPr="009E43E8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استقرار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21" w:rsidRPr="009E43E8" w:rsidRDefault="00365421" w:rsidP="00DF70DA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</w:rPr>
            </w:pPr>
            <w:r w:rsidRPr="009E43E8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تحسن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21" w:rsidRPr="009E43E8" w:rsidRDefault="00365421" w:rsidP="00DF70DA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</w:rPr>
            </w:pPr>
            <w:r w:rsidRPr="009E43E8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الرصيد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21" w:rsidRPr="009E43E8" w:rsidRDefault="00365421" w:rsidP="00DF70DA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</w:rPr>
            </w:pPr>
            <w:r w:rsidRPr="009E43E8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تدهور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21" w:rsidRPr="009E43E8" w:rsidRDefault="00365421" w:rsidP="00DF70DA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</w:rPr>
            </w:pPr>
            <w:r w:rsidRPr="009E43E8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استقرار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21" w:rsidRPr="009E43E8" w:rsidRDefault="00365421" w:rsidP="00DF70DA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</w:rPr>
            </w:pPr>
            <w:r w:rsidRPr="009E43E8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تحسن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21" w:rsidRPr="009E43E8" w:rsidRDefault="00365421" w:rsidP="00DF70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7851" w:rsidRPr="009E43E8" w:rsidTr="00DF70DA">
        <w:trPr>
          <w:trHeight w:val="421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A87B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E43E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50,</w:t>
            </w:r>
            <w:r w:rsidR="00A87B9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A87B93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A87B93" w:rsidP="00A87B93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A87B93" w:rsidP="007C676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60,</w:t>
            </w:r>
            <w:r w:rsidR="007C676A">
              <w:rPr>
                <w:rFonts w:ascii="Calibri" w:hAnsi="Calibri" w:cs="Times New Roma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E43E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58,2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</w:rPr>
            </w:pPr>
            <w:r w:rsidRPr="009E43E8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تطور وضعية حقوق الإنسان</w:t>
            </w:r>
          </w:p>
        </w:tc>
      </w:tr>
      <w:tr w:rsidR="00C77851" w:rsidRPr="009E43E8" w:rsidTr="00DF70DA">
        <w:trPr>
          <w:trHeight w:val="421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A87B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E43E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A87B9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Pr="009E43E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A87B9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A87B93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A87B93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28,</w:t>
            </w:r>
            <w:r w:rsidR="00A87B93">
              <w:rPr>
                <w:rFonts w:ascii="Calibri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A87B93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55,7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E43E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28,3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</w:rPr>
            </w:pPr>
            <w:r w:rsidRPr="009E43E8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تطور جودة الخدمات الإدارية</w:t>
            </w:r>
          </w:p>
        </w:tc>
      </w:tr>
      <w:tr w:rsidR="00C77851" w:rsidRPr="009E43E8" w:rsidTr="00DF70DA">
        <w:trPr>
          <w:trHeight w:val="421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A87B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E43E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A87B9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9E43E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A87B9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A87B93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A87B93" w:rsidP="00A87B93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40</w:t>
            </w:r>
            <w:r w:rsidR="00C77851"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A87B93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43,3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A87B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E43E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26,</w:t>
            </w:r>
            <w:r w:rsidR="00A87B9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36,8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44,7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</w:rPr>
            </w:pPr>
            <w:r w:rsidRPr="009E43E8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تطور وضعية المحافظة على البيئة</w:t>
            </w:r>
          </w:p>
        </w:tc>
      </w:tr>
      <w:tr w:rsidR="00C77851" w:rsidRPr="009E43E8" w:rsidTr="00DF70DA">
        <w:trPr>
          <w:trHeight w:val="421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A87B93" w:rsidP="00DF70DA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A87B93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A87B93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3</w:t>
            </w:r>
            <w:r w:rsidR="00A87B93">
              <w:rPr>
                <w:rFonts w:ascii="Calibri" w:hAnsi="Calibri" w:cs="Times New Roman"/>
                <w:color w:val="000000"/>
                <w:sz w:val="22"/>
                <w:szCs w:val="22"/>
              </w:rPr>
              <w:t>5</w:t>
            </w: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,</w:t>
            </w:r>
            <w:r w:rsidR="00A87B93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A87B93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37 ,0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A87B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E43E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-</w:t>
            </w:r>
            <w:r w:rsidR="00A87B9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34,8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</w:rPr>
            </w:pPr>
            <w:r w:rsidRPr="009E43E8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تطور جودة خدمات التعليم</w:t>
            </w:r>
          </w:p>
        </w:tc>
      </w:tr>
      <w:tr w:rsidR="00C77851" w:rsidRPr="009E43E8" w:rsidTr="00DF70DA">
        <w:trPr>
          <w:trHeight w:val="421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A87B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E43E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-</w:t>
            </w:r>
            <w:r w:rsidR="00A87B9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18</w:t>
            </w:r>
            <w:r w:rsidRPr="009E43E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A87B9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A87B93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A87B93" w:rsidP="00A87B93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34</w:t>
            </w:r>
            <w:r w:rsidR="00C77851"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A87B93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23,</w:t>
            </w:r>
            <w:r w:rsidR="00A87B93">
              <w:rPr>
                <w:rFonts w:ascii="Calibri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E43E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-25,7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48,7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28,3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</w:rPr>
            </w:pPr>
            <w:r w:rsidRPr="009E43E8">
              <w:rPr>
                <w:rFonts w:ascii="Calibri" w:hAnsi="Calibri" w:cs="Times New Roman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51" w:rsidRPr="009E43E8" w:rsidRDefault="00C77851" w:rsidP="00DF70DA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</w:rPr>
            </w:pPr>
            <w:r w:rsidRPr="009E43E8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تطور جودة الخدمات الصحية</w:t>
            </w:r>
          </w:p>
        </w:tc>
      </w:tr>
    </w:tbl>
    <w:p w:rsidR="00365421" w:rsidRDefault="00365421" w:rsidP="00365421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365421" w:rsidRDefault="00365421">
      <w:pPr>
        <w:rPr>
          <w:noProof/>
        </w:rPr>
      </w:pPr>
    </w:p>
    <w:p w:rsidR="00B51E40" w:rsidRDefault="00B51E40" w:rsidP="00B51E40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B51E40" w:rsidRDefault="00B51E40" w:rsidP="00B51E40">
      <w:pPr>
        <w:widowControl/>
        <w:autoSpaceDE/>
        <w:autoSpaceDN/>
        <w:adjustRightInd/>
        <w:rPr>
          <w:rFonts w:ascii="Times New Roman" w:hAnsi="Times New Roman" w:cs="Simplified Arabic"/>
          <w:sz w:val="28"/>
          <w:szCs w:val="28"/>
          <w:lang w:bidi="ar-MA"/>
        </w:rPr>
        <w:sectPr w:rsidR="00B51E40" w:rsidSect="00EC7802">
          <w:footerReference w:type="default" r:id="rId15"/>
          <w:pgSz w:w="11906" w:h="16838"/>
          <w:pgMar w:top="1247" w:right="1418" w:bottom="1191" w:left="1418" w:header="567" w:footer="567" w:gutter="0"/>
          <w:cols w:space="708"/>
          <w:docGrid w:linePitch="360"/>
        </w:sectPr>
      </w:pPr>
    </w:p>
    <w:p w:rsidR="00B51E40" w:rsidRDefault="00B51E40" w:rsidP="00B51E40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Pr="00DC2D0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 </w:t>
      </w:r>
    </w:p>
    <w:tbl>
      <w:tblPr>
        <w:tblW w:w="15922" w:type="dxa"/>
        <w:tblInd w:w="-484" w:type="dxa"/>
        <w:tblCellMar>
          <w:left w:w="70" w:type="dxa"/>
          <w:right w:w="70" w:type="dxa"/>
        </w:tblCellMar>
        <w:tblLook w:val="04A0"/>
      </w:tblPr>
      <w:tblGrid>
        <w:gridCol w:w="563"/>
        <w:gridCol w:w="566"/>
        <w:gridCol w:w="566"/>
        <w:gridCol w:w="568"/>
        <w:gridCol w:w="481"/>
        <w:gridCol w:w="564"/>
        <w:gridCol w:w="521"/>
        <w:gridCol w:w="521"/>
        <w:gridCol w:w="538"/>
        <w:gridCol w:w="538"/>
        <w:gridCol w:w="538"/>
        <w:gridCol w:w="540"/>
        <w:gridCol w:w="538"/>
        <w:gridCol w:w="538"/>
        <w:gridCol w:w="538"/>
        <w:gridCol w:w="540"/>
        <w:gridCol w:w="538"/>
        <w:gridCol w:w="538"/>
        <w:gridCol w:w="538"/>
        <w:gridCol w:w="540"/>
        <w:gridCol w:w="538"/>
        <w:gridCol w:w="538"/>
        <w:gridCol w:w="538"/>
        <w:gridCol w:w="540"/>
        <w:gridCol w:w="2949"/>
        <w:gridCol w:w="7"/>
      </w:tblGrid>
      <w:tr w:rsidR="009D049E" w:rsidRPr="00F22D86" w:rsidTr="00D55A0D">
        <w:trPr>
          <w:gridAfter w:val="1"/>
          <w:wAfter w:w="7" w:type="dxa"/>
          <w:trHeight w:val="232"/>
        </w:trPr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2012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2011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2010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2009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2008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المؤشر</w:t>
            </w:r>
          </w:p>
        </w:tc>
      </w:tr>
      <w:tr w:rsidR="00D55A0D" w:rsidRPr="00C9429C" w:rsidTr="00D55A0D">
        <w:trPr>
          <w:trHeight w:val="7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9D049E" w:rsidRPr="00F22D86" w:rsidRDefault="009D049E" w:rsidP="009D049E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ف </w:t>
            </w: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2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049E" w:rsidRPr="00C9429C" w:rsidTr="00D55A0D">
        <w:trPr>
          <w:trHeight w:val="7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22D8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74,2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2D8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75,4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2D8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2D8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75,8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77,6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مؤشر الثقة لدى الأسر المغربية</w:t>
            </w:r>
          </w:p>
        </w:tc>
      </w:tr>
      <w:tr w:rsidR="009D049E" w:rsidRPr="00C9429C" w:rsidTr="00D55A0D">
        <w:trPr>
          <w:trHeight w:val="4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-68,2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-69,8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-61,7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-56,7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-48,6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-44,1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-52,4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-52,3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-51,1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-51,6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-52,1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المستقبلي للبطالة</w:t>
            </w:r>
          </w:p>
        </w:tc>
      </w:tr>
      <w:tr w:rsidR="009D049E" w:rsidRPr="00C9429C" w:rsidTr="00D55A0D">
        <w:trPr>
          <w:trHeight w:val="5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-19,9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-21,2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-27,9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-21,8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-13,4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-10,4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لمستوى المعيشة بصفة عامة</w:t>
            </w:r>
          </w:p>
        </w:tc>
      </w:tr>
      <w:tr w:rsidR="009D049E" w:rsidRPr="00C9429C" w:rsidTr="00D55A0D">
        <w:trPr>
          <w:trHeight w:val="54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-7,9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-5,1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-3,2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-21,4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آفاق تطور مستوى المعيشة بصفة عامة</w:t>
            </w:r>
          </w:p>
        </w:tc>
      </w:tr>
      <w:tr w:rsidR="009D049E" w:rsidRPr="00C9429C" w:rsidTr="00D55A0D">
        <w:trPr>
          <w:trHeight w:val="56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-31,8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-28,3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-32,5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-38,5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-39,9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-44,3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-42,6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-43,4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-41,8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فرص اقتناء السلع المستديمة</w:t>
            </w:r>
          </w:p>
        </w:tc>
      </w:tr>
      <w:tr w:rsidR="009D049E" w:rsidRPr="00C9429C" w:rsidTr="00D55A0D">
        <w:trPr>
          <w:trHeight w:val="5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-30,8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-32,9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الوضعية المالية الحالية للأسرة</w:t>
            </w:r>
          </w:p>
        </w:tc>
      </w:tr>
      <w:tr w:rsidR="009D049E" w:rsidRPr="00C9429C" w:rsidTr="00D55A0D">
        <w:trPr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-21,9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-21,9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-19,6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-16,7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-16,6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-14,1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-10,5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-12,8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-13,4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-18,4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-11,8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للوضعية المالية للأسرة</w:t>
            </w:r>
          </w:p>
        </w:tc>
      </w:tr>
      <w:tr w:rsidR="009D049E" w:rsidRPr="00C9429C" w:rsidTr="00D55A0D">
        <w:trPr>
          <w:trHeight w:val="46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-1,7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2,8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4,5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7,7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المرتقب للوضعية المالية للأسرة</w:t>
            </w:r>
          </w:p>
        </w:tc>
      </w:tr>
      <w:tr w:rsidR="009D049E" w:rsidRPr="00F22D86" w:rsidTr="00D55A0D">
        <w:trPr>
          <w:gridAfter w:val="1"/>
          <w:wAfter w:w="6" w:type="dxa"/>
          <w:trHeight w:val="359"/>
        </w:trPr>
        <w:tc>
          <w:tcPr>
            <w:tcW w:w="159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أرصـــدة الأخـــرى</w:t>
            </w:r>
          </w:p>
        </w:tc>
      </w:tr>
      <w:tr w:rsidR="009D049E" w:rsidRPr="00C9429C" w:rsidTr="00D55A0D">
        <w:trPr>
          <w:trHeight w:val="5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-76,0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-76,0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-73,4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-76,1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-73,6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-71,5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-72,6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-73,4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-62,2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-47,9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-50,9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-49,7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-78,9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-74,1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المرتقب لاثمنة المواد الغذائية</w:t>
            </w:r>
          </w:p>
        </w:tc>
      </w:tr>
      <w:tr w:rsidR="009D049E" w:rsidRPr="00C9429C" w:rsidTr="00D55A0D">
        <w:trPr>
          <w:trHeight w:val="4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-90,8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-90,5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-88,9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-91,6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-90,6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-91,7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-91,1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-91,6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-92,5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-89,9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-95,5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-90,9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-89,7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-79,5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-83,3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-96,2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-95,9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-93,6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لاثمنة المواد الغذائية</w:t>
            </w:r>
          </w:p>
        </w:tc>
      </w:tr>
      <w:tr w:rsidR="009D049E" w:rsidRPr="00C9429C" w:rsidTr="00D55A0D">
        <w:trPr>
          <w:trHeight w:val="4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-66,7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3875B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-69,1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-70,3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-67,0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-65,3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-62,5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-60,7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-61,2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9E" w:rsidRPr="00F22D86" w:rsidRDefault="009D049E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قدرة الأسر على الادخار خلال الأشهر المقبلة</w:t>
            </w:r>
          </w:p>
        </w:tc>
      </w:tr>
    </w:tbl>
    <w:p w:rsidR="00CC627E" w:rsidRDefault="00CC627E" w:rsidP="00CC627E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B51E40" w:rsidRDefault="00B51E40" w:rsidP="00B51E40">
      <w:pPr>
        <w:bidi/>
        <w:jc w:val="right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  <w:sectPr w:rsidR="00B51E40" w:rsidSect="00DF70DA">
          <w:pgSz w:w="16838" w:h="11906" w:orient="landscape" w:code="9"/>
          <w:pgMar w:top="1418" w:right="1418" w:bottom="1418" w:left="1276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1"/>
      </w:tblGrid>
      <w:tr w:rsidR="00B51E40" w:rsidRPr="00DC2D0E" w:rsidTr="005A1B82">
        <w:trPr>
          <w:trHeight w:val="10175"/>
        </w:trPr>
        <w:tc>
          <w:tcPr>
            <w:tcW w:w="9131" w:type="dxa"/>
          </w:tcPr>
          <w:p w:rsidR="009B5BC3" w:rsidRPr="004B7848" w:rsidRDefault="009B5BC3" w:rsidP="009B5BC3">
            <w:pPr>
              <w:bidi/>
              <w:ind w:left="360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9B5BC3" w:rsidRDefault="009B5BC3" w:rsidP="009B5BC3">
            <w:pPr>
              <w:pStyle w:val="Paragraphedeliste"/>
              <w:numPr>
                <w:ilvl w:val="0"/>
                <w:numId w:val="4"/>
              </w:num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9B5BC3" w:rsidRPr="004B7848" w:rsidRDefault="009B5BC3" w:rsidP="009B5BC3">
            <w:pPr>
              <w:pStyle w:val="Paragraphedeliste"/>
              <w:numPr>
                <w:ilvl w:val="0"/>
                <w:numId w:val="4"/>
              </w:numPr>
              <w:bidi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9B5BC3" w:rsidRDefault="009B5BC3" w:rsidP="005A2385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9B5BC3" w:rsidRDefault="009B5BC3" w:rsidP="005A2385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تمكن سلسلة مؤشر ثقة الأسر من المقارنة السنوية وكذلك الفصلية نتيجة لغياب التأثيرات الموسمية التي يمكن أن تغير من ملامحها خلال الست سنوات الأخيرة. فقد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ه</w:t>
            </w:r>
            <w:r w:rsidR="00055217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ذ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 المؤشر من تأكيد غياب التغييرات الموسمية سواء الثابتة أو المتحركة خلال الفترة الممتدة من 2008 إلى 2013.</w:t>
            </w:r>
          </w:p>
          <w:p w:rsidR="009B5BC3" w:rsidRDefault="009B5BC3" w:rsidP="005A2385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               كما أن مقارنة مبيان</w:t>
            </w:r>
            <w:r w:rsidR="00D12B7C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="00D12B7C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لسلسلة الخام لمؤشر الثقة و </w:t>
            </w:r>
            <w:r w:rsidR="00D12B7C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السلسلة ال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معالج</w:t>
            </w:r>
            <w:r w:rsidR="00D12B7C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ة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من التأثيرات الموسمية تبين تزامنهما</w:t>
            </w:r>
            <w:r w:rsidR="005A2385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 تطابقهما.</w:t>
            </w:r>
          </w:p>
          <w:p w:rsidR="009B5BC3" w:rsidRPr="001F1EA8" w:rsidRDefault="009B5BC3" w:rsidP="009B5BC3">
            <w:p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9B5BC3" w:rsidRPr="00A60C6B" w:rsidRDefault="009B5BC3" w:rsidP="009B5BC3">
            <w:pPr>
              <w:pStyle w:val="Paragraphedeliste"/>
              <w:bidi/>
              <w:ind w:left="1021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283974">
              <w:object w:dxaOrig="9690" w:dyaOrig="5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6pt;height:175pt" o:ole="">
                  <v:imagedata r:id="rId16" o:title=""/>
                </v:shape>
                <o:OLEObject Type="Embed" ProgID="PBrush" ShapeID="_x0000_i1025" DrawAspect="Content" ObjectID="_1453308728" r:id="rId17"/>
              </w:objec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</w:p>
          <w:p w:rsidR="009B5BC3" w:rsidRDefault="009B5BC3" w:rsidP="009B5BC3">
            <w:pPr>
              <w:widowControl/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B51E40" w:rsidRPr="004B7848" w:rsidRDefault="009B5BC3" w:rsidP="009B5BC3">
            <w:pPr>
              <w:widowControl/>
              <w:autoSpaceDE/>
              <w:autoSpaceDN/>
              <w:bidi/>
              <w:adjustRightInd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8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B51E40" w:rsidRPr="00DC2D0E" w:rsidRDefault="00B51E40" w:rsidP="00B51E40">
      <w:pPr>
        <w:bidi/>
        <w:rPr>
          <w:rFonts w:cs="Simplified Arabic"/>
          <w:rtl/>
          <w:lang w:bidi="ar-MA"/>
        </w:rPr>
      </w:pPr>
    </w:p>
    <w:p w:rsidR="00B51E40" w:rsidRDefault="00B51E40">
      <w:pPr>
        <w:rPr>
          <w:lang w:bidi="ar-MA"/>
        </w:rPr>
      </w:pPr>
    </w:p>
    <w:sectPr w:rsidR="00B51E40" w:rsidSect="00AF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BA" w:rsidRDefault="005E2FBA" w:rsidP="00FB5154">
      <w:r>
        <w:separator/>
      </w:r>
    </w:p>
  </w:endnote>
  <w:endnote w:type="continuationSeparator" w:id="0">
    <w:p w:rsidR="005E2FBA" w:rsidRDefault="005E2FBA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302" w:rsidRDefault="0030753E">
    <w:pPr>
      <w:pStyle w:val="Pieddepage"/>
      <w:jc w:val="center"/>
    </w:pPr>
    <w:fldSimple w:instr=" PAGE   \* MERGEFORMAT ">
      <w:r w:rsidR="005E2FBA">
        <w:rPr>
          <w:noProof/>
        </w:rPr>
        <w:t>1</w:t>
      </w:r>
    </w:fldSimple>
  </w:p>
  <w:p w:rsidR="00BC7302" w:rsidRDefault="00BC730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BA" w:rsidRDefault="005E2FBA" w:rsidP="00FB5154">
      <w:r>
        <w:separator/>
      </w:r>
    </w:p>
  </w:footnote>
  <w:footnote w:type="continuationSeparator" w:id="0">
    <w:p w:rsidR="005E2FBA" w:rsidRDefault="005E2FBA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2000FF8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56717"/>
    <w:multiLevelType w:val="hybridMultilevel"/>
    <w:tmpl w:val="37AA05E6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5154"/>
    <w:rsid w:val="000124FB"/>
    <w:rsid w:val="00013F2C"/>
    <w:rsid w:val="00014615"/>
    <w:rsid w:val="00023B39"/>
    <w:rsid w:val="00037417"/>
    <w:rsid w:val="00040872"/>
    <w:rsid w:val="0004224D"/>
    <w:rsid w:val="00043971"/>
    <w:rsid w:val="0004405A"/>
    <w:rsid w:val="00046B93"/>
    <w:rsid w:val="000501D5"/>
    <w:rsid w:val="00051406"/>
    <w:rsid w:val="00052202"/>
    <w:rsid w:val="00055217"/>
    <w:rsid w:val="00064F12"/>
    <w:rsid w:val="00065EBF"/>
    <w:rsid w:val="000708EE"/>
    <w:rsid w:val="0007598E"/>
    <w:rsid w:val="00075E5A"/>
    <w:rsid w:val="00076021"/>
    <w:rsid w:val="000800CE"/>
    <w:rsid w:val="00094954"/>
    <w:rsid w:val="00095E84"/>
    <w:rsid w:val="00096DF6"/>
    <w:rsid w:val="000A0912"/>
    <w:rsid w:val="000A1AFF"/>
    <w:rsid w:val="000A6343"/>
    <w:rsid w:val="000B3E0B"/>
    <w:rsid w:val="000C542A"/>
    <w:rsid w:val="000C59A2"/>
    <w:rsid w:val="000D626F"/>
    <w:rsid w:val="000D79A1"/>
    <w:rsid w:val="000E0292"/>
    <w:rsid w:val="000E1043"/>
    <w:rsid w:val="000E598D"/>
    <w:rsid w:val="000F1AFE"/>
    <w:rsid w:val="001001D9"/>
    <w:rsid w:val="00101EF8"/>
    <w:rsid w:val="00105F6E"/>
    <w:rsid w:val="0011409B"/>
    <w:rsid w:val="00116CCA"/>
    <w:rsid w:val="001203F7"/>
    <w:rsid w:val="00121FE4"/>
    <w:rsid w:val="00122BBD"/>
    <w:rsid w:val="00137B43"/>
    <w:rsid w:val="001451F9"/>
    <w:rsid w:val="00147008"/>
    <w:rsid w:val="001527A3"/>
    <w:rsid w:val="001529FF"/>
    <w:rsid w:val="00153603"/>
    <w:rsid w:val="001604B1"/>
    <w:rsid w:val="00160CD6"/>
    <w:rsid w:val="001615E7"/>
    <w:rsid w:val="00170761"/>
    <w:rsid w:val="001708BF"/>
    <w:rsid w:val="00176575"/>
    <w:rsid w:val="0017770A"/>
    <w:rsid w:val="0018282E"/>
    <w:rsid w:val="00183A85"/>
    <w:rsid w:val="00192991"/>
    <w:rsid w:val="0019443D"/>
    <w:rsid w:val="00194803"/>
    <w:rsid w:val="00196E61"/>
    <w:rsid w:val="001A0B0C"/>
    <w:rsid w:val="001A6534"/>
    <w:rsid w:val="001B69E0"/>
    <w:rsid w:val="001C4A0B"/>
    <w:rsid w:val="001D0D6A"/>
    <w:rsid w:val="001D288C"/>
    <w:rsid w:val="001D7239"/>
    <w:rsid w:val="001F0A87"/>
    <w:rsid w:val="001F1EA8"/>
    <w:rsid w:val="00211597"/>
    <w:rsid w:val="0021249E"/>
    <w:rsid w:val="00213F1E"/>
    <w:rsid w:val="0021515F"/>
    <w:rsid w:val="0022035B"/>
    <w:rsid w:val="00224CF5"/>
    <w:rsid w:val="00225ADC"/>
    <w:rsid w:val="002447B7"/>
    <w:rsid w:val="0024601E"/>
    <w:rsid w:val="002501E1"/>
    <w:rsid w:val="002539F4"/>
    <w:rsid w:val="00254F5D"/>
    <w:rsid w:val="00255827"/>
    <w:rsid w:val="00256064"/>
    <w:rsid w:val="00257304"/>
    <w:rsid w:val="002610CC"/>
    <w:rsid w:val="00262199"/>
    <w:rsid w:val="00267C04"/>
    <w:rsid w:val="00276571"/>
    <w:rsid w:val="002804A3"/>
    <w:rsid w:val="00282A76"/>
    <w:rsid w:val="00294A82"/>
    <w:rsid w:val="00294D15"/>
    <w:rsid w:val="002A369A"/>
    <w:rsid w:val="002A71C9"/>
    <w:rsid w:val="002B56E7"/>
    <w:rsid w:val="002B6282"/>
    <w:rsid w:val="002B6E48"/>
    <w:rsid w:val="002B7CB7"/>
    <w:rsid w:val="002C315C"/>
    <w:rsid w:val="002C3B75"/>
    <w:rsid w:val="002C41F9"/>
    <w:rsid w:val="002D59E5"/>
    <w:rsid w:val="002E5376"/>
    <w:rsid w:val="002F0FB7"/>
    <w:rsid w:val="00305668"/>
    <w:rsid w:val="00306B5B"/>
    <w:rsid w:val="0030712F"/>
    <w:rsid w:val="0030753E"/>
    <w:rsid w:val="00313D8D"/>
    <w:rsid w:val="00313DAF"/>
    <w:rsid w:val="0033012D"/>
    <w:rsid w:val="003325D6"/>
    <w:rsid w:val="0033541B"/>
    <w:rsid w:val="0034158E"/>
    <w:rsid w:val="00346369"/>
    <w:rsid w:val="003639B6"/>
    <w:rsid w:val="00363FED"/>
    <w:rsid w:val="00365421"/>
    <w:rsid w:val="0036643E"/>
    <w:rsid w:val="003774FD"/>
    <w:rsid w:val="003810D0"/>
    <w:rsid w:val="003875BA"/>
    <w:rsid w:val="00387B6D"/>
    <w:rsid w:val="003915CF"/>
    <w:rsid w:val="00397951"/>
    <w:rsid w:val="003A008A"/>
    <w:rsid w:val="003A5AEE"/>
    <w:rsid w:val="003C3C0C"/>
    <w:rsid w:val="003C6FDB"/>
    <w:rsid w:val="003E0E5B"/>
    <w:rsid w:val="003E2DE1"/>
    <w:rsid w:val="003E4E24"/>
    <w:rsid w:val="003F16A4"/>
    <w:rsid w:val="003F35F7"/>
    <w:rsid w:val="00401AE2"/>
    <w:rsid w:val="0041124B"/>
    <w:rsid w:val="0041230B"/>
    <w:rsid w:val="004137F0"/>
    <w:rsid w:val="00414F76"/>
    <w:rsid w:val="00417BC7"/>
    <w:rsid w:val="004221A9"/>
    <w:rsid w:val="00430D3F"/>
    <w:rsid w:val="004317A2"/>
    <w:rsid w:val="004335D4"/>
    <w:rsid w:val="00435F3C"/>
    <w:rsid w:val="00440B2C"/>
    <w:rsid w:val="00441C14"/>
    <w:rsid w:val="00453863"/>
    <w:rsid w:val="00456931"/>
    <w:rsid w:val="00457685"/>
    <w:rsid w:val="00467660"/>
    <w:rsid w:val="00472DBD"/>
    <w:rsid w:val="00472F8A"/>
    <w:rsid w:val="004744D0"/>
    <w:rsid w:val="00486B84"/>
    <w:rsid w:val="00491FC0"/>
    <w:rsid w:val="00497946"/>
    <w:rsid w:val="004A0A68"/>
    <w:rsid w:val="004A1A98"/>
    <w:rsid w:val="004A321B"/>
    <w:rsid w:val="004A5752"/>
    <w:rsid w:val="004B79A9"/>
    <w:rsid w:val="004C5AD7"/>
    <w:rsid w:val="004D2C07"/>
    <w:rsid w:val="004D3AC3"/>
    <w:rsid w:val="005059EA"/>
    <w:rsid w:val="00506AE4"/>
    <w:rsid w:val="00510502"/>
    <w:rsid w:val="00512D03"/>
    <w:rsid w:val="00514628"/>
    <w:rsid w:val="00515511"/>
    <w:rsid w:val="005226E3"/>
    <w:rsid w:val="00530FFD"/>
    <w:rsid w:val="005332F6"/>
    <w:rsid w:val="00533E6F"/>
    <w:rsid w:val="00542E22"/>
    <w:rsid w:val="00543D43"/>
    <w:rsid w:val="00545871"/>
    <w:rsid w:val="0054625D"/>
    <w:rsid w:val="00546BFA"/>
    <w:rsid w:val="00551BD7"/>
    <w:rsid w:val="0055413F"/>
    <w:rsid w:val="00557807"/>
    <w:rsid w:val="00561537"/>
    <w:rsid w:val="00587DC3"/>
    <w:rsid w:val="00591390"/>
    <w:rsid w:val="0059278D"/>
    <w:rsid w:val="005A1B82"/>
    <w:rsid w:val="005A1CB8"/>
    <w:rsid w:val="005A21E2"/>
    <w:rsid w:val="005A2385"/>
    <w:rsid w:val="005A640C"/>
    <w:rsid w:val="005B1C7E"/>
    <w:rsid w:val="005B5D9B"/>
    <w:rsid w:val="005B6985"/>
    <w:rsid w:val="005C1C08"/>
    <w:rsid w:val="005C24BD"/>
    <w:rsid w:val="005C7953"/>
    <w:rsid w:val="005C79C5"/>
    <w:rsid w:val="005D3E17"/>
    <w:rsid w:val="005E2FBA"/>
    <w:rsid w:val="005E30B1"/>
    <w:rsid w:val="005E75B8"/>
    <w:rsid w:val="005F04D0"/>
    <w:rsid w:val="005F0ED8"/>
    <w:rsid w:val="005F4C0B"/>
    <w:rsid w:val="005F5895"/>
    <w:rsid w:val="006024F0"/>
    <w:rsid w:val="00612F7A"/>
    <w:rsid w:val="00621804"/>
    <w:rsid w:val="00630E9E"/>
    <w:rsid w:val="00642F6E"/>
    <w:rsid w:val="00660179"/>
    <w:rsid w:val="006620AA"/>
    <w:rsid w:val="006705DD"/>
    <w:rsid w:val="0068132A"/>
    <w:rsid w:val="00685317"/>
    <w:rsid w:val="00687E05"/>
    <w:rsid w:val="00695597"/>
    <w:rsid w:val="006A1177"/>
    <w:rsid w:val="006A600B"/>
    <w:rsid w:val="006A64D4"/>
    <w:rsid w:val="006A752D"/>
    <w:rsid w:val="006B1F26"/>
    <w:rsid w:val="006B7D9F"/>
    <w:rsid w:val="006C2E02"/>
    <w:rsid w:val="006C6950"/>
    <w:rsid w:val="006C6C31"/>
    <w:rsid w:val="006D1A39"/>
    <w:rsid w:val="006D449E"/>
    <w:rsid w:val="006E4001"/>
    <w:rsid w:val="006F6164"/>
    <w:rsid w:val="00701282"/>
    <w:rsid w:val="0071371E"/>
    <w:rsid w:val="00713AEA"/>
    <w:rsid w:val="00716460"/>
    <w:rsid w:val="00722495"/>
    <w:rsid w:val="00731C5E"/>
    <w:rsid w:val="0074287F"/>
    <w:rsid w:val="00750142"/>
    <w:rsid w:val="00751DD8"/>
    <w:rsid w:val="00751E8B"/>
    <w:rsid w:val="0076463C"/>
    <w:rsid w:val="00777103"/>
    <w:rsid w:val="00796A15"/>
    <w:rsid w:val="007A2963"/>
    <w:rsid w:val="007A5ECA"/>
    <w:rsid w:val="007B2624"/>
    <w:rsid w:val="007B278D"/>
    <w:rsid w:val="007B47F2"/>
    <w:rsid w:val="007B7C63"/>
    <w:rsid w:val="007C11A7"/>
    <w:rsid w:val="007C157E"/>
    <w:rsid w:val="007C2046"/>
    <w:rsid w:val="007C676A"/>
    <w:rsid w:val="007C69D8"/>
    <w:rsid w:val="007D2155"/>
    <w:rsid w:val="007D35E5"/>
    <w:rsid w:val="007D7613"/>
    <w:rsid w:val="007E21CC"/>
    <w:rsid w:val="007E2893"/>
    <w:rsid w:val="007E52A5"/>
    <w:rsid w:val="007E754C"/>
    <w:rsid w:val="007F508E"/>
    <w:rsid w:val="007F6595"/>
    <w:rsid w:val="007F75D2"/>
    <w:rsid w:val="00800A1E"/>
    <w:rsid w:val="00817133"/>
    <w:rsid w:val="00822166"/>
    <w:rsid w:val="008320BE"/>
    <w:rsid w:val="00846E2F"/>
    <w:rsid w:val="00850227"/>
    <w:rsid w:val="00851E7C"/>
    <w:rsid w:val="0085717B"/>
    <w:rsid w:val="00884267"/>
    <w:rsid w:val="00884C67"/>
    <w:rsid w:val="00885A82"/>
    <w:rsid w:val="00886E9F"/>
    <w:rsid w:val="0089053D"/>
    <w:rsid w:val="00897A03"/>
    <w:rsid w:val="008A21C5"/>
    <w:rsid w:val="008A2D3E"/>
    <w:rsid w:val="008A5081"/>
    <w:rsid w:val="008B1C9B"/>
    <w:rsid w:val="008B3A54"/>
    <w:rsid w:val="008B7357"/>
    <w:rsid w:val="008E176C"/>
    <w:rsid w:val="008E6AB7"/>
    <w:rsid w:val="008F03B0"/>
    <w:rsid w:val="008F1754"/>
    <w:rsid w:val="008F25FA"/>
    <w:rsid w:val="008F7CE5"/>
    <w:rsid w:val="00903583"/>
    <w:rsid w:val="0090595D"/>
    <w:rsid w:val="0091447E"/>
    <w:rsid w:val="00917745"/>
    <w:rsid w:val="0092383F"/>
    <w:rsid w:val="00924566"/>
    <w:rsid w:val="00930662"/>
    <w:rsid w:val="00933226"/>
    <w:rsid w:val="00933B37"/>
    <w:rsid w:val="00936ABF"/>
    <w:rsid w:val="00944BCB"/>
    <w:rsid w:val="00945689"/>
    <w:rsid w:val="00951643"/>
    <w:rsid w:val="009569BA"/>
    <w:rsid w:val="0096041D"/>
    <w:rsid w:val="00961F83"/>
    <w:rsid w:val="00963708"/>
    <w:rsid w:val="00966260"/>
    <w:rsid w:val="00967F39"/>
    <w:rsid w:val="00974DF7"/>
    <w:rsid w:val="00987220"/>
    <w:rsid w:val="0098747B"/>
    <w:rsid w:val="00996A25"/>
    <w:rsid w:val="009B2202"/>
    <w:rsid w:val="009B4A5D"/>
    <w:rsid w:val="009B5BC3"/>
    <w:rsid w:val="009B7782"/>
    <w:rsid w:val="009C15BC"/>
    <w:rsid w:val="009C6459"/>
    <w:rsid w:val="009C77F2"/>
    <w:rsid w:val="009D049E"/>
    <w:rsid w:val="009E0E01"/>
    <w:rsid w:val="009E1623"/>
    <w:rsid w:val="009F00A5"/>
    <w:rsid w:val="009F1CF6"/>
    <w:rsid w:val="00A03926"/>
    <w:rsid w:val="00A0641C"/>
    <w:rsid w:val="00A11AA2"/>
    <w:rsid w:val="00A214E5"/>
    <w:rsid w:val="00A22216"/>
    <w:rsid w:val="00A2494B"/>
    <w:rsid w:val="00A3155D"/>
    <w:rsid w:val="00A51077"/>
    <w:rsid w:val="00A57FC8"/>
    <w:rsid w:val="00A60C6B"/>
    <w:rsid w:val="00A62F66"/>
    <w:rsid w:val="00A83C1A"/>
    <w:rsid w:val="00A865CE"/>
    <w:rsid w:val="00A87B93"/>
    <w:rsid w:val="00AA3B9F"/>
    <w:rsid w:val="00AB4028"/>
    <w:rsid w:val="00AC0047"/>
    <w:rsid w:val="00AF3E93"/>
    <w:rsid w:val="00AF69B7"/>
    <w:rsid w:val="00AF6CD7"/>
    <w:rsid w:val="00B10412"/>
    <w:rsid w:val="00B12659"/>
    <w:rsid w:val="00B156E3"/>
    <w:rsid w:val="00B1639D"/>
    <w:rsid w:val="00B17ABB"/>
    <w:rsid w:val="00B23642"/>
    <w:rsid w:val="00B31EEF"/>
    <w:rsid w:val="00B35F02"/>
    <w:rsid w:val="00B401EE"/>
    <w:rsid w:val="00B44768"/>
    <w:rsid w:val="00B45958"/>
    <w:rsid w:val="00B4744D"/>
    <w:rsid w:val="00B51E40"/>
    <w:rsid w:val="00B55B0F"/>
    <w:rsid w:val="00B55BE1"/>
    <w:rsid w:val="00B60126"/>
    <w:rsid w:val="00B631C4"/>
    <w:rsid w:val="00B66797"/>
    <w:rsid w:val="00B80E5A"/>
    <w:rsid w:val="00B86C16"/>
    <w:rsid w:val="00BC03B1"/>
    <w:rsid w:val="00BC060E"/>
    <w:rsid w:val="00BC7302"/>
    <w:rsid w:val="00BD3618"/>
    <w:rsid w:val="00BE0FF5"/>
    <w:rsid w:val="00BE6191"/>
    <w:rsid w:val="00BF5CFA"/>
    <w:rsid w:val="00C000EC"/>
    <w:rsid w:val="00C05D64"/>
    <w:rsid w:val="00C062A5"/>
    <w:rsid w:val="00C1247B"/>
    <w:rsid w:val="00C1289A"/>
    <w:rsid w:val="00C308B8"/>
    <w:rsid w:val="00C35C32"/>
    <w:rsid w:val="00C3687F"/>
    <w:rsid w:val="00C40181"/>
    <w:rsid w:val="00C50B8D"/>
    <w:rsid w:val="00C57243"/>
    <w:rsid w:val="00C620FA"/>
    <w:rsid w:val="00C77851"/>
    <w:rsid w:val="00C842EA"/>
    <w:rsid w:val="00C94012"/>
    <w:rsid w:val="00C9429C"/>
    <w:rsid w:val="00C947BB"/>
    <w:rsid w:val="00C9541E"/>
    <w:rsid w:val="00CA679E"/>
    <w:rsid w:val="00CB2A34"/>
    <w:rsid w:val="00CB3F41"/>
    <w:rsid w:val="00CB504D"/>
    <w:rsid w:val="00CB6DA4"/>
    <w:rsid w:val="00CC481D"/>
    <w:rsid w:val="00CC627E"/>
    <w:rsid w:val="00CC6D5B"/>
    <w:rsid w:val="00CD3444"/>
    <w:rsid w:val="00CE52E9"/>
    <w:rsid w:val="00CF172D"/>
    <w:rsid w:val="00CF5A1C"/>
    <w:rsid w:val="00D033E3"/>
    <w:rsid w:val="00D12B7C"/>
    <w:rsid w:val="00D17912"/>
    <w:rsid w:val="00D212C6"/>
    <w:rsid w:val="00D2415E"/>
    <w:rsid w:val="00D41B86"/>
    <w:rsid w:val="00D41EBC"/>
    <w:rsid w:val="00D427F1"/>
    <w:rsid w:val="00D44881"/>
    <w:rsid w:val="00D554A9"/>
    <w:rsid w:val="00D55A0D"/>
    <w:rsid w:val="00D66C55"/>
    <w:rsid w:val="00D726FE"/>
    <w:rsid w:val="00D80851"/>
    <w:rsid w:val="00D970A1"/>
    <w:rsid w:val="00D97315"/>
    <w:rsid w:val="00DA0092"/>
    <w:rsid w:val="00DA3E5A"/>
    <w:rsid w:val="00DA522C"/>
    <w:rsid w:val="00DB10C4"/>
    <w:rsid w:val="00DB1264"/>
    <w:rsid w:val="00DB2DE8"/>
    <w:rsid w:val="00DB59CC"/>
    <w:rsid w:val="00DC038B"/>
    <w:rsid w:val="00DC17BE"/>
    <w:rsid w:val="00DD171D"/>
    <w:rsid w:val="00DD2977"/>
    <w:rsid w:val="00DD38B5"/>
    <w:rsid w:val="00DD56AE"/>
    <w:rsid w:val="00DD7AA5"/>
    <w:rsid w:val="00DE2A91"/>
    <w:rsid w:val="00DE6981"/>
    <w:rsid w:val="00DE74C8"/>
    <w:rsid w:val="00DF0E2A"/>
    <w:rsid w:val="00DF5B36"/>
    <w:rsid w:val="00DF70DA"/>
    <w:rsid w:val="00E0471C"/>
    <w:rsid w:val="00E076C0"/>
    <w:rsid w:val="00E1227C"/>
    <w:rsid w:val="00E15311"/>
    <w:rsid w:val="00E351BD"/>
    <w:rsid w:val="00E40CF6"/>
    <w:rsid w:val="00E439E8"/>
    <w:rsid w:val="00E43FA4"/>
    <w:rsid w:val="00E5675A"/>
    <w:rsid w:val="00E60897"/>
    <w:rsid w:val="00E63B9D"/>
    <w:rsid w:val="00E64B0A"/>
    <w:rsid w:val="00E77F57"/>
    <w:rsid w:val="00E837A5"/>
    <w:rsid w:val="00E8429E"/>
    <w:rsid w:val="00E862E4"/>
    <w:rsid w:val="00E976D3"/>
    <w:rsid w:val="00EA6EC9"/>
    <w:rsid w:val="00EB59FE"/>
    <w:rsid w:val="00EB71AB"/>
    <w:rsid w:val="00EC1FFE"/>
    <w:rsid w:val="00EC7802"/>
    <w:rsid w:val="00ED4310"/>
    <w:rsid w:val="00EF0DB8"/>
    <w:rsid w:val="00F13398"/>
    <w:rsid w:val="00F22D86"/>
    <w:rsid w:val="00F26F33"/>
    <w:rsid w:val="00F325B2"/>
    <w:rsid w:val="00F34E0F"/>
    <w:rsid w:val="00F355D8"/>
    <w:rsid w:val="00F366ED"/>
    <w:rsid w:val="00F4706C"/>
    <w:rsid w:val="00F5174D"/>
    <w:rsid w:val="00F640F9"/>
    <w:rsid w:val="00F72019"/>
    <w:rsid w:val="00F75299"/>
    <w:rsid w:val="00F831A0"/>
    <w:rsid w:val="00F837A6"/>
    <w:rsid w:val="00F85E7F"/>
    <w:rsid w:val="00F916C8"/>
    <w:rsid w:val="00F92F53"/>
    <w:rsid w:val="00FA0F2B"/>
    <w:rsid w:val="00FA2A94"/>
    <w:rsid w:val="00FA5597"/>
    <w:rsid w:val="00FB2760"/>
    <w:rsid w:val="00FB5154"/>
    <w:rsid w:val="00FD43BF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www.hcp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4-2013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4-2013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4-2013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4-2013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4-2013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4-2013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4-201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600"/>
            </a:pPr>
            <a:r>
              <a:rPr lang="ar-MA" sz="1800" b="1" i="0" baseline="0"/>
              <a:t>تطور مؤشر الثقة للأسر المغربية</a:t>
            </a:r>
            <a:endParaRPr lang="en-US" sz="1800" b="1" i="0" baseline="0"/>
          </a:p>
        </c:rich>
      </c:tx>
      <c:layout>
        <c:manualLayout>
          <c:xMode val="edge"/>
          <c:yMode val="edge"/>
          <c:x val="0.33303656471214654"/>
          <c:y val="3.1554001622922295E-2"/>
        </c:manualLayout>
      </c:layout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fr-FR"/>
              </a:p>
            </c:txPr>
            <c:showVal val="1"/>
          </c:dLbls>
          <c:cat>
            <c:strRef>
              <c:f>'graphe fr'!$B$9:$Y$9</c:f>
              <c:strCache>
                <c:ptCount val="2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</c:strCache>
            </c:strRef>
          </c:cat>
          <c:val>
            <c:numRef>
              <c:f>'graphe fr'!$B$18:$Y$18</c:f>
              <c:numCache>
                <c:formatCode>#,##0.0</c:formatCode>
                <c:ptCount val="24"/>
                <c:pt idx="0">
                  <c:v>85.866502294191648</c:v>
                </c:pt>
                <c:pt idx="1">
                  <c:v>77.678707955852474</c:v>
                </c:pt>
                <c:pt idx="2">
                  <c:v>75.55248063575597</c:v>
                </c:pt>
                <c:pt idx="3">
                  <c:v>80.136884034904114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80.136086093618815</c:v>
                </c:pt>
                <c:pt idx="9">
                  <c:v>78.833388330573484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78.406406130604239</c:v>
                </c:pt>
                <c:pt idx="13">
                  <c:v>85.789532632532229</c:v>
                </c:pt>
                <c:pt idx="14">
                  <c:v>86.506225251482533</c:v>
                </c:pt>
                <c:pt idx="15">
                  <c:v>84.47721469487783</c:v>
                </c:pt>
                <c:pt idx="16">
                  <c:v>82.880478542820782</c:v>
                </c:pt>
                <c:pt idx="17">
                  <c:v>80.673652783725359</c:v>
                </c:pt>
                <c:pt idx="18">
                  <c:v>77.553867036568803</c:v>
                </c:pt>
                <c:pt idx="19">
                  <c:v>78.403353681350168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</c:numCache>
            </c:numRef>
          </c:val>
        </c:ser>
        <c:gapWidth val="75"/>
        <c:overlap val="-25"/>
        <c:axId val="85937152"/>
        <c:axId val="85955328"/>
      </c:barChart>
      <c:catAx>
        <c:axId val="859371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85955328"/>
        <c:crosses val="autoZero"/>
        <c:auto val="1"/>
        <c:lblAlgn val="ctr"/>
        <c:lblOffset val="100"/>
      </c:catAx>
      <c:valAx>
        <c:axId val="85955328"/>
        <c:scaling>
          <c:orientation val="minMax"/>
        </c:scaling>
        <c:delete val="1"/>
        <c:axPos val="l"/>
        <c:numFmt formatCode="#,##0.0" sourceLinked="1"/>
        <c:majorTickMark val="none"/>
        <c:tickLblPos val="none"/>
        <c:crossAx val="8593715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تطور المستوى العام للمعيشة</a:t>
            </a:r>
            <a:endParaRPr lang="fr-FR" sz="1400" b="1" i="0" baseline="0"/>
          </a:p>
          <a:p>
            <a:pPr algn="ctr">
              <a:defRPr sz="1400"/>
            </a:pPr>
            <a:r>
              <a:rPr lang="ar-MA" sz="1400" b="1" i="0" baseline="0"/>
              <a:t> (</a:t>
            </a:r>
            <a:r>
              <a:rPr lang="ar-MA" sz="1400" b="0" i="0" baseline="0"/>
              <a:t>أرصدة الآراء</a:t>
            </a:r>
            <a:r>
              <a:rPr lang="ar-MA" sz="1400" b="1" i="0" baseline="0"/>
              <a:t>)</a:t>
            </a:r>
            <a:endParaRPr lang="fr-FR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ar'!$A$10</c:f>
              <c:strCache>
                <c:ptCount val="1"/>
                <c:pt idx="0">
                  <c:v>التطور السابق </c:v>
                </c:pt>
              </c:strCache>
            </c:strRef>
          </c:tx>
          <c:marker>
            <c:symbol val="square"/>
            <c:size val="5"/>
          </c:marker>
          <c:cat>
            <c:strRef>
              <c:f>'graphes ar'!$B$7:$Y$7</c:f>
              <c:strCache>
                <c:ptCount val="2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</c:strCache>
            </c:strRef>
          </c:cat>
          <c:val>
            <c:numRef>
              <c:f>'graphes ar'!$B$10:$Y$10</c:f>
              <c:numCache>
                <c:formatCode>#,##0.0</c:formatCode>
                <c:ptCount val="24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-31.141291421499801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-25.723634629572945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-37.23676034498353</c:v>
                </c:pt>
                <c:pt idx="12">
                  <c:v>-26.050959167650177</c:v>
                </c:pt>
                <c:pt idx="13">
                  <c:v>-16.961438303130809</c:v>
                </c:pt>
                <c:pt idx="14">
                  <c:v>-13.439142519852046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-28.088708351168602</c:v>
                </c:pt>
                <c:pt idx="20">
                  <c:v>-29.212341127418195</c:v>
                </c:pt>
                <c:pt idx="21">
                  <c:v>-23.102864483982128</c:v>
                </c:pt>
                <c:pt idx="22">
                  <c:v>-21.158266803557588</c:v>
                </c:pt>
                <c:pt idx="23">
                  <c:v>-19.887264929132375</c:v>
                </c:pt>
              </c:numCache>
            </c:numRef>
          </c:val>
        </c:ser>
        <c:ser>
          <c:idx val="1"/>
          <c:order val="1"/>
          <c:tx>
            <c:strRef>
              <c:f>'graphes ar'!$A$11</c:f>
              <c:strCache>
                <c:ptCount val="1"/>
                <c:pt idx="0">
                  <c:v>التطور المستقبلي </c:v>
                </c:pt>
              </c:strCache>
            </c:strRef>
          </c:tx>
          <c:cat>
            <c:strRef>
              <c:f>'graphes ar'!$B$7:$Y$7</c:f>
              <c:strCache>
                <c:ptCount val="2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</c:strCache>
            </c:strRef>
          </c:cat>
          <c:val>
            <c:numRef>
              <c:f>'graphes ar'!$B$11:$Y$11</c:f>
              <c:numCache>
                <c:formatCode>#,##0.0</c:formatCode>
                <c:ptCount val="24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8.4334302751113352E-2</c:v>
                </c:pt>
                <c:pt idx="7">
                  <c:v>2.1853913991610052</c:v>
                </c:pt>
                <c:pt idx="8">
                  <c:v>0.39154986438085893</c:v>
                </c:pt>
                <c:pt idx="9">
                  <c:v>2.7314646872285109</c:v>
                </c:pt>
                <c:pt idx="10">
                  <c:v>0.19418325799955066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18.132139936578742</c:v>
                </c:pt>
                <c:pt idx="14">
                  <c:v>11.870106120928327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  <c:pt idx="23">
                  <c:v>-7.9340099346010531</c:v>
                </c:pt>
              </c:numCache>
            </c:numRef>
          </c:val>
        </c:ser>
        <c:marker val="1"/>
        <c:axId val="86224256"/>
        <c:axId val="87733760"/>
      </c:lineChart>
      <c:catAx>
        <c:axId val="862242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87733760"/>
        <c:crosses val="autoZero"/>
        <c:auto val="1"/>
        <c:lblAlgn val="ctr"/>
        <c:lblOffset val="100"/>
      </c:catAx>
      <c:valAx>
        <c:axId val="8773376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862242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/>
              <a:t>التطور المستقبلي لعدد العاطلين</a:t>
            </a:r>
            <a:endParaRPr lang="fr-FR" sz="140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 (</a:t>
            </a:r>
            <a:r>
              <a:rPr lang="ar-MA" sz="1400" b="0" i="0" baseline="0"/>
              <a:t>أرصدة الآراء</a:t>
            </a:r>
            <a:r>
              <a:rPr lang="ar-MA" sz="1400" b="1" i="0" baseline="0"/>
              <a:t>)</a:t>
            </a:r>
            <a:endParaRPr lang="ar-MA" sz="1400"/>
          </a:p>
        </c:rich>
      </c:tx>
    </c:title>
    <c:plotArea>
      <c:layout>
        <c:manualLayout>
          <c:layoutTarget val="inner"/>
          <c:xMode val="edge"/>
          <c:yMode val="edge"/>
          <c:x val="8.8638672982719963E-2"/>
          <c:y val="0.24711904953043556"/>
          <c:w val="0.88760385391450158"/>
          <c:h val="0.62651184228022461"/>
        </c:manualLayout>
      </c:layout>
      <c:lineChart>
        <c:grouping val="standard"/>
        <c:ser>
          <c:idx val="0"/>
          <c:order val="0"/>
          <c:tx>
            <c:strRef>
              <c:f>'graphes ar'!$A$9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'graphes ar'!$B$7:$Y$7</c:f>
              <c:strCache>
                <c:ptCount val="2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</c:strCache>
            </c:strRef>
          </c:cat>
          <c:val>
            <c:numRef>
              <c:f>'graphes ar'!$B$9:$Y$9</c:f>
              <c:numCache>
                <c:formatCode>#,##0.0</c:formatCode>
                <c:ptCount val="24"/>
                <c:pt idx="0">
                  <c:v>-52.095692279179367</c:v>
                </c:pt>
                <c:pt idx="1">
                  <c:v>-56.601297669292983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-57.93060045856835</c:v>
                </c:pt>
                <c:pt idx="7">
                  <c:v>-57.517749523976377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-52.335316844022579</c:v>
                </c:pt>
                <c:pt idx="12">
                  <c:v>-52.408437207990296</c:v>
                </c:pt>
                <c:pt idx="13">
                  <c:v>-45.982278486233319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</c:numCache>
            </c:numRef>
          </c:val>
        </c:ser>
        <c:marker val="1"/>
        <c:axId val="104347136"/>
        <c:axId val="108105728"/>
      </c:lineChart>
      <c:catAx>
        <c:axId val="104347136"/>
        <c:scaling>
          <c:orientation val="minMax"/>
        </c:scaling>
        <c:axPos val="b"/>
        <c:tickLblPos val="nextTo"/>
        <c:crossAx val="108105728"/>
        <c:crosses val="autoZero"/>
        <c:auto val="1"/>
        <c:lblAlgn val="ctr"/>
        <c:lblOffset val="100"/>
      </c:catAx>
      <c:valAx>
        <c:axId val="108105728"/>
        <c:scaling>
          <c:orientation val="minMax"/>
        </c:scaling>
        <c:axPos val="l"/>
        <c:majorGridlines/>
        <c:numFmt formatCode="#,##0.0" sourceLinked="1"/>
        <c:tickLblPos val="nextTo"/>
        <c:crossAx val="10434713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ملائمة الظروف للقيام بشراء السلع المستديمة</a:t>
            </a:r>
            <a:r>
              <a:rPr lang="ar-MA" sz="1600" b="1" i="0" baseline="0"/>
              <a:t> </a:t>
            </a:r>
            <a:endParaRPr lang="en-US" sz="16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0" i="0" baseline="0"/>
              <a:t>(</a:t>
            </a:r>
            <a:r>
              <a:rPr lang="ar-MA" sz="1400" b="0" i="0" baseline="0"/>
              <a:t>أرصدة الآراء</a:t>
            </a:r>
            <a:r>
              <a:rPr lang="fr-FR" sz="1400" b="0" i="0" baseline="0"/>
              <a:t>) </a:t>
            </a:r>
            <a:endParaRPr lang="fr-FR" sz="14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 sz="1600"/>
          </a:p>
        </c:rich>
      </c:tx>
    </c:title>
    <c:plotArea>
      <c:layout>
        <c:manualLayout>
          <c:layoutTarget val="inner"/>
          <c:xMode val="edge"/>
          <c:yMode val="edge"/>
          <c:x val="6.3067272012586911E-2"/>
          <c:y val="0.22120446284420683"/>
          <c:w val="0.91412979647890413"/>
          <c:h val="0.69200277800326448"/>
        </c:manualLayout>
      </c:layout>
      <c:lineChart>
        <c:grouping val="standard"/>
        <c:ser>
          <c:idx val="0"/>
          <c:order val="0"/>
          <c:tx>
            <c:strRef>
              <c:f>'graphes ar'!$A$12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'graphes ar'!$B$7:$Y$7</c:f>
              <c:strCache>
                <c:ptCount val="2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</c:strCache>
            </c:strRef>
          </c:cat>
          <c:val>
            <c:numRef>
              <c:f>'graphes ar'!$B$12:$Y$12</c:f>
              <c:numCache>
                <c:formatCode>#,##0.0</c:formatCode>
                <c:ptCount val="24"/>
                <c:pt idx="0">
                  <c:v>-30.018449770831708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-41.765350509034057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-37.532519098272012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-39.860076277616514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-37.388587169100333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-28.348240299081631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</c:numCache>
            </c:numRef>
          </c:val>
        </c:ser>
        <c:marker val="1"/>
        <c:axId val="108122496"/>
        <c:axId val="108124032"/>
      </c:lineChart>
      <c:catAx>
        <c:axId val="1081224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08124032"/>
        <c:crosses val="autoZero"/>
        <c:auto val="1"/>
        <c:lblAlgn val="ctr"/>
        <c:lblOffset val="100"/>
      </c:catAx>
      <c:valAx>
        <c:axId val="10812403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0812249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100"/>
            </a:pPr>
            <a:r>
              <a:rPr lang="ar-MA" sz="1400" b="1" i="0" baseline="0"/>
              <a:t>تصور الأسر حول وضعيتهم المالية</a:t>
            </a:r>
            <a:endParaRPr lang="fr-FR" sz="1400" b="1" i="0" baseline="0"/>
          </a:p>
          <a:p>
            <a:pPr algn="ctr">
              <a:defRPr sz="1100"/>
            </a:pPr>
            <a:r>
              <a:rPr lang="ar-MA" sz="1400" b="0" i="0" baseline="0"/>
              <a:t>(أرصدة الآراء)</a:t>
            </a:r>
            <a:endParaRPr lang="fr-FR" sz="1400" b="0" i="0" baseline="0"/>
          </a:p>
          <a:p>
            <a:pPr algn="ctr">
              <a:defRPr sz="1100"/>
            </a:pPr>
            <a:endParaRPr lang="fr-FR" sz="1100"/>
          </a:p>
        </c:rich>
      </c:tx>
    </c:title>
    <c:plotArea>
      <c:layout>
        <c:manualLayout>
          <c:layoutTarget val="inner"/>
          <c:xMode val="edge"/>
          <c:yMode val="edge"/>
          <c:x val="5.2012079437676911E-2"/>
          <c:y val="0.20554219127964246"/>
          <c:w val="0.92409458642627484"/>
          <c:h val="0.68618003578201059"/>
        </c:manualLayout>
      </c:layout>
      <c:lineChart>
        <c:grouping val="standard"/>
        <c:ser>
          <c:idx val="0"/>
          <c:order val="0"/>
          <c:tx>
            <c:strRef>
              <c:f>'graphes ar'!$A$13</c:f>
              <c:strCache>
                <c:ptCount val="1"/>
                <c:pt idx="0">
                  <c:v>الوضعية الحالية </c:v>
                </c:pt>
              </c:strCache>
            </c:strRef>
          </c:tx>
          <c:marker>
            <c:symbol val="square"/>
            <c:size val="5"/>
          </c:marker>
          <c:cat>
            <c:strRef>
              <c:f>'graphes ar'!$B$7:$Y$7</c:f>
              <c:strCache>
                <c:ptCount val="2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</c:strCache>
            </c:strRef>
          </c:cat>
          <c:val>
            <c:numRef>
              <c:f>'graphes ar'!$B$13:$Y$13</c:f>
              <c:numCache>
                <c:formatCode>#,##0.0</c:formatCode>
                <c:ptCount val="24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-28.062624892496252</c:v>
                </c:pt>
                <c:pt idx="12">
                  <c:v>-30.645498931903671</c:v>
                </c:pt>
                <c:pt idx="13">
                  <c:v>-27.092549889444214</c:v>
                </c:pt>
                <c:pt idx="14">
                  <c:v>-24.28899054728441</c:v>
                </c:pt>
                <c:pt idx="15">
                  <c:v>-25.669712181349666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-30.846093343724142</c:v>
                </c:pt>
                <c:pt idx="19">
                  <c:v>-29.426966691861207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-29.484131282651148</c:v>
                </c:pt>
                <c:pt idx="23">
                  <c:v>-29.485585569479877</c:v>
                </c:pt>
              </c:numCache>
            </c:numRef>
          </c:val>
        </c:ser>
        <c:ser>
          <c:idx val="1"/>
          <c:order val="1"/>
          <c:tx>
            <c:strRef>
              <c:f>'graphes ar'!$A$14</c:f>
              <c:strCache>
                <c:ptCount val="1"/>
                <c:pt idx="0">
                  <c:v>التطور السابق</c:v>
                </c:pt>
              </c:strCache>
            </c:strRef>
          </c:tx>
          <c:cat>
            <c:strRef>
              <c:f>'graphes ar'!$B$7:$Y$7</c:f>
              <c:strCache>
                <c:ptCount val="2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</c:strCache>
            </c:strRef>
          </c:cat>
          <c:val>
            <c:numRef>
              <c:f>'graphes ar'!$B$14:$Y$14</c:f>
              <c:numCache>
                <c:formatCode>#,##0.0</c:formatCode>
                <c:ptCount val="24"/>
                <c:pt idx="0">
                  <c:v>-11.760493904860514</c:v>
                </c:pt>
                <c:pt idx="1">
                  <c:v>-11.376439540974227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-18.438210074457288</c:v>
                </c:pt>
                <c:pt idx="5">
                  <c:v>-13.353492384896798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-9.8004349690184451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-21.891965579068568</c:v>
                </c:pt>
                <c:pt idx="23">
                  <c:v>-21.870867995539985</c:v>
                </c:pt>
              </c:numCache>
            </c:numRef>
          </c:val>
        </c:ser>
        <c:ser>
          <c:idx val="2"/>
          <c:order val="2"/>
          <c:tx>
            <c:strRef>
              <c:f>'graphes ar'!$A$15</c:f>
              <c:strCache>
                <c:ptCount val="1"/>
                <c:pt idx="0">
                  <c:v>التطور المرتقب </c:v>
                </c:pt>
              </c:strCache>
            </c:strRef>
          </c:tx>
          <c:cat>
            <c:strRef>
              <c:f>'graphes ar'!$B$7:$Y$7</c:f>
              <c:strCache>
                <c:ptCount val="2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</c:strCache>
            </c:strRef>
          </c:cat>
          <c:val>
            <c:numRef>
              <c:f>'graphes ar'!$B$15:$Y$15</c:f>
              <c:numCache>
                <c:formatCode>#,##0.0</c:formatCode>
                <c:ptCount val="24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26.705941849103112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17.532817766676569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11.776375704730448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11.230833640450298</c:v>
                </c:pt>
                <c:pt idx="17">
                  <c:v>11.136340416980383</c:v>
                </c:pt>
                <c:pt idx="18">
                  <c:v>7.665845159401278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-1.7003971659207242</c:v>
                </c:pt>
              </c:numCache>
            </c:numRef>
          </c:val>
        </c:ser>
        <c:marker val="1"/>
        <c:axId val="108137856"/>
        <c:axId val="108147840"/>
      </c:lineChart>
      <c:catAx>
        <c:axId val="1081378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08147840"/>
        <c:crosses val="autoZero"/>
        <c:auto val="1"/>
        <c:lblAlgn val="ctr"/>
        <c:lblOffset val="100"/>
      </c:catAx>
      <c:valAx>
        <c:axId val="108147840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108137856"/>
        <c:crosses val="autoZero"/>
        <c:crossBetween val="between"/>
      </c:valAx>
    </c:plotArea>
    <c:legend>
      <c:legendPos val="b"/>
      <c:txPr>
        <a:bodyPr/>
        <a:lstStyle/>
        <a:p>
          <a:pPr>
            <a:defRPr sz="900"/>
          </a:pPr>
          <a:endParaRPr lang="fr-FR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التطور السابق لأثمنة المواد الغذائية</a:t>
            </a:r>
            <a:endParaRPr lang="fr-FR" sz="1400"/>
          </a:p>
          <a:p>
            <a:pPr algn="ctr">
              <a:defRPr sz="1400"/>
            </a:pPr>
            <a:r>
              <a:rPr lang="ar-MA" sz="1400" b="1" i="0" baseline="0"/>
              <a:t>(ب %) 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2176706107326533E-2"/>
          <c:y val="0.19360986335102603"/>
          <c:w val="0.89564658778534656"/>
          <c:h val="0.61295913240006539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ar'!$Q$91</c:f>
              <c:strCache>
                <c:ptCount val="1"/>
                <c:pt idx="0">
                  <c:v>ارتفاع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fr-FR"/>
              </a:p>
            </c:txPr>
            <c:showVal val="1"/>
          </c:dLbls>
          <c:cat>
            <c:strRef>
              <c:f>'graphes ar'!$R$87:$T$87</c:f>
              <c:strCache>
                <c:ptCount val="3"/>
                <c:pt idx="0">
                  <c:v>T4/12</c:v>
                </c:pt>
                <c:pt idx="1">
                  <c:v>T3/13</c:v>
                </c:pt>
                <c:pt idx="2">
                  <c:v>T4/13</c:v>
                </c:pt>
              </c:strCache>
            </c:strRef>
          </c:cat>
          <c:val>
            <c:numRef>
              <c:f>'graphes ar'!$R$91:$T$91</c:f>
              <c:numCache>
                <c:formatCode>#,##0.0%</c:formatCode>
                <c:ptCount val="3"/>
                <c:pt idx="0">
                  <c:v>0.91822759954692856</c:v>
                </c:pt>
                <c:pt idx="1">
                  <c:v>0.91438433149499432</c:v>
                </c:pt>
                <c:pt idx="2">
                  <c:v>0.91900352935980567</c:v>
                </c:pt>
              </c:numCache>
            </c:numRef>
          </c:val>
        </c:ser>
        <c:ser>
          <c:idx val="1"/>
          <c:order val="1"/>
          <c:tx>
            <c:strRef>
              <c:f>'graphes ar'!$Q$92</c:f>
              <c:strCache>
                <c:ptCount val="1"/>
                <c:pt idx="0">
                  <c:v>استقرار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T4/12</c:v>
                </c:pt>
                <c:pt idx="1">
                  <c:v>T3/13</c:v>
                </c:pt>
                <c:pt idx="2">
                  <c:v>T4/13</c:v>
                </c:pt>
              </c:strCache>
            </c:strRef>
          </c:cat>
          <c:val>
            <c:numRef>
              <c:f>'graphes ar'!$R$92:$T$92</c:f>
              <c:numCache>
                <c:formatCode>#,##0.0%</c:formatCode>
                <c:ptCount val="3"/>
                <c:pt idx="0">
                  <c:v>6.9567536305170832E-2</c:v>
                </c:pt>
                <c:pt idx="1">
                  <c:v>7.6999999999999999E-2</c:v>
                </c:pt>
                <c:pt idx="2">
                  <c:v>7.0416966997420449E-2</c:v>
                </c:pt>
              </c:numCache>
            </c:numRef>
          </c:val>
        </c:ser>
        <c:ser>
          <c:idx val="2"/>
          <c:order val="2"/>
          <c:tx>
            <c:strRef>
              <c:f>'graphes ar'!$Q$93</c:f>
              <c:strCache>
                <c:ptCount val="1"/>
                <c:pt idx="0">
                  <c:v>انخفاض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T4/12</c:v>
                </c:pt>
                <c:pt idx="1">
                  <c:v>T3/13</c:v>
                </c:pt>
                <c:pt idx="2">
                  <c:v>T4/13</c:v>
                </c:pt>
              </c:strCache>
            </c:strRef>
          </c:cat>
          <c:val>
            <c:numRef>
              <c:f>'graphes ar'!$R$93:$T$93</c:f>
              <c:numCache>
                <c:formatCode>#,##0.0%</c:formatCode>
                <c:ptCount val="3"/>
                <c:pt idx="0">
                  <c:v>1.2204864147900313E-2</c:v>
                </c:pt>
                <c:pt idx="1">
                  <c:v>9.3045185762115797E-3</c:v>
                </c:pt>
                <c:pt idx="2">
                  <c:v>1.0579503642774421E-2</c:v>
                </c:pt>
              </c:numCache>
            </c:numRef>
          </c:val>
        </c:ser>
        <c:gapWidth val="75"/>
        <c:overlap val="-25"/>
        <c:axId val="108226816"/>
        <c:axId val="108244992"/>
      </c:barChart>
      <c:catAx>
        <c:axId val="108226816"/>
        <c:scaling>
          <c:orientation val="minMax"/>
        </c:scaling>
        <c:axPos val="b"/>
        <c:majorTickMark val="none"/>
        <c:tickLblPos val="nextTo"/>
        <c:crossAx val="108244992"/>
        <c:crosses val="autoZero"/>
        <c:auto val="1"/>
        <c:lblAlgn val="ctr"/>
        <c:lblOffset val="100"/>
      </c:catAx>
      <c:valAx>
        <c:axId val="108244992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10822681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التطور المستقبلي لأثمنة المواد الغذائية</a:t>
            </a:r>
            <a:r>
              <a:rPr lang="fr-FR" sz="1400" b="1" i="0" baseline="0"/>
              <a:t> </a:t>
            </a:r>
            <a:r>
              <a:rPr lang="ar-MA" sz="1400" b="1" i="0" baseline="0"/>
              <a:t>(ب %) </a:t>
            </a:r>
            <a:endParaRPr lang="fr-FR" sz="1400" b="1" i="0" baseline="0"/>
          </a:p>
          <a:p>
            <a:pPr algn="ctr">
              <a:defRPr sz="1400"/>
            </a:pPr>
            <a:r>
              <a:rPr lang="ar-MA" sz="1400" b="1" i="0" baseline="0"/>
              <a:t> </a:t>
            </a:r>
            <a:endParaRPr lang="fr-FR" sz="1400"/>
          </a:p>
        </c:rich>
      </c:tx>
      <c:layout>
        <c:manualLayout>
          <c:xMode val="edge"/>
          <c:yMode val="edge"/>
          <c:x val="0.1527073391807707"/>
          <c:y val="2.0784316078714404E-2"/>
        </c:manualLayout>
      </c:layout>
    </c:title>
    <c:plotArea>
      <c:layout>
        <c:manualLayout>
          <c:layoutTarget val="inner"/>
          <c:xMode val="edge"/>
          <c:yMode val="edge"/>
          <c:x val="4.5414834669096134E-2"/>
          <c:y val="0.1870863044774283"/>
          <c:w val="0.92314412594460649"/>
          <c:h val="0.61988649648882721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ar'!$Q$88</c:f>
              <c:strCache>
                <c:ptCount val="1"/>
                <c:pt idx="0">
                  <c:v>ارتفاع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fr-FR"/>
              </a:p>
            </c:txPr>
            <c:showVal val="1"/>
          </c:dLbls>
          <c:cat>
            <c:strRef>
              <c:f>'graphes ar'!$R$87:$T$87</c:f>
              <c:strCache>
                <c:ptCount val="3"/>
                <c:pt idx="0">
                  <c:v>T4/12</c:v>
                </c:pt>
                <c:pt idx="1">
                  <c:v>T3/13</c:v>
                </c:pt>
                <c:pt idx="2">
                  <c:v>T4/13</c:v>
                </c:pt>
              </c:strCache>
            </c:strRef>
          </c:cat>
          <c:val>
            <c:numRef>
              <c:f>'graphes ar'!$R$88:$T$88</c:f>
              <c:numCache>
                <c:formatCode>#,##0.0%</c:formatCode>
                <c:ptCount val="3"/>
                <c:pt idx="0">
                  <c:v>0.72106883431187496</c:v>
                </c:pt>
                <c:pt idx="1">
                  <c:v>0.76683781813050311</c:v>
                </c:pt>
                <c:pt idx="2">
                  <c:v>0.77030286543735127</c:v>
                </c:pt>
              </c:numCache>
            </c:numRef>
          </c:val>
        </c:ser>
        <c:ser>
          <c:idx val="1"/>
          <c:order val="1"/>
          <c:tx>
            <c:strRef>
              <c:f>'graphes ar'!$Q$89</c:f>
              <c:strCache>
                <c:ptCount val="1"/>
                <c:pt idx="0">
                  <c:v>استقرار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T4/12</c:v>
                </c:pt>
                <c:pt idx="1">
                  <c:v>T3/13</c:v>
                </c:pt>
                <c:pt idx="2">
                  <c:v>T4/13</c:v>
                </c:pt>
              </c:strCache>
            </c:strRef>
          </c:cat>
          <c:val>
            <c:numRef>
              <c:f>'graphes ar'!$R$89:$T$89</c:f>
              <c:numCache>
                <c:formatCode>#,##0.0%</c:formatCode>
                <c:ptCount val="3"/>
                <c:pt idx="0">
                  <c:v>0.25835931383151728</c:v>
                </c:pt>
                <c:pt idx="1">
                  <c:v>0.22639892300025333</c:v>
                </c:pt>
                <c:pt idx="2">
                  <c:v>0.21987982755154489</c:v>
                </c:pt>
              </c:numCache>
            </c:numRef>
          </c:val>
        </c:ser>
        <c:ser>
          <c:idx val="2"/>
          <c:order val="2"/>
          <c:tx>
            <c:strRef>
              <c:f>'graphes ar'!$Q$90</c:f>
              <c:strCache>
                <c:ptCount val="1"/>
                <c:pt idx="0">
                  <c:v>انخفاض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T4/12</c:v>
                </c:pt>
                <c:pt idx="1">
                  <c:v>T3/13</c:v>
                </c:pt>
                <c:pt idx="2">
                  <c:v>T4/13</c:v>
                </c:pt>
              </c:strCache>
            </c:strRef>
          </c:cat>
          <c:val>
            <c:numRef>
              <c:f>'graphes ar'!$R$90:$T$90</c:f>
              <c:numCache>
                <c:formatCode>#,##0.0%</c:formatCode>
                <c:ptCount val="3"/>
                <c:pt idx="0">
                  <c:v>2.0571851856611895E-2</c:v>
                </c:pt>
                <c:pt idx="1">
                  <c:v>6.7632588692425931E-3</c:v>
                </c:pt>
                <c:pt idx="2">
                  <c:v>9.8173070111037767E-3</c:v>
                </c:pt>
              </c:numCache>
            </c:numRef>
          </c:val>
        </c:ser>
        <c:gapWidth val="75"/>
        <c:overlap val="-25"/>
        <c:axId val="108267776"/>
        <c:axId val="108281856"/>
      </c:barChart>
      <c:catAx>
        <c:axId val="108267776"/>
        <c:scaling>
          <c:orientation val="minMax"/>
        </c:scaling>
        <c:axPos val="b"/>
        <c:majorTickMark val="none"/>
        <c:tickLblPos val="nextTo"/>
        <c:crossAx val="108281856"/>
        <c:crosses val="autoZero"/>
        <c:auto val="1"/>
        <c:lblAlgn val="ctr"/>
        <c:lblOffset val="100"/>
      </c:catAx>
      <c:valAx>
        <c:axId val="108281856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10826777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2419-975B-4810-8457-E16585D0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1439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user</cp:lastModifiedBy>
  <cp:revision>2</cp:revision>
  <cp:lastPrinted>2014-02-06T16:11:00Z</cp:lastPrinted>
  <dcterms:created xsi:type="dcterms:W3CDTF">2014-02-07T20:06:00Z</dcterms:created>
  <dcterms:modified xsi:type="dcterms:W3CDTF">2014-02-07T20:06:00Z</dcterms:modified>
</cp:coreProperties>
</file>