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FB" w:rsidRDefault="00FB7F8D" w:rsidP="00CD7B4A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138430</wp:posOffset>
            </wp:positionH>
            <wp:positionV relativeFrom="page">
              <wp:posOffset>21590</wp:posOffset>
            </wp:positionV>
            <wp:extent cx="7429500" cy="9966325"/>
            <wp:effectExtent l="1905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96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CFB" w:rsidRDefault="00C64CFB" w:rsidP="00CD7B4A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E31158" w:rsidRDefault="00E31158" w:rsidP="00CD7B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B563D" w:rsidRDefault="00DB563D" w:rsidP="00CD7B4A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C64CFB" w:rsidRDefault="00C64CFB" w:rsidP="00CD7B4A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C64CFB" w:rsidRDefault="00C64CFB" w:rsidP="00CD7B4A">
      <w:pPr>
        <w:jc w:val="center"/>
        <w:rPr>
          <w:rFonts w:ascii="Arial" w:hAnsi="Arial" w:cs="Arial" w:hint="cs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4.5pt;width:468pt;height:567pt;z-index:251658240" filled="f" stroked="f">
            <v:textbox>
              <w:txbxContent>
                <w:p w:rsidR="009F7107" w:rsidRPr="00473BF7" w:rsidRDefault="009F7107" w:rsidP="00C64C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hadow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br w:type="page"/>
                  </w:r>
                  <w:r w:rsidRPr="00473BF7">
                    <w:rPr>
                      <w:rFonts w:ascii="Arial" w:hAnsi="Arial" w:cs="Arial"/>
                      <w:b/>
                      <w:bCs/>
                      <w:shadow/>
                      <w:sz w:val="28"/>
                      <w:szCs w:val="28"/>
                    </w:rPr>
                    <w:t>Note d’information relative aux résultats</w:t>
                  </w:r>
                  <w:r w:rsidRPr="00473BF7">
                    <w:rPr>
                      <w:rFonts w:ascii="Arial" w:hAnsi="Arial" w:cs="Arial" w:hint="cs"/>
                      <w:b/>
                      <w:bCs/>
                      <w:shadow/>
                      <w:sz w:val="28"/>
                      <w:szCs w:val="28"/>
                      <w:rtl/>
                    </w:rPr>
                    <w:t xml:space="preserve"> </w:t>
                  </w:r>
                  <w:r w:rsidRPr="00473BF7">
                    <w:rPr>
                      <w:rFonts w:ascii="Arial" w:hAnsi="Arial" w:cs="Arial"/>
                      <w:b/>
                      <w:bCs/>
                      <w:shadow/>
                      <w:sz w:val="28"/>
                      <w:szCs w:val="28"/>
                      <w:rtl/>
                    </w:rPr>
                    <w:br/>
                  </w:r>
                  <w:r w:rsidRPr="00473BF7">
                    <w:rPr>
                      <w:rFonts w:ascii="Arial" w:hAnsi="Arial" w:cs="Arial"/>
                      <w:b/>
                      <w:bCs/>
                      <w:shadow/>
                      <w:sz w:val="28"/>
                      <w:szCs w:val="28"/>
                    </w:rPr>
                    <w:t>des comptes du tourisme de 2012</w:t>
                  </w:r>
                </w:p>
                <w:p w:rsidR="009F7107" w:rsidRDefault="009F7107" w:rsidP="00C64CFB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F7107" w:rsidRPr="00ED3925" w:rsidRDefault="009F7107" w:rsidP="00C64CFB">
                  <w:pPr>
                    <w:jc w:val="center"/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</w:rPr>
                  </w:pPr>
                </w:p>
                <w:p w:rsidR="009F7107" w:rsidRDefault="009F7107" w:rsidP="00C64CFB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Arial" w:hAnsi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</w:rPr>
                    <w:t>Persistance de la baisse de la contribution du secteur  du  tourisme au PIB : de 7,3% en  2010 à 7,1%  en 2011 et 6,9%  en 2012 ;</w:t>
                  </w:r>
                </w:p>
                <w:p w:rsidR="009F7107" w:rsidRPr="001D66CB" w:rsidRDefault="009F7107" w:rsidP="00C64CFB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Arial" w:hAnsi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</w:rPr>
                    <w:t xml:space="preserve">Ralentissement de </w:t>
                  </w:r>
                  <w:r w:rsidRPr="00473F5D">
                    <w:rPr>
                      <w:rFonts w:ascii="Arial" w:hAnsi="Arial"/>
                      <w:b/>
                      <w:bCs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bCs/>
                      <w:sz w:val="24"/>
                    </w:rPr>
                    <w:t xml:space="preserve">’évolution de la </w:t>
                  </w:r>
                  <w:r w:rsidRPr="00473F5D">
                    <w:rPr>
                      <w:rFonts w:ascii="Arial" w:hAnsi="Arial"/>
                      <w:b/>
                      <w:bCs/>
                      <w:sz w:val="24"/>
                    </w:rPr>
                    <w:t xml:space="preserve"> consommation</w:t>
                  </w:r>
                  <w:r>
                    <w:rPr>
                      <w:rFonts w:ascii="Arial" w:hAnsi="Arial"/>
                      <w:b/>
                      <w:bCs/>
                      <w:sz w:val="24"/>
                    </w:rPr>
                    <w:t xml:space="preserve"> intérieure du </w:t>
                  </w:r>
                  <w:r w:rsidRPr="009E3BB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tourisme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 :</w:t>
                  </w:r>
                </w:p>
                <w:p w:rsidR="009F7107" w:rsidRPr="001D66CB" w:rsidRDefault="009F7107" w:rsidP="00C64CFB">
                  <w:pPr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Arial" w:hAnsi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Le tourisme </w:t>
                  </w:r>
                  <w:r w:rsidRPr="009E3BB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récepteur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 : de 4,5% en 2011 à 1,1% en 2012 ;</w:t>
                  </w:r>
                </w:p>
                <w:p w:rsidR="009F7107" w:rsidRPr="001D66CB" w:rsidRDefault="009F7107" w:rsidP="00C64CFB">
                  <w:pPr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Arial" w:hAnsi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le </w:t>
                  </w:r>
                  <w:r w:rsidRPr="00BC5ED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tourisme interne et émetteur : de 9,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Pr="00BC5ED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% en 2011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à </w:t>
                  </w:r>
                  <w:r w:rsidRPr="00BC5ED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7,9%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5ED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en 2012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9F7107" w:rsidRDefault="009F7107" w:rsidP="00C64CFB">
                  <w:pPr>
                    <w:spacing w:line="360" w:lineRule="auto"/>
                    <w:ind w:firstLine="708"/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9F7107" w:rsidRDefault="009F7107" w:rsidP="00C64CFB">
                  <w:pPr>
                    <w:spacing w:line="360" w:lineRule="auto"/>
                    <w:ind w:firstLine="708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L’arrêté des comptes du tourisme pour l’année 2012, fait ressortir des évolutions moins importantes </w:t>
                  </w:r>
                  <w:r>
                    <w:rPr>
                      <w:rFonts w:ascii="Arial" w:hAnsi="Arial"/>
                      <w:sz w:val="24"/>
                    </w:rPr>
                    <w:t xml:space="preserve">comparativement à l’année 2011.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La contribution du tourisme au produit intérieur brut (PIB) est en léger ralentissement sous l’effet d’</w:t>
                  </w:r>
                  <w:r w:rsidRPr="005D178E">
                    <w:rPr>
                      <w:rFonts w:ascii="Arial" w:hAnsi="Arial"/>
                      <w:sz w:val="24"/>
                    </w:rPr>
                    <w:t>une conjoncture mondiale difficile</w:t>
                  </w:r>
                  <w:r>
                    <w:rPr>
                      <w:rFonts w:ascii="Arial" w:hAnsi="Arial"/>
                      <w:sz w:val="24"/>
                    </w:rPr>
                    <w:t xml:space="preserve"> dans l</w:t>
                  </w:r>
                  <w:r w:rsidRPr="005D178E">
                    <w:rPr>
                      <w:rFonts w:ascii="Arial" w:hAnsi="Arial"/>
                      <w:sz w:val="24"/>
                    </w:rPr>
                    <w:t>es principaux marchés</w:t>
                  </w:r>
                  <w:r>
                    <w:rPr>
                      <w:rFonts w:ascii="Arial" w:hAnsi="Arial"/>
                      <w:sz w:val="24"/>
                    </w:rPr>
                    <w:t>,</w:t>
                  </w:r>
                  <w:r w:rsidRPr="005D178E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traditionnels, </w:t>
                  </w:r>
                  <w:r w:rsidRPr="005D178E">
                    <w:rPr>
                      <w:rFonts w:ascii="Arial" w:hAnsi="Arial"/>
                      <w:sz w:val="24"/>
                    </w:rPr>
                    <w:t>émetteurs de touristes à destination du Maroc</w:t>
                  </w:r>
                  <w:r>
                    <w:rPr>
                      <w:rFonts w:ascii="Arial" w:hAnsi="Arial"/>
                      <w:sz w:val="24"/>
                    </w:rPr>
                    <w:t>.</w:t>
                  </w:r>
                </w:p>
                <w:p w:rsidR="009F7107" w:rsidRDefault="009F7107" w:rsidP="00C64CFB">
                  <w:pPr>
                    <w:pStyle w:val="Notedebasdepage"/>
                    <w:spacing w:before="120" w:line="360" w:lineRule="auto"/>
                    <w:ind w:firstLine="708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C’est ainsi que l</w:t>
                  </w:r>
                  <w:r w:rsidRPr="008359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 consommation intérieure du </w:t>
                  </w:r>
                  <w:r w:rsidRPr="009E3BB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tourisme récepteur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8359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touristes non résidents  étrangers et MRE en visite au Maroc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8359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 progressé de 1,1% en 2012, après avoir cru  de 4,5%  en 2011, pour atteindre  69,5 milliards</w:t>
                  </w:r>
                  <w:r w:rsidRPr="006A5599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 dirhams.</w:t>
                  </w:r>
                </w:p>
                <w:p w:rsidR="009F7107" w:rsidRDefault="009F7107" w:rsidP="00EA1FED">
                  <w:pPr>
                    <w:spacing w:before="120" w:line="360" w:lineRule="auto"/>
                    <w:ind w:firstLine="709"/>
                    <w:jc w:val="both"/>
                    <w:rPr>
                      <w:rFonts w:ascii="Arial" w:hAnsi="Arial" w:hint="cs"/>
                      <w:sz w:val="24"/>
                      <w:rtl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De son côté, la</w:t>
                  </w:r>
                  <w:r w:rsidRPr="008359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consommation du </w:t>
                  </w:r>
                  <w:r w:rsidRPr="009E3BB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tourisme interne et émetteur</w:t>
                  </w:r>
                  <w:r w:rsidRPr="009E3BBC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a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enregistré une hausse de 7,9%, se situant ainsi  à  28,1</w:t>
                  </w:r>
                  <w:r w:rsidRPr="00D64E35">
                    <w:rPr>
                      <w:rFonts w:ascii="Arial" w:hAnsi="Arial"/>
                      <w:sz w:val="24"/>
                    </w:rPr>
                    <w:t xml:space="preserve"> milliards de </w:t>
                  </w:r>
                  <w:r>
                    <w:rPr>
                      <w:rFonts w:ascii="Arial" w:hAnsi="Arial"/>
                      <w:sz w:val="24"/>
                    </w:rPr>
                    <w:t>dirhams</w:t>
                  </w:r>
                  <w:r w:rsidRPr="00D64E35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</w:t>
                  </w:r>
                  <w:r w:rsidRPr="00D64E35">
                    <w:rPr>
                      <w:rFonts w:ascii="Arial" w:hAnsi="Arial"/>
                      <w:sz w:val="24"/>
                    </w:rPr>
                    <w:t>n 20</w:t>
                  </w:r>
                  <w:r>
                    <w:rPr>
                      <w:rFonts w:ascii="Arial" w:hAnsi="Arial"/>
                      <w:sz w:val="24"/>
                    </w:rPr>
                    <w:t>12, après une hausse  de 9,2% en 2011.</w:t>
                  </w:r>
                </w:p>
                <w:p w:rsidR="009F7107" w:rsidRPr="000B3C33" w:rsidRDefault="009F7107" w:rsidP="00EA1FED">
                  <w:pPr>
                    <w:spacing w:before="120" w:line="360" w:lineRule="auto"/>
                    <w:ind w:firstLine="709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Au total, </w:t>
                  </w:r>
                  <w:r w:rsidRPr="00492D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la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B563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consommation intérieure du tourisme</w:t>
                  </w:r>
                  <w:r w:rsidRPr="009E3BB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52A4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est passée de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94,8 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milliards en 20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à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97,7 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milliards de dirhams en 20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réalisant ainsi une augmentation en valeur  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  <w:r w:rsidRPr="00882D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%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au lieu de 5,7% en 2011.</w:t>
                  </w:r>
                </w:p>
              </w:txbxContent>
            </v:textbox>
            <w10:wrap type="square"/>
          </v:shape>
        </w:pict>
      </w:r>
    </w:p>
    <w:p w:rsidR="00E31158" w:rsidRDefault="00E31158" w:rsidP="00CD7B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6480" w:rsidRDefault="002E6480" w:rsidP="00CD7B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6480" w:rsidRDefault="002E6480" w:rsidP="00CD7B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B7071" w:rsidRDefault="002B7071" w:rsidP="00CD7B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5762" w:rsidRDefault="0071671A" w:rsidP="00BE453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55762">
        <w:rPr>
          <w:rFonts w:ascii="Arial" w:hAnsi="Arial" w:cs="Arial"/>
          <w:color w:val="000000"/>
          <w:sz w:val="24"/>
          <w:szCs w:val="24"/>
        </w:rPr>
        <w:t>Dans cette consommation, la part</w:t>
      </w:r>
      <w:r w:rsidR="00355762" w:rsidRPr="00355762">
        <w:rPr>
          <w:rFonts w:ascii="Arial" w:hAnsi="Arial"/>
          <w:sz w:val="24"/>
        </w:rPr>
        <w:t xml:space="preserve"> </w:t>
      </w:r>
      <w:r w:rsidR="00355762">
        <w:rPr>
          <w:rFonts w:ascii="Arial" w:hAnsi="Arial"/>
          <w:sz w:val="24"/>
        </w:rPr>
        <w:t xml:space="preserve">du tourisme récepteur a  perdu </w:t>
      </w:r>
      <w:r w:rsidR="00654C42">
        <w:rPr>
          <w:rFonts w:ascii="Arial" w:hAnsi="Arial"/>
          <w:sz w:val="24"/>
        </w:rPr>
        <w:t>1,3 point passant</w:t>
      </w:r>
      <w:r w:rsidR="00492D6F">
        <w:rPr>
          <w:rFonts w:ascii="Arial" w:hAnsi="Arial"/>
          <w:sz w:val="24"/>
        </w:rPr>
        <w:t xml:space="preserve"> </w:t>
      </w:r>
      <w:r w:rsidR="00654C42">
        <w:rPr>
          <w:rFonts w:ascii="Arial" w:hAnsi="Arial"/>
          <w:sz w:val="24"/>
        </w:rPr>
        <w:t xml:space="preserve"> de 72,5% en 2011 à 71,2% en </w:t>
      </w:r>
      <w:r w:rsidR="00D02974">
        <w:rPr>
          <w:rFonts w:ascii="Arial" w:hAnsi="Arial"/>
          <w:sz w:val="24"/>
        </w:rPr>
        <w:t>2012</w:t>
      </w:r>
      <w:r w:rsidR="007A52A4">
        <w:rPr>
          <w:rFonts w:ascii="Arial" w:hAnsi="Arial"/>
          <w:sz w:val="24"/>
        </w:rPr>
        <w:t>.</w:t>
      </w:r>
      <w:r w:rsidR="00BE453A">
        <w:rPr>
          <w:rFonts w:ascii="Arial" w:hAnsi="Arial"/>
          <w:sz w:val="24"/>
        </w:rPr>
        <w:t xml:space="preserve"> En revanche, c</w:t>
      </w:r>
      <w:r w:rsidR="004B54E0">
        <w:rPr>
          <w:rFonts w:ascii="Arial" w:hAnsi="Arial"/>
          <w:sz w:val="24"/>
        </w:rPr>
        <w:t xml:space="preserve">elle </w:t>
      </w:r>
      <w:r w:rsidR="00654C42">
        <w:rPr>
          <w:rFonts w:ascii="Arial" w:hAnsi="Arial"/>
          <w:sz w:val="24"/>
        </w:rPr>
        <w:t xml:space="preserve"> du tourisme interne et émetteur </w:t>
      </w:r>
      <w:r w:rsidR="00BE453A">
        <w:rPr>
          <w:rFonts w:ascii="Arial" w:hAnsi="Arial"/>
          <w:sz w:val="24"/>
        </w:rPr>
        <w:t>est passée</w:t>
      </w:r>
      <w:r w:rsidR="00BE453A" w:rsidRPr="00BE453A">
        <w:rPr>
          <w:rFonts w:ascii="Arial" w:hAnsi="Arial"/>
          <w:sz w:val="24"/>
        </w:rPr>
        <w:t xml:space="preserve"> </w:t>
      </w:r>
      <w:r w:rsidR="00BE453A">
        <w:rPr>
          <w:rFonts w:ascii="Arial" w:hAnsi="Arial"/>
          <w:sz w:val="24"/>
        </w:rPr>
        <w:t xml:space="preserve">de 27,5% en 2011 à </w:t>
      </w:r>
      <w:r w:rsidR="004B54E0">
        <w:rPr>
          <w:rFonts w:ascii="Arial" w:hAnsi="Arial"/>
          <w:sz w:val="24"/>
        </w:rPr>
        <w:t xml:space="preserve"> 28,8% en 2012</w:t>
      </w:r>
      <w:r w:rsidR="00F44BB7">
        <w:rPr>
          <w:rFonts w:ascii="Arial" w:hAnsi="Arial"/>
          <w:sz w:val="24"/>
        </w:rPr>
        <w:t>.</w:t>
      </w:r>
    </w:p>
    <w:p w:rsidR="00F559B2" w:rsidRDefault="00F559B2" w:rsidP="00F55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2A4" w:rsidRDefault="00DB563D" w:rsidP="00A63971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Dans ce contexte, le secteur du tourisme a dégagé une </w:t>
      </w:r>
      <w:r w:rsidR="00F559B2" w:rsidRPr="00D64E35">
        <w:rPr>
          <w:rFonts w:ascii="Arial" w:hAnsi="Arial"/>
          <w:sz w:val="24"/>
        </w:rPr>
        <w:t xml:space="preserve"> valeur  ajoutée </w:t>
      </w:r>
      <w:r w:rsidR="00BE453A">
        <w:rPr>
          <w:rFonts w:ascii="Arial" w:hAnsi="Arial"/>
          <w:sz w:val="24"/>
        </w:rPr>
        <w:t xml:space="preserve">de l’ordre  de </w:t>
      </w:r>
      <w:r w:rsidR="00BE453A" w:rsidRPr="00D64E35">
        <w:rPr>
          <w:rFonts w:ascii="Arial" w:hAnsi="Arial"/>
          <w:sz w:val="24"/>
        </w:rPr>
        <w:t>46,</w:t>
      </w:r>
      <w:r w:rsidR="00BE453A">
        <w:rPr>
          <w:rFonts w:ascii="Arial" w:hAnsi="Arial"/>
          <w:sz w:val="24"/>
        </w:rPr>
        <w:t xml:space="preserve">6 </w:t>
      </w:r>
      <w:r w:rsidR="00BE453A" w:rsidRPr="00D64E35">
        <w:rPr>
          <w:rFonts w:ascii="Arial" w:hAnsi="Arial"/>
          <w:sz w:val="24"/>
        </w:rPr>
        <w:t xml:space="preserve">milliards de </w:t>
      </w:r>
      <w:r w:rsidR="00BE453A">
        <w:rPr>
          <w:rFonts w:ascii="Arial" w:hAnsi="Arial"/>
          <w:sz w:val="24"/>
        </w:rPr>
        <w:t xml:space="preserve">dirhams </w:t>
      </w:r>
      <w:r w:rsidR="00901938">
        <w:rPr>
          <w:rFonts w:ascii="Arial" w:hAnsi="Arial"/>
          <w:sz w:val="24"/>
        </w:rPr>
        <w:t>en 2012</w:t>
      </w:r>
      <w:r w:rsidR="00237D57">
        <w:rPr>
          <w:rFonts w:ascii="Arial" w:hAnsi="Arial"/>
          <w:sz w:val="24"/>
        </w:rPr>
        <w:t>,</w:t>
      </w:r>
      <w:r w:rsidR="00A93948">
        <w:rPr>
          <w:rFonts w:ascii="Arial" w:hAnsi="Arial"/>
          <w:sz w:val="24"/>
        </w:rPr>
        <w:t xml:space="preserve"> en </w:t>
      </w:r>
      <w:r w:rsidR="00A62109">
        <w:rPr>
          <w:rFonts w:ascii="Arial" w:hAnsi="Arial"/>
          <w:sz w:val="24"/>
        </w:rPr>
        <w:t xml:space="preserve"> quasi</w:t>
      </w:r>
      <w:r w:rsidR="00237D57">
        <w:rPr>
          <w:rFonts w:ascii="Arial" w:hAnsi="Arial"/>
          <w:sz w:val="24"/>
        </w:rPr>
        <w:t>-</w:t>
      </w:r>
      <w:r w:rsidR="00A62109">
        <w:rPr>
          <w:rFonts w:ascii="Arial" w:hAnsi="Arial"/>
          <w:sz w:val="24"/>
        </w:rPr>
        <w:t xml:space="preserve"> stagnation</w:t>
      </w:r>
      <w:r w:rsidR="007B39E2">
        <w:rPr>
          <w:rFonts w:ascii="Arial" w:hAnsi="Arial"/>
          <w:sz w:val="24"/>
        </w:rPr>
        <w:t xml:space="preserve"> comparativement à l’année 2011</w:t>
      </w:r>
      <w:r w:rsidR="0012402F">
        <w:rPr>
          <w:rFonts w:ascii="Arial" w:hAnsi="Arial"/>
          <w:sz w:val="24"/>
        </w:rPr>
        <w:t>.</w:t>
      </w:r>
      <w:r w:rsidR="00F559B2">
        <w:rPr>
          <w:rFonts w:ascii="Arial" w:hAnsi="Arial"/>
          <w:sz w:val="24"/>
        </w:rPr>
        <w:t xml:space="preserve"> </w:t>
      </w:r>
      <w:r w:rsidR="00A60956">
        <w:rPr>
          <w:rFonts w:ascii="Arial" w:hAnsi="Arial"/>
          <w:sz w:val="24"/>
        </w:rPr>
        <w:t>Par ailleurs, l</w:t>
      </w:r>
      <w:r w:rsidR="00BE453A">
        <w:rPr>
          <w:rFonts w:ascii="Arial" w:hAnsi="Arial"/>
          <w:sz w:val="24"/>
        </w:rPr>
        <w:t>es impôts nets de subventions sur les produits touristiques se sont accrus de 3,6%.</w:t>
      </w:r>
    </w:p>
    <w:p w:rsidR="00A60956" w:rsidRDefault="00A60956" w:rsidP="00A60956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:rsidR="00F559B2" w:rsidRDefault="00A60956" w:rsidP="00BE453A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Ainsi</w:t>
      </w:r>
      <w:r w:rsidR="007A52A4">
        <w:rPr>
          <w:rFonts w:ascii="Arial" w:hAnsi="Arial"/>
          <w:sz w:val="24"/>
        </w:rPr>
        <w:t xml:space="preserve">, </w:t>
      </w:r>
      <w:r w:rsidR="00BE453A">
        <w:rPr>
          <w:rFonts w:ascii="Arial" w:hAnsi="Arial"/>
          <w:sz w:val="24"/>
        </w:rPr>
        <w:t>l</w:t>
      </w:r>
      <w:r w:rsidR="00BE453A" w:rsidRPr="00391AD9">
        <w:rPr>
          <w:rFonts w:ascii="Arial" w:hAnsi="Arial"/>
          <w:sz w:val="24"/>
        </w:rPr>
        <w:t xml:space="preserve">e PIB du tourisme </w:t>
      </w:r>
      <w:r w:rsidR="00BE453A">
        <w:rPr>
          <w:rFonts w:ascii="Arial" w:hAnsi="Arial"/>
          <w:sz w:val="24"/>
        </w:rPr>
        <w:t xml:space="preserve">s’est établi à </w:t>
      </w:r>
      <w:r w:rsidR="00BE453A" w:rsidRPr="00391AD9">
        <w:rPr>
          <w:rFonts w:ascii="Arial" w:hAnsi="Arial"/>
          <w:sz w:val="24"/>
        </w:rPr>
        <w:t xml:space="preserve"> 57 milliards de dirhams</w:t>
      </w:r>
      <w:r w:rsidR="00BE453A">
        <w:rPr>
          <w:rFonts w:ascii="Arial" w:hAnsi="Arial"/>
          <w:sz w:val="24"/>
        </w:rPr>
        <w:t xml:space="preserve"> en 2012, en légère augmentation par comparaison à 2011.  </w:t>
      </w:r>
      <w:r w:rsidR="007A52A4">
        <w:rPr>
          <w:rFonts w:ascii="Arial" w:hAnsi="Arial"/>
          <w:sz w:val="24"/>
        </w:rPr>
        <w:t xml:space="preserve">Par rapport au PIB, </w:t>
      </w:r>
      <w:r w:rsidR="00BE453A">
        <w:rPr>
          <w:rFonts w:ascii="Arial" w:hAnsi="Arial"/>
          <w:sz w:val="24"/>
        </w:rPr>
        <w:t>l</w:t>
      </w:r>
      <w:r w:rsidR="007A52A4">
        <w:rPr>
          <w:rFonts w:ascii="Arial" w:hAnsi="Arial"/>
          <w:sz w:val="24"/>
        </w:rPr>
        <w:t xml:space="preserve">a </w:t>
      </w:r>
      <w:r w:rsidR="00F559B2" w:rsidRPr="00D64E35">
        <w:rPr>
          <w:rFonts w:ascii="Arial" w:hAnsi="Arial"/>
          <w:sz w:val="24"/>
        </w:rPr>
        <w:t xml:space="preserve"> contribution</w:t>
      </w:r>
      <w:r w:rsidR="00BE453A">
        <w:rPr>
          <w:rFonts w:ascii="Arial" w:hAnsi="Arial"/>
          <w:sz w:val="24"/>
        </w:rPr>
        <w:t xml:space="preserve"> du secteur du tourisme </w:t>
      </w:r>
      <w:r w:rsidR="00F559B2" w:rsidRPr="00D64E35">
        <w:rPr>
          <w:rFonts w:ascii="Arial" w:hAnsi="Arial"/>
          <w:sz w:val="24"/>
        </w:rPr>
        <w:t xml:space="preserve"> </w:t>
      </w:r>
      <w:r w:rsidR="007A52A4">
        <w:rPr>
          <w:rFonts w:ascii="Arial" w:hAnsi="Arial"/>
          <w:sz w:val="24"/>
        </w:rPr>
        <w:t xml:space="preserve">est passée de 7,1% en 2011 </w:t>
      </w:r>
      <w:r w:rsidR="000E5859">
        <w:rPr>
          <w:rFonts w:ascii="Arial" w:hAnsi="Arial"/>
          <w:sz w:val="24"/>
        </w:rPr>
        <w:t>à</w:t>
      </w:r>
      <w:r w:rsidR="00F559B2" w:rsidRPr="00D64E35">
        <w:rPr>
          <w:rFonts w:ascii="Arial" w:hAnsi="Arial"/>
          <w:sz w:val="24"/>
        </w:rPr>
        <w:t xml:space="preserve"> </w:t>
      </w:r>
      <w:r w:rsidR="00901938">
        <w:rPr>
          <w:rFonts w:ascii="Arial" w:hAnsi="Arial"/>
          <w:sz w:val="24"/>
        </w:rPr>
        <w:t>6,9</w:t>
      </w:r>
      <w:r w:rsidR="000E5859">
        <w:rPr>
          <w:rFonts w:ascii="Arial" w:hAnsi="Arial"/>
          <w:sz w:val="24"/>
        </w:rPr>
        <w:t xml:space="preserve"> </w:t>
      </w:r>
      <w:r w:rsidR="00F559B2" w:rsidRPr="00D64E35">
        <w:rPr>
          <w:rFonts w:ascii="Arial" w:hAnsi="Arial"/>
          <w:sz w:val="24"/>
        </w:rPr>
        <w:t xml:space="preserve">% </w:t>
      </w:r>
      <w:r w:rsidR="00901938">
        <w:rPr>
          <w:rFonts w:ascii="Arial" w:hAnsi="Arial"/>
          <w:sz w:val="24"/>
        </w:rPr>
        <w:t xml:space="preserve"> en 2012</w:t>
      </w:r>
      <w:r w:rsidR="007A52A4">
        <w:rPr>
          <w:rFonts w:ascii="Arial" w:hAnsi="Arial"/>
          <w:sz w:val="24"/>
        </w:rPr>
        <w:t>.</w:t>
      </w:r>
    </w:p>
    <w:p w:rsidR="00DE5CEE" w:rsidRDefault="00DE5CEE" w:rsidP="00DE5CEE">
      <w:pPr>
        <w:pStyle w:val="Titre1"/>
        <w:rPr>
          <w:rFonts w:cs="Arial"/>
          <w:b/>
          <w:bCs/>
          <w:szCs w:val="24"/>
        </w:rPr>
      </w:pPr>
    </w:p>
    <w:p w:rsidR="00DE5CEE" w:rsidRPr="0076786A" w:rsidRDefault="00DE5CEE" w:rsidP="00C64CFB">
      <w:pPr>
        <w:pStyle w:val="Titre1"/>
        <w:spacing w:line="240" w:lineRule="auto"/>
        <w:rPr>
          <w:rFonts w:cs="Arial"/>
          <w:b/>
          <w:bCs/>
          <w:szCs w:val="24"/>
        </w:rPr>
      </w:pPr>
      <w:r w:rsidRPr="0076786A">
        <w:rPr>
          <w:rFonts w:cs="Arial"/>
          <w:b/>
          <w:bCs/>
          <w:szCs w:val="24"/>
        </w:rPr>
        <w:t>Consommation intérieure du tourisme</w:t>
      </w:r>
    </w:p>
    <w:p w:rsidR="00DE5CEE" w:rsidRPr="004D1450" w:rsidRDefault="00DE5CEE" w:rsidP="00C64CFB">
      <w:pPr>
        <w:spacing w:after="120"/>
        <w:ind w:left="722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4D1450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4D1450">
        <w:rPr>
          <w:rFonts w:ascii="Arial" w:hAnsi="Arial" w:cs="Arial"/>
          <w:i/>
          <w:iCs/>
          <w:sz w:val="22"/>
          <w:szCs w:val="22"/>
        </w:rPr>
        <w:t xml:space="preserve"> millions de</w:t>
      </w:r>
      <w:r w:rsidR="00C64CFB">
        <w:rPr>
          <w:rFonts w:ascii="Arial" w:hAnsi="Arial" w:cs="Arial" w:hint="cs"/>
          <w:i/>
          <w:iCs/>
          <w:sz w:val="22"/>
          <w:szCs w:val="22"/>
          <w:rtl/>
        </w:rPr>
        <w:t xml:space="preserve"> </w:t>
      </w:r>
      <w:r w:rsidRPr="004D1450">
        <w:rPr>
          <w:rFonts w:ascii="Arial" w:hAnsi="Arial" w:cs="Arial"/>
          <w:i/>
          <w:iCs/>
          <w:sz w:val="22"/>
          <w:szCs w:val="22"/>
        </w:rPr>
        <w:t>DH</w:t>
      </w:r>
    </w:p>
    <w:tbl>
      <w:tblPr>
        <w:tblW w:w="9423" w:type="dxa"/>
        <w:jc w:val="center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404"/>
        <w:gridCol w:w="1017"/>
        <w:gridCol w:w="1017"/>
        <w:gridCol w:w="1017"/>
        <w:gridCol w:w="1484"/>
        <w:gridCol w:w="1484"/>
      </w:tblGrid>
      <w:tr w:rsidR="00DE5CEE" w:rsidRPr="0076786A">
        <w:trPr>
          <w:trHeight w:val="420"/>
          <w:jc w:val="center"/>
        </w:trPr>
        <w:tc>
          <w:tcPr>
            <w:tcW w:w="3404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7F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Types de consommation touristique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E5CEE" w:rsidRPr="00D02974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29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E5CEE" w:rsidRPr="00D02974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29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E5CEE" w:rsidRPr="00D02974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29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968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E5CEE" w:rsidRPr="004D1450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D14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Variation en %</w:t>
            </w:r>
          </w:p>
        </w:tc>
      </w:tr>
      <w:tr w:rsidR="00DE5CEE" w:rsidRPr="0076786A">
        <w:trPr>
          <w:trHeight w:val="420"/>
          <w:jc w:val="center"/>
        </w:trPr>
        <w:tc>
          <w:tcPr>
            <w:tcW w:w="3404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4D1450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D14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2011/2010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4D1450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D14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2012/2011</w:t>
            </w:r>
          </w:p>
        </w:tc>
      </w:tr>
      <w:tr w:rsidR="00DE5CEE" w:rsidRPr="0076786A" w:rsidTr="00FB7F8D">
        <w:trPr>
          <w:jc w:val="center"/>
        </w:trPr>
        <w:tc>
          <w:tcPr>
            <w:tcW w:w="3404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FB7F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Consommation  intérieure du tourisme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89689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94836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97666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5,7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3,0</w:t>
            </w:r>
          </w:p>
        </w:tc>
      </w:tr>
      <w:tr w:rsidR="00DE5CEE" w:rsidRPr="0076786A" w:rsidTr="00FB7F8D">
        <w:trPr>
          <w:jc w:val="center"/>
        </w:trPr>
        <w:tc>
          <w:tcPr>
            <w:tcW w:w="3404" w:type="dxa"/>
            <w:vAlign w:val="center"/>
          </w:tcPr>
          <w:p w:rsidR="00DE5CEE" w:rsidRPr="0076786A" w:rsidRDefault="00DE5CEE" w:rsidP="00FB7F8D">
            <w:pPr>
              <w:ind w:left="708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- Tourisme récepteur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65801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68762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69545</w:t>
            </w:r>
          </w:p>
        </w:tc>
        <w:tc>
          <w:tcPr>
            <w:tcW w:w="1484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4,5</w:t>
            </w:r>
          </w:p>
        </w:tc>
        <w:tc>
          <w:tcPr>
            <w:tcW w:w="1484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1,1</w:t>
            </w:r>
          </w:p>
        </w:tc>
      </w:tr>
      <w:tr w:rsidR="00DE5CEE" w:rsidRPr="0076786A" w:rsidTr="00FB7F8D">
        <w:trPr>
          <w:jc w:val="center"/>
        </w:trPr>
        <w:tc>
          <w:tcPr>
            <w:tcW w:w="3404" w:type="dxa"/>
            <w:vAlign w:val="center"/>
          </w:tcPr>
          <w:p w:rsidR="00DE5CEE" w:rsidRPr="0076786A" w:rsidRDefault="00DE5CEE" w:rsidP="00FB7F8D">
            <w:pPr>
              <w:ind w:left="708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- Tourisme interne et émetteur</w:t>
            </w:r>
            <w:r w:rsidR="00237D57">
              <w:rPr>
                <w:rFonts w:ascii="Arial" w:eastAsia="Calibri" w:hAnsi="Arial" w:cs="Arial"/>
                <w:sz w:val="24"/>
                <w:szCs w:val="24"/>
              </w:rPr>
              <w:t>(*)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23888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26074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28121</w:t>
            </w:r>
          </w:p>
        </w:tc>
        <w:tc>
          <w:tcPr>
            <w:tcW w:w="1484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9,</w:t>
            </w:r>
            <w:r w:rsidR="00EF2D04">
              <w:rPr>
                <w:rFonts w:ascii="Arial" w:eastAsia="Calibri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484" w:type="dxa"/>
            <w:vAlign w:val="center"/>
          </w:tcPr>
          <w:p w:rsidR="00DE5CEE" w:rsidRPr="0076786A" w:rsidRDefault="00DE5CEE" w:rsidP="00FB7F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</w:tr>
    </w:tbl>
    <w:p w:rsidR="00B8752D" w:rsidRPr="0076786A" w:rsidRDefault="00B8752D" w:rsidP="00C64CF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8752D">
        <w:rPr>
          <w:rFonts w:cs="Arial"/>
          <w:b/>
          <w:bCs/>
          <w:sz w:val="24"/>
          <w:szCs w:val="24"/>
        </w:rPr>
        <w:t xml:space="preserve">(*) </w:t>
      </w:r>
      <w:r w:rsidRPr="001F0B86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/>
          <w:sz w:val="24"/>
        </w:rPr>
        <w:t xml:space="preserve">Il s’agit des </w:t>
      </w:r>
      <w:r w:rsidRPr="0083598B">
        <w:rPr>
          <w:rFonts w:ascii="Arial" w:hAnsi="Arial" w:cs="Arial"/>
          <w:color w:val="000000"/>
          <w:sz w:val="24"/>
          <w:szCs w:val="24"/>
        </w:rPr>
        <w:t xml:space="preserve">touristes résidents séjournant au Maroc en dehors de leur environnement habituel et </w:t>
      </w:r>
      <w:r>
        <w:rPr>
          <w:rFonts w:ascii="Arial" w:hAnsi="Arial" w:cs="Arial"/>
          <w:color w:val="000000"/>
          <w:sz w:val="24"/>
          <w:szCs w:val="24"/>
        </w:rPr>
        <w:t xml:space="preserve">des touristes </w:t>
      </w:r>
      <w:r w:rsidRPr="0083598B">
        <w:rPr>
          <w:rFonts w:ascii="Arial" w:hAnsi="Arial" w:cs="Arial"/>
          <w:color w:val="000000"/>
          <w:sz w:val="24"/>
          <w:szCs w:val="24"/>
        </w:rPr>
        <w:t>qui partent en voyage en dehors du Maroc pour qui les dépenses touristiques prises en compte sont celles réalisées au Maroc</w:t>
      </w:r>
      <w:r>
        <w:rPr>
          <w:rFonts w:ascii="Arial" w:hAnsi="Arial" w:cs="Arial"/>
          <w:sz w:val="24"/>
          <w:szCs w:val="24"/>
        </w:rPr>
        <w:t>.</w:t>
      </w:r>
    </w:p>
    <w:p w:rsidR="00237D57" w:rsidRDefault="00237D57" w:rsidP="00DE5CEE">
      <w:pPr>
        <w:pStyle w:val="Titre1"/>
        <w:rPr>
          <w:rFonts w:cs="Arial"/>
          <w:b/>
          <w:bCs/>
          <w:szCs w:val="24"/>
        </w:rPr>
      </w:pPr>
    </w:p>
    <w:p w:rsidR="00DE5CEE" w:rsidRPr="0076786A" w:rsidRDefault="00C64CFB" w:rsidP="00C64CFB">
      <w:pPr>
        <w:pStyle w:val="Titre1"/>
        <w:spacing w:after="24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DE5CEE" w:rsidRPr="0076786A">
        <w:rPr>
          <w:rFonts w:cs="Arial"/>
          <w:b/>
          <w:bCs/>
          <w:szCs w:val="24"/>
        </w:rPr>
        <w:t>Valeur ajoutée et PIB du tourisme</w:t>
      </w:r>
    </w:p>
    <w:tbl>
      <w:tblPr>
        <w:tblW w:w="889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017"/>
        <w:gridCol w:w="1017"/>
        <w:gridCol w:w="1017"/>
        <w:gridCol w:w="1484"/>
        <w:gridCol w:w="1484"/>
      </w:tblGrid>
      <w:tr w:rsidR="00DE5CEE" w:rsidRPr="0076786A">
        <w:trPr>
          <w:trHeight w:val="300"/>
          <w:jc w:val="center"/>
        </w:trPr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En millions de DH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9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Variation en %</w:t>
            </w:r>
          </w:p>
        </w:tc>
      </w:tr>
      <w:tr w:rsidR="00DE5CEE" w:rsidRPr="0076786A">
        <w:trPr>
          <w:trHeight w:val="260"/>
          <w:jc w:val="center"/>
        </w:trPr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2011/201</w:t>
            </w:r>
            <w:r w:rsidR="00F44B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2012/2011</w:t>
            </w:r>
          </w:p>
        </w:tc>
      </w:tr>
      <w:tr w:rsidR="00DE5CEE" w:rsidRPr="0076786A" w:rsidTr="00EA1FED">
        <w:trPr>
          <w:trHeight w:val="380"/>
          <w:jc w:val="center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5CEE" w:rsidRPr="0076786A" w:rsidRDefault="00DE5CEE" w:rsidP="00EA1F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Valeur ajoutée du tourisme (VAT)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46271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46610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46555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vAlign w:val="center"/>
          </w:tcPr>
          <w:p w:rsidR="00DE5CEE" w:rsidRPr="0076786A" w:rsidRDefault="00A62109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0,7</w:t>
            </w:r>
          </w:p>
        </w:tc>
        <w:tc>
          <w:tcPr>
            <w:tcW w:w="14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-0,1</w:t>
            </w:r>
          </w:p>
        </w:tc>
      </w:tr>
      <w:tr w:rsidR="00DE5CEE" w:rsidRPr="0076786A" w:rsidTr="00EA1FED">
        <w:trPr>
          <w:trHeight w:val="946"/>
          <w:jc w:val="center"/>
        </w:trPr>
        <w:tc>
          <w:tcPr>
            <w:tcW w:w="2880" w:type="dxa"/>
            <w:tcBorders>
              <w:left w:val="single" w:sz="18" w:space="0" w:color="auto"/>
            </w:tcBorders>
            <w:vAlign w:val="center"/>
          </w:tcPr>
          <w:p w:rsidR="00DE5CEE" w:rsidRPr="0076786A" w:rsidRDefault="00DE5CEE" w:rsidP="00EA1F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Impôts nets de subventions sur les produits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9649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10114</w:t>
            </w:r>
          </w:p>
        </w:tc>
        <w:tc>
          <w:tcPr>
            <w:tcW w:w="1017" w:type="dxa"/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10478</w:t>
            </w:r>
          </w:p>
        </w:tc>
        <w:tc>
          <w:tcPr>
            <w:tcW w:w="1484" w:type="dxa"/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4,8</w:t>
            </w:r>
          </w:p>
        </w:tc>
        <w:tc>
          <w:tcPr>
            <w:tcW w:w="1484" w:type="dxa"/>
            <w:tcBorders>
              <w:right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3,6</w:t>
            </w:r>
          </w:p>
        </w:tc>
      </w:tr>
      <w:tr w:rsidR="00DE5CEE" w:rsidRPr="0076786A" w:rsidTr="00EA1FED">
        <w:trPr>
          <w:trHeight w:val="701"/>
          <w:jc w:val="center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5CEE" w:rsidRPr="0076786A" w:rsidRDefault="00DE5CEE" w:rsidP="00EA1F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PIB du tourisme (PIBT)</w:t>
            </w: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55920</w:t>
            </w: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56724</w:t>
            </w: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57033</w:t>
            </w:r>
          </w:p>
        </w:tc>
        <w:tc>
          <w:tcPr>
            <w:tcW w:w="1484" w:type="dxa"/>
            <w:tcBorders>
              <w:bottom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1,3</w:t>
            </w:r>
          </w:p>
        </w:tc>
        <w:tc>
          <w:tcPr>
            <w:tcW w:w="14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</w:tbl>
    <w:p w:rsidR="00DE5CEE" w:rsidRDefault="00DE5CEE" w:rsidP="00C64CFB">
      <w:pPr>
        <w:spacing w:line="360" w:lineRule="auto"/>
        <w:jc w:val="center"/>
        <w:rPr>
          <w:rFonts w:ascii="Arial" w:hAnsi="Arial" w:cs="Arial" w:hint="cs"/>
          <w:sz w:val="24"/>
          <w:szCs w:val="24"/>
          <w:rtl/>
        </w:rPr>
      </w:pPr>
    </w:p>
    <w:p w:rsidR="00C64CFB" w:rsidRPr="0076786A" w:rsidRDefault="00C64CFB" w:rsidP="00C64CFB">
      <w:pPr>
        <w:spacing w:line="360" w:lineRule="auto"/>
        <w:jc w:val="center"/>
        <w:rPr>
          <w:rFonts w:ascii="Arial" w:hAnsi="Arial" w:cs="Arial" w:hint="cs"/>
          <w:sz w:val="24"/>
          <w:szCs w:val="24"/>
        </w:rPr>
      </w:pPr>
    </w:p>
    <w:p w:rsidR="00DE5CEE" w:rsidRPr="0076786A" w:rsidRDefault="00DE5CEE" w:rsidP="00DE5CEE">
      <w:pPr>
        <w:pStyle w:val="Titre1"/>
        <w:rPr>
          <w:rFonts w:cs="Arial"/>
          <w:b/>
          <w:bCs/>
          <w:szCs w:val="24"/>
        </w:rPr>
      </w:pPr>
      <w:r w:rsidRPr="0076786A">
        <w:rPr>
          <w:rFonts w:cs="Arial"/>
          <w:b/>
          <w:bCs/>
          <w:szCs w:val="24"/>
        </w:rPr>
        <w:t xml:space="preserve">  Part du tourisme dans le PIB</w:t>
      </w:r>
    </w:p>
    <w:tbl>
      <w:tblPr>
        <w:tblW w:w="8273" w:type="dxa"/>
        <w:jc w:val="center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9"/>
        <w:gridCol w:w="1081"/>
        <w:gridCol w:w="1081"/>
        <w:gridCol w:w="1082"/>
      </w:tblGrid>
      <w:tr w:rsidR="00C64CFB" w:rsidRPr="0076786A">
        <w:trPr>
          <w:trHeight w:val="411"/>
          <w:jc w:val="center"/>
        </w:trPr>
        <w:tc>
          <w:tcPr>
            <w:tcW w:w="50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En %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5CEE" w:rsidRPr="0076786A" w:rsidRDefault="00DE5CEE" w:rsidP="00C64CF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2012</w:t>
            </w:r>
          </w:p>
        </w:tc>
      </w:tr>
      <w:tr w:rsidR="00C64CFB" w:rsidRPr="0076786A" w:rsidTr="00EA1FED">
        <w:trPr>
          <w:trHeight w:val="690"/>
          <w:jc w:val="center"/>
        </w:trPr>
        <w:tc>
          <w:tcPr>
            <w:tcW w:w="5029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C64CF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Valeur ajoutée du tourisme/ valeur ajoutée de l’économie total</w:t>
            </w:r>
            <w:r w:rsidR="001F0B86"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6,3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:rsidR="00DE5CEE" w:rsidRPr="0076786A" w:rsidRDefault="00DE5CEE" w:rsidP="00EA1F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6,1</w:t>
            </w:r>
          </w:p>
        </w:tc>
      </w:tr>
      <w:tr w:rsidR="00DE5CEE" w:rsidRPr="0076786A" w:rsidTr="00EA1FED">
        <w:trPr>
          <w:trHeight w:val="690"/>
          <w:jc w:val="center"/>
        </w:trPr>
        <w:tc>
          <w:tcPr>
            <w:tcW w:w="5029" w:type="dxa"/>
            <w:vAlign w:val="center"/>
          </w:tcPr>
          <w:p w:rsidR="00DE5CEE" w:rsidRPr="0076786A" w:rsidRDefault="00DE5CEE" w:rsidP="00EA1F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Valeur ajoutée du tourisme /PIB</w:t>
            </w:r>
          </w:p>
        </w:tc>
        <w:tc>
          <w:tcPr>
            <w:tcW w:w="1081" w:type="dxa"/>
            <w:vAlign w:val="center"/>
          </w:tcPr>
          <w:p w:rsidR="00DE5CEE" w:rsidRPr="0076786A" w:rsidRDefault="00DE5CEE" w:rsidP="00EA1FED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6,1</w:t>
            </w:r>
          </w:p>
        </w:tc>
        <w:tc>
          <w:tcPr>
            <w:tcW w:w="1081" w:type="dxa"/>
            <w:vAlign w:val="center"/>
          </w:tcPr>
          <w:p w:rsidR="00DE5CEE" w:rsidRPr="0076786A" w:rsidRDefault="00DE5CEE" w:rsidP="00EA1FED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5,8</w:t>
            </w:r>
          </w:p>
        </w:tc>
        <w:tc>
          <w:tcPr>
            <w:tcW w:w="1082" w:type="dxa"/>
            <w:vAlign w:val="center"/>
          </w:tcPr>
          <w:p w:rsidR="00DE5CEE" w:rsidRPr="0076786A" w:rsidRDefault="00DE5CEE" w:rsidP="00EA1FED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</w:tr>
      <w:tr w:rsidR="00DE5CEE" w:rsidRPr="0076786A" w:rsidTr="00EA1FED">
        <w:trPr>
          <w:trHeight w:val="690"/>
          <w:jc w:val="center"/>
        </w:trPr>
        <w:tc>
          <w:tcPr>
            <w:tcW w:w="5029" w:type="dxa"/>
            <w:vAlign w:val="center"/>
          </w:tcPr>
          <w:p w:rsidR="00DE5CEE" w:rsidRPr="0076786A" w:rsidRDefault="00DE5CEE" w:rsidP="00EA1F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PIB du tourisme /PIB</w:t>
            </w:r>
          </w:p>
        </w:tc>
        <w:tc>
          <w:tcPr>
            <w:tcW w:w="1081" w:type="dxa"/>
            <w:vAlign w:val="center"/>
          </w:tcPr>
          <w:p w:rsidR="00DE5CEE" w:rsidRPr="0076786A" w:rsidRDefault="00DE5CEE" w:rsidP="00EA1FED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7,3</w:t>
            </w:r>
          </w:p>
        </w:tc>
        <w:tc>
          <w:tcPr>
            <w:tcW w:w="1081" w:type="dxa"/>
            <w:vAlign w:val="center"/>
          </w:tcPr>
          <w:p w:rsidR="00DE5CEE" w:rsidRPr="0076786A" w:rsidRDefault="00DE5CEE" w:rsidP="00EA1FED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7,1</w:t>
            </w:r>
          </w:p>
        </w:tc>
        <w:tc>
          <w:tcPr>
            <w:tcW w:w="1082" w:type="dxa"/>
            <w:vAlign w:val="center"/>
          </w:tcPr>
          <w:p w:rsidR="00DE5CEE" w:rsidRPr="0076786A" w:rsidRDefault="00DE5CEE" w:rsidP="00EA1FED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86A">
              <w:rPr>
                <w:rFonts w:ascii="Arial" w:eastAsia="Calibri" w:hAnsi="Arial" w:cs="Arial"/>
                <w:sz w:val="24"/>
                <w:szCs w:val="24"/>
              </w:rPr>
              <w:t>6,9</w:t>
            </w:r>
          </w:p>
        </w:tc>
      </w:tr>
    </w:tbl>
    <w:p w:rsidR="00DE5CEE" w:rsidRDefault="00DE5CEE" w:rsidP="00DE5CEE">
      <w:pPr>
        <w:pStyle w:val="Titre1"/>
        <w:rPr>
          <w:rFonts w:cs="Arial"/>
          <w:b/>
          <w:bCs/>
          <w:szCs w:val="24"/>
        </w:rPr>
      </w:pPr>
    </w:p>
    <w:p w:rsidR="00055720" w:rsidRDefault="00055720" w:rsidP="00CD7B4A">
      <w:pPr>
        <w:jc w:val="both"/>
        <w:rPr>
          <w:rFonts w:ascii="Arial" w:hAnsi="Arial" w:cs="Arial"/>
          <w:b/>
          <w:sz w:val="24"/>
          <w:szCs w:val="24"/>
        </w:rPr>
      </w:pPr>
    </w:p>
    <w:sectPr w:rsidR="00055720" w:rsidSect="00C64CFB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77" w:rsidRDefault="00A02577" w:rsidP="00A1511E">
      <w:r>
        <w:separator/>
      </w:r>
    </w:p>
  </w:endnote>
  <w:endnote w:type="continuationSeparator" w:id="0">
    <w:p w:rsidR="00A02577" w:rsidRDefault="00A02577" w:rsidP="00A1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07" w:rsidRDefault="009F7107" w:rsidP="00C64CF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F7107" w:rsidRDefault="009F7107" w:rsidP="00C64CF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07" w:rsidRDefault="009F7107" w:rsidP="00C64CF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73BF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F7107" w:rsidRDefault="009F7107" w:rsidP="00C64CFB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77" w:rsidRDefault="00A02577" w:rsidP="00A1511E">
      <w:r>
        <w:separator/>
      </w:r>
    </w:p>
  </w:footnote>
  <w:footnote w:type="continuationSeparator" w:id="0">
    <w:p w:rsidR="00A02577" w:rsidRDefault="00A02577" w:rsidP="00A15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DA2"/>
    <w:multiLevelType w:val="hybridMultilevel"/>
    <w:tmpl w:val="61D8FC76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6A3191"/>
    <w:multiLevelType w:val="hybridMultilevel"/>
    <w:tmpl w:val="77FC5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C12EEA"/>
    <w:multiLevelType w:val="hybridMultilevel"/>
    <w:tmpl w:val="F4AAB5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2D229C"/>
    <w:multiLevelType w:val="hybridMultilevel"/>
    <w:tmpl w:val="F2069AD4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511E"/>
    <w:rsid w:val="000110BB"/>
    <w:rsid w:val="00030908"/>
    <w:rsid w:val="0005194B"/>
    <w:rsid w:val="000540EB"/>
    <w:rsid w:val="00055720"/>
    <w:rsid w:val="0005655C"/>
    <w:rsid w:val="000720A3"/>
    <w:rsid w:val="00080039"/>
    <w:rsid w:val="00083662"/>
    <w:rsid w:val="000A1596"/>
    <w:rsid w:val="000C24E6"/>
    <w:rsid w:val="000C6E84"/>
    <w:rsid w:val="000E5859"/>
    <w:rsid w:val="000F7574"/>
    <w:rsid w:val="00111582"/>
    <w:rsid w:val="0012163C"/>
    <w:rsid w:val="00123220"/>
    <w:rsid w:val="0012402F"/>
    <w:rsid w:val="00136121"/>
    <w:rsid w:val="00136471"/>
    <w:rsid w:val="00137EAB"/>
    <w:rsid w:val="0014322D"/>
    <w:rsid w:val="00155C08"/>
    <w:rsid w:val="001604A7"/>
    <w:rsid w:val="00163F80"/>
    <w:rsid w:val="00165099"/>
    <w:rsid w:val="00177941"/>
    <w:rsid w:val="00184A80"/>
    <w:rsid w:val="00190601"/>
    <w:rsid w:val="001958B7"/>
    <w:rsid w:val="00197AD6"/>
    <w:rsid w:val="001A6BD5"/>
    <w:rsid w:val="001A7E45"/>
    <w:rsid w:val="001C16F9"/>
    <w:rsid w:val="001D57AD"/>
    <w:rsid w:val="001D66CB"/>
    <w:rsid w:val="001E0937"/>
    <w:rsid w:val="001E45ED"/>
    <w:rsid w:val="001E5EE0"/>
    <w:rsid w:val="001F0830"/>
    <w:rsid w:val="001F0B86"/>
    <w:rsid w:val="001F4A11"/>
    <w:rsid w:val="00202310"/>
    <w:rsid w:val="00204D7C"/>
    <w:rsid w:val="00220E8A"/>
    <w:rsid w:val="00220EA3"/>
    <w:rsid w:val="002213BD"/>
    <w:rsid w:val="00233B83"/>
    <w:rsid w:val="00237D57"/>
    <w:rsid w:val="00241122"/>
    <w:rsid w:val="002422BD"/>
    <w:rsid w:val="0024652A"/>
    <w:rsid w:val="00257F19"/>
    <w:rsid w:val="002628A6"/>
    <w:rsid w:val="00262F88"/>
    <w:rsid w:val="00270342"/>
    <w:rsid w:val="002714D1"/>
    <w:rsid w:val="00273C22"/>
    <w:rsid w:val="00273F40"/>
    <w:rsid w:val="00277078"/>
    <w:rsid w:val="00281809"/>
    <w:rsid w:val="00285AD6"/>
    <w:rsid w:val="002862AF"/>
    <w:rsid w:val="00294E8F"/>
    <w:rsid w:val="002A00EF"/>
    <w:rsid w:val="002B3BE0"/>
    <w:rsid w:val="002B7071"/>
    <w:rsid w:val="002C2E42"/>
    <w:rsid w:val="002C406B"/>
    <w:rsid w:val="002C53CB"/>
    <w:rsid w:val="002D0F7C"/>
    <w:rsid w:val="002D283E"/>
    <w:rsid w:val="002D4C17"/>
    <w:rsid w:val="002E6480"/>
    <w:rsid w:val="002F028F"/>
    <w:rsid w:val="00310AF9"/>
    <w:rsid w:val="00311D24"/>
    <w:rsid w:val="00314B1A"/>
    <w:rsid w:val="00335775"/>
    <w:rsid w:val="0034298A"/>
    <w:rsid w:val="00342C1A"/>
    <w:rsid w:val="00346DBA"/>
    <w:rsid w:val="00350C69"/>
    <w:rsid w:val="00355762"/>
    <w:rsid w:val="00355CFF"/>
    <w:rsid w:val="00362222"/>
    <w:rsid w:val="00363A57"/>
    <w:rsid w:val="00363CCA"/>
    <w:rsid w:val="00391AD9"/>
    <w:rsid w:val="003974D9"/>
    <w:rsid w:val="003A19CA"/>
    <w:rsid w:val="003B5E87"/>
    <w:rsid w:val="003D0D01"/>
    <w:rsid w:val="003D7DD1"/>
    <w:rsid w:val="003E1706"/>
    <w:rsid w:val="003E6943"/>
    <w:rsid w:val="003F0796"/>
    <w:rsid w:val="003F2902"/>
    <w:rsid w:val="0041102A"/>
    <w:rsid w:val="00411EF4"/>
    <w:rsid w:val="00423563"/>
    <w:rsid w:val="00425430"/>
    <w:rsid w:val="00431500"/>
    <w:rsid w:val="00434513"/>
    <w:rsid w:val="004455CC"/>
    <w:rsid w:val="00457DD6"/>
    <w:rsid w:val="00471DFC"/>
    <w:rsid w:val="00473BF7"/>
    <w:rsid w:val="00473F5D"/>
    <w:rsid w:val="004927F0"/>
    <w:rsid w:val="00492D6F"/>
    <w:rsid w:val="00496ECA"/>
    <w:rsid w:val="004A1731"/>
    <w:rsid w:val="004A2568"/>
    <w:rsid w:val="004A30EF"/>
    <w:rsid w:val="004A62DD"/>
    <w:rsid w:val="004B54E0"/>
    <w:rsid w:val="004C5CE4"/>
    <w:rsid w:val="004D02FB"/>
    <w:rsid w:val="004E3B33"/>
    <w:rsid w:val="004E3E91"/>
    <w:rsid w:val="004F4800"/>
    <w:rsid w:val="00500BB1"/>
    <w:rsid w:val="00501150"/>
    <w:rsid w:val="00503BCB"/>
    <w:rsid w:val="00511472"/>
    <w:rsid w:val="005240F2"/>
    <w:rsid w:val="00530CBC"/>
    <w:rsid w:val="00534193"/>
    <w:rsid w:val="00536ED3"/>
    <w:rsid w:val="00537EE6"/>
    <w:rsid w:val="005431A2"/>
    <w:rsid w:val="00597D38"/>
    <w:rsid w:val="005A228E"/>
    <w:rsid w:val="005B5E58"/>
    <w:rsid w:val="005B7670"/>
    <w:rsid w:val="005C1861"/>
    <w:rsid w:val="005C397B"/>
    <w:rsid w:val="005C5118"/>
    <w:rsid w:val="005D5933"/>
    <w:rsid w:val="005E0E78"/>
    <w:rsid w:val="005E452F"/>
    <w:rsid w:val="005F6345"/>
    <w:rsid w:val="0060380A"/>
    <w:rsid w:val="00611F18"/>
    <w:rsid w:val="00620CBF"/>
    <w:rsid w:val="00646A9E"/>
    <w:rsid w:val="0065013D"/>
    <w:rsid w:val="00654C42"/>
    <w:rsid w:val="00665DEF"/>
    <w:rsid w:val="00667438"/>
    <w:rsid w:val="00671E06"/>
    <w:rsid w:val="00672231"/>
    <w:rsid w:val="0067472A"/>
    <w:rsid w:val="00680D56"/>
    <w:rsid w:val="00686A23"/>
    <w:rsid w:val="006901CC"/>
    <w:rsid w:val="006933B0"/>
    <w:rsid w:val="006A018A"/>
    <w:rsid w:val="006A2D90"/>
    <w:rsid w:val="006A2D9B"/>
    <w:rsid w:val="006A30B0"/>
    <w:rsid w:val="006A3EEB"/>
    <w:rsid w:val="006B4FCF"/>
    <w:rsid w:val="006D46CD"/>
    <w:rsid w:val="006D6B36"/>
    <w:rsid w:val="006E014E"/>
    <w:rsid w:val="006E3047"/>
    <w:rsid w:val="00700B69"/>
    <w:rsid w:val="0071671A"/>
    <w:rsid w:val="00717D6D"/>
    <w:rsid w:val="00724117"/>
    <w:rsid w:val="0073396C"/>
    <w:rsid w:val="00741712"/>
    <w:rsid w:val="007543C2"/>
    <w:rsid w:val="0076375C"/>
    <w:rsid w:val="007720C0"/>
    <w:rsid w:val="0077451A"/>
    <w:rsid w:val="007936D1"/>
    <w:rsid w:val="0079390C"/>
    <w:rsid w:val="007A1C15"/>
    <w:rsid w:val="007A52A4"/>
    <w:rsid w:val="007B39E2"/>
    <w:rsid w:val="007C732A"/>
    <w:rsid w:val="007F7A09"/>
    <w:rsid w:val="008001C1"/>
    <w:rsid w:val="00806AE6"/>
    <w:rsid w:val="00812480"/>
    <w:rsid w:val="00813AE2"/>
    <w:rsid w:val="0081521E"/>
    <w:rsid w:val="00815400"/>
    <w:rsid w:val="0081768F"/>
    <w:rsid w:val="008231EE"/>
    <w:rsid w:val="00832EA0"/>
    <w:rsid w:val="0083598B"/>
    <w:rsid w:val="00845174"/>
    <w:rsid w:val="008467FA"/>
    <w:rsid w:val="0085477F"/>
    <w:rsid w:val="00861161"/>
    <w:rsid w:val="0086535D"/>
    <w:rsid w:val="00866816"/>
    <w:rsid w:val="0087551F"/>
    <w:rsid w:val="00881D49"/>
    <w:rsid w:val="008867AA"/>
    <w:rsid w:val="008A1454"/>
    <w:rsid w:val="008A2B24"/>
    <w:rsid w:val="008A6407"/>
    <w:rsid w:val="008B2401"/>
    <w:rsid w:val="008F7777"/>
    <w:rsid w:val="00901938"/>
    <w:rsid w:val="009061D4"/>
    <w:rsid w:val="00912D02"/>
    <w:rsid w:val="00915A0E"/>
    <w:rsid w:val="009203CE"/>
    <w:rsid w:val="009206A4"/>
    <w:rsid w:val="00925022"/>
    <w:rsid w:val="00952281"/>
    <w:rsid w:val="009537F3"/>
    <w:rsid w:val="00954514"/>
    <w:rsid w:val="00955EC6"/>
    <w:rsid w:val="00963B63"/>
    <w:rsid w:val="00970B7A"/>
    <w:rsid w:val="00984539"/>
    <w:rsid w:val="009915A7"/>
    <w:rsid w:val="00997798"/>
    <w:rsid w:val="009C725C"/>
    <w:rsid w:val="009C7D4D"/>
    <w:rsid w:val="009E3BBC"/>
    <w:rsid w:val="009F01B3"/>
    <w:rsid w:val="009F7107"/>
    <w:rsid w:val="00A02577"/>
    <w:rsid w:val="00A028AE"/>
    <w:rsid w:val="00A02AD6"/>
    <w:rsid w:val="00A03C5A"/>
    <w:rsid w:val="00A1511E"/>
    <w:rsid w:val="00A209F7"/>
    <w:rsid w:val="00A33FAF"/>
    <w:rsid w:val="00A36FAB"/>
    <w:rsid w:val="00A4032C"/>
    <w:rsid w:val="00A40532"/>
    <w:rsid w:val="00A471B4"/>
    <w:rsid w:val="00A60956"/>
    <w:rsid w:val="00A614DA"/>
    <w:rsid w:val="00A62109"/>
    <w:rsid w:val="00A625CB"/>
    <w:rsid w:val="00A63971"/>
    <w:rsid w:val="00A70D76"/>
    <w:rsid w:val="00A75075"/>
    <w:rsid w:val="00A9304F"/>
    <w:rsid w:val="00A93948"/>
    <w:rsid w:val="00AA053A"/>
    <w:rsid w:val="00AA1895"/>
    <w:rsid w:val="00AB102F"/>
    <w:rsid w:val="00AB1DE4"/>
    <w:rsid w:val="00AB704A"/>
    <w:rsid w:val="00AB788C"/>
    <w:rsid w:val="00AC1463"/>
    <w:rsid w:val="00AC1B00"/>
    <w:rsid w:val="00AE0F46"/>
    <w:rsid w:val="00AE2A11"/>
    <w:rsid w:val="00AE56F4"/>
    <w:rsid w:val="00AF1D58"/>
    <w:rsid w:val="00AF6EFA"/>
    <w:rsid w:val="00B07924"/>
    <w:rsid w:val="00B23F1D"/>
    <w:rsid w:val="00B2407E"/>
    <w:rsid w:val="00B44A67"/>
    <w:rsid w:val="00B4597E"/>
    <w:rsid w:val="00B52446"/>
    <w:rsid w:val="00B72369"/>
    <w:rsid w:val="00B8752D"/>
    <w:rsid w:val="00BA3724"/>
    <w:rsid w:val="00BB16FA"/>
    <w:rsid w:val="00BB3856"/>
    <w:rsid w:val="00BC5EDA"/>
    <w:rsid w:val="00BD72A2"/>
    <w:rsid w:val="00BD736C"/>
    <w:rsid w:val="00BE0DFC"/>
    <w:rsid w:val="00BE453A"/>
    <w:rsid w:val="00BF36EF"/>
    <w:rsid w:val="00BF4B6F"/>
    <w:rsid w:val="00BF6C58"/>
    <w:rsid w:val="00C036FF"/>
    <w:rsid w:val="00C04D1F"/>
    <w:rsid w:val="00C13B80"/>
    <w:rsid w:val="00C13EA0"/>
    <w:rsid w:val="00C1412B"/>
    <w:rsid w:val="00C17FAC"/>
    <w:rsid w:val="00C25ED6"/>
    <w:rsid w:val="00C37000"/>
    <w:rsid w:val="00C46429"/>
    <w:rsid w:val="00C507B2"/>
    <w:rsid w:val="00C612B0"/>
    <w:rsid w:val="00C64CFB"/>
    <w:rsid w:val="00C66461"/>
    <w:rsid w:val="00C73CEF"/>
    <w:rsid w:val="00C742B1"/>
    <w:rsid w:val="00C865CA"/>
    <w:rsid w:val="00CA1B2E"/>
    <w:rsid w:val="00CA6B44"/>
    <w:rsid w:val="00CA7091"/>
    <w:rsid w:val="00CB12DD"/>
    <w:rsid w:val="00CB4314"/>
    <w:rsid w:val="00CC489D"/>
    <w:rsid w:val="00CC7009"/>
    <w:rsid w:val="00CD7B4A"/>
    <w:rsid w:val="00D02974"/>
    <w:rsid w:val="00D05D3C"/>
    <w:rsid w:val="00D10261"/>
    <w:rsid w:val="00D11A76"/>
    <w:rsid w:val="00D15FFF"/>
    <w:rsid w:val="00D207A4"/>
    <w:rsid w:val="00D35D0D"/>
    <w:rsid w:val="00D45D8F"/>
    <w:rsid w:val="00D52C5E"/>
    <w:rsid w:val="00D5637E"/>
    <w:rsid w:val="00D64E35"/>
    <w:rsid w:val="00D7107F"/>
    <w:rsid w:val="00D969F5"/>
    <w:rsid w:val="00DA1161"/>
    <w:rsid w:val="00DB2B12"/>
    <w:rsid w:val="00DB563D"/>
    <w:rsid w:val="00DB73A1"/>
    <w:rsid w:val="00DC117D"/>
    <w:rsid w:val="00DD4FC0"/>
    <w:rsid w:val="00DE049C"/>
    <w:rsid w:val="00DE30CB"/>
    <w:rsid w:val="00DE4BC2"/>
    <w:rsid w:val="00DE5CEE"/>
    <w:rsid w:val="00DF2732"/>
    <w:rsid w:val="00DF7AE5"/>
    <w:rsid w:val="00E158DE"/>
    <w:rsid w:val="00E17DC1"/>
    <w:rsid w:val="00E27C08"/>
    <w:rsid w:val="00E31158"/>
    <w:rsid w:val="00E3318D"/>
    <w:rsid w:val="00E64357"/>
    <w:rsid w:val="00E857C1"/>
    <w:rsid w:val="00E86590"/>
    <w:rsid w:val="00E939CA"/>
    <w:rsid w:val="00E93BA0"/>
    <w:rsid w:val="00EA1FED"/>
    <w:rsid w:val="00EB0430"/>
    <w:rsid w:val="00EB066C"/>
    <w:rsid w:val="00EB2844"/>
    <w:rsid w:val="00EC71BD"/>
    <w:rsid w:val="00ED117F"/>
    <w:rsid w:val="00EF2D04"/>
    <w:rsid w:val="00F3406B"/>
    <w:rsid w:val="00F44BB7"/>
    <w:rsid w:val="00F47C71"/>
    <w:rsid w:val="00F54643"/>
    <w:rsid w:val="00F559B2"/>
    <w:rsid w:val="00F56F6C"/>
    <w:rsid w:val="00F65937"/>
    <w:rsid w:val="00F93871"/>
    <w:rsid w:val="00FA42CF"/>
    <w:rsid w:val="00FA5F5C"/>
    <w:rsid w:val="00FB7F8D"/>
    <w:rsid w:val="00FC4039"/>
    <w:rsid w:val="00FC4408"/>
    <w:rsid w:val="00FC479A"/>
    <w:rsid w:val="00FD1E8A"/>
    <w:rsid w:val="00FE2666"/>
    <w:rsid w:val="00FE3D2A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1E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A1511E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A1511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11E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1511E"/>
    <w:rPr>
      <w:rFonts w:ascii="Cambria" w:eastAsia="Times New Roman" w:hAnsi="Cambria" w:cs="Times New Roman"/>
      <w:b/>
      <w:bCs/>
      <w:color w:val="4F81BD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A1511E"/>
  </w:style>
  <w:style w:type="character" w:customStyle="1" w:styleId="NotedebasdepageCar">
    <w:name w:val="Note de bas de page Car"/>
    <w:basedOn w:val="Policepardfaut"/>
    <w:link w:val="Notedebasdepage"/>
    <w:rsid w:val="00A151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A1511E"/>
    <w:rPr>
      <w:vertAlign w:val="superscript"/>
    </w:rPr>
  </w:style>
  <w:style w:type="character" w:styleId="lev">
    <w:name w:val="Strong"/>
    <w:basedOn w:val="Policepardfaut"/>
    <w:qFormat/>
    <w:rsid w:val="00163F80"/>
    <w:rPr>
      <w:b/>
      <w:bCs/>
    </w:rPr>
  </w:style>
  <w:style w:type="paragraph" w:styleId="Textedebulles">
    <w:name w:val="Balloon Text"/>
    <w:basedOn w:val="Normal"/>
    <w:semiHidden/>
    <w:rsid w:val="00E3115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B5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C64C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64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relative aux résultats</vt:lpstr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relative aux résultats</dc:title>
  <dc:creator>admin</dc:creator>
  <cp:lastModifiedBy>user</cp:lastModifiedBy>
  <cp:revision>4</cp:revision>
  <cp:lastPrinted>2013-12-03T10:13:00Z</cp:lastPrinted>
  <dcterms:created xsi:type="dcterms:W3CDTF">2013-12-03T21:11:00Z</dcterms:created>
  <dcterms:modified xsi:type="dcterms:W3CDTF">2013-12-03T21:22:00Z</dcterms:modified>
</cp:coreProperties>
</file>