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077" w:rsidRDefault="00F37422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9A3366"/>
        </w:rPr>
      </w:pPr>
      <w:r>
        <w:rPr>
          <w:rFonts w:ascii="Book Antiqua" w:hAnsi="Book Antiqua" w:cs="Times New Roman"/>
          <w:b/>
          <w:bCs/>
          <w:color w:val="9A3366"/>
        </w:rPr>
        <w:t xml:space="preserve">          </w:t>
      </w:r>
    </w:p>
    <w:p w:rsidR="000D4077" w:rsidRDefault="000D4077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9A3366"/>
        </w:rPr>
      </w:pPr>
    </w:p>
    <w:p w:rsidR="000D4077" w:rsidRDefault="000D4077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9A3366"/>
        </w:rPr>
      </w:pPr>
    </w:p>
    <w:p w:rsidR="000D4077" w:rsidRDefault="000D4077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9A3366"/>
        </w:rPr>
      </w:pPr>
    </w:p>
    <w:p w:rsidR="000D4077" w:rsidRDefault="000D4077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9A3366"/>
        </w:rPr>
      </w:pPr>
    </w:p>
    <w:p w:rsidR="009E682C" w:rsidRDefault="009E682C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9A3366"/>
        </w:rPr>
      </w:pPr>
    </w:p>
    <w:p w:rsidR="00912704" w:rsidRPr="00BD2D08" w:rsidRDefault="00912704" w:rsidP="00C57B05">
      <w:pPr>
        <w:widowControl/>
        <w:jc w:val="center"/>
        <w:rPr>
          <w:rFonts w:ascii="Book Antiqua" w:hAnsi="Book Antiqua" w:cs="Times New Roman"/>
          <w:b/>
          <w:bCs/>
          <w:color w:val="9A3366"/>
        </w:rPr>
      </w:pPr>
      <w:r w:rsidRPr="00BD2D08">
        <w:rPr>
          <w:rFonts w:ascii="Book Antiqua" w:hAnsi="Book Antiqua" w:cs="Times New Roman"/>
          <w:b/>
          <w:bCs/>
          <w:color w:val="9A3366"/>
        </w:rPr>
        <w:t>Note d’information</w:t>
      </w:r>
      <w:r w:rsidR="0069792B">
        <w:rPr>
          <w:rFonts w:ascii="Book Antiqua" w:hAnsi="Book Antiqua" w:cs="Times New Roman"/>
          <w:b/>
          <w:bCs/>
          <w:color w:val="9A3366"/>
        </w:rPr>
        <w:t xml:space="preserve"> du Haut-commissariat au Plan</w:t>
      </w:r>
    </w:p>
    <w:p w:rsidR="00912704" w:rsidRPr="00BD2D08" w:rsidRDefault="00097300" w:rsidP="00C57B05">
      <w:pPr>
        <w:widowControl/>
        <w:jc w:val="center"/>
        <w:rPr>
          <w:rFonts w:ascii="Book Antiqua" w:hAnsi="Book Antiqua" w:cs="Times New Roman"/>
          <w:b/>
          <w:bCs/>
          <w:color w:val="9A3366"/>
        </w:rPr>
      </w:pPr>
      <w:r>
        <w:rPr>
          <w:rFonts w:ascii="Book Antiqua" w:hAnsi="Book Antiqua" w:cs="Times New Roman"/>
          <w:b/>
          <w:bCs/>
          <w:color w:val="9A3366"/>
        </w:rPr>
        <w:t>R</w:t>
      </w:r>
      <w:r w:rsidR="00912704" w:rsidRPr="00BD2D08">
        <w:rPr>
          <w:rFonts w:ascii="Book Antiqua" w:hAnsi="Book Antiqua" w:cs="Times New Roman"/>
          <w:b/>
          <w:bCs/>
          <w:color w:val="9A3366"/>
        </w:rPr>
        <w:t xml:space="preserve">ésultats de l’enquête de conjoncture auprès des ménages </w:t>
      </w:r>
    </w:p>
    <w:p w:rsidR="00912704" w:rsidRPr="00BD2D08" w:rsidRDefault="00AD6880" w:rsidP="00C57B05">
      <w:pPr>
        <w:widowControl/>
        <w:jc w:val="center"/>
        <w:rPr>
          <w:rFonts w:ascii="Book Antiqua" w:hAnsi="Book Antiqua" w:cs="Times New Roman"/>
          <w:b/>
          <w:bCs/>
          <w:color w:val="9A3366"/>
        </w:rPr>
      </w:pPr>
      <w:r>
        <w:rPr>
          <w:rFonts w:ascii="Book Antiqua" w:hAnsi="Book Antiqua" w:cs="Times New Roman"/>
          <w:b/>
          <w:bCs/>
          <w:color w:val="9A3366"/>
        </w:rPr>
        <w:t>Troisième</w:t>
      </w:r>
      <w:r w:rsidR="001B3707">
        <w:rPr>
          <w:rFonts w:ascii="Book Antiqua" w:hAnsi="Book Antiqua" w:cs="Times New Roman"/>
          <w:b/>
          <w:bCs/>
          <w:color w:val="9A3366"/>
        </w:rPr>
        <w:t xml:space="preserve"> trimestre</w:t>
      </w:r>
      <w:r w:rsidR="00EE0655">
        <w:rPr>
          <w:rFonts w:ascii="Book Antiqua" w:hAnsi="Book Antiqua" w:cs="Times New Roman"/>
          <w:b/>
          <w:bCs/>
          <w:color w:val="9A3366"/>
        </w:rPr>
        <w:t xml:space="preserve"> </w:t>
      </w:r>
      <w:r w:rsidR="003724EE">
        <w:rPr>
          <w:rFonts w:ascii="Book Antiqua" w:hAnsi="Book Antiqua" w:cs="Times New Roman"/>
          <w:b/>
          <w:bCs/>
          <w:color w:val="9A3366"/>
        </w:rPr>
        <w:t>201</w:t>
      </w:r>
      <w:r w:rsidR="00E85462">
        <w:rPr>
          <w:rFonts w:ascii="Book Antiqua" w:hAnsi="Book Antiqua" w:cs="Times New Roman"/>
          <w:b/>
          <w:bCs/>
          <w:color w:val="9A3366"/>
        </w:rPr>
        <w:t>3</w:t>
      </w:r>
    </w:p>
    <w:p w:rsidR="004105E0" w:rsidRPr="005D63D7" w:rsidRDefault="004105E0" w:rsidP="000F7C4F">
      <w:pPr>
        <w:widowControl/>
        <w:spacing w:before="240" w:line="276" w:lineRule="auto"/>
        <w:jc w:val="both"/>
        <w:rPr>
          <w:rFonts w:ascii="Book Antiqua" w:hAnsi="Book Antiqua" w:cs="Times New Roman"/>
          <w:color w:val="000000"/>
          <w:sz w:val="36"/>
          <w:szCs w:val="36"/>
        </w:rPr>
      </w:pPr>
    </w:p>
    <w:p w:rsidR="00A45128" w:rsidRDefault="005E2815" w:rsidP="00686596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Les </w:t>
      </w:r>
      <w:r w:rsidR="00A45128" w:rsidRPr="00860E86">
        <w:rPr>
          <w:rFonts w:ascii="Times New Roman" w:hAnsi="Times New Roman" w:cs="Times New Roman"/>
          <w:b/>
          <w:color w:val="000000"/>
        </w:rPr>
        <w:t xml:space="preserve">résultats de l’enquête permanente de conjoncture auprès des ménages, menée par le HCP, </w:t>
      </w:r>
      <w:r>
        <w:rPr>
          <w:rFonts w:ascii="Times New Roman" w:hAnsi="Times New Roman" w:cs="Times New Roman"/>
          <w:b/>
          <w:color w:val="000000"/>
        </w:rPr>
        <w:t xml:space="preserve">montrent que </w:t>
      </w:r>
      <w:r w:rsidR="00A45128" w:rsidRPr="00860E86">
        <w:rPr>
          <w:rFonts w:ascii="Times New Roman" w:hAnsi="Times New Roman" w:cs="Times New Roman"/>
          <w:b/>
          <w:color w:val="000000"/>
        </w:rPr>
        <w:t>l’Indice de Confiance</w:t>
      </w:r>
      <w:r w:rsidR="00A45128">
        <w:rPr>
          <w:rFonts w:ascii="Times New Roman" w:hAnsi="Times New Roman" w:cs="Times New Roman"/>
          <w:b/>
          <w:color w:val="000000"/>
        </w:rPr>
        <w:t xml:space="preserve"> des Ménages (ICM)</w:t>
      </w:r>
      <w:r w:rsidR="00A45128" w:rsidRPr="00860E86">
        <w:rPr>
          <w:rFonts w:ascii="Times New Roman" w:hAnsi="Times New Roman" w:cs="Times New Roman"/>
          <w:b/>
          <w:color w:val="000000"/>
        </w:rPr>
        <w:t xml:space="preserve"> </w:t>
      </w:r>
      <w:r w:rsidR="00A45128" w:rsidRPr="00860E86">
        <w:rPr>
          <w:rFonts w:ascii="Times New Roman" w:hAnsi="Times New Roman" w:cs="Times New Roman"/>
          <w:b/>
          <w:bCs/>
          <w:color w:val="000000"/>
        </w:rPr>
        <w:t xml:space="preserve">aura enregistré, au cours du </w:t>
      </w:r>
      <w:r w:rsidR="00AD6880">
        <w:rPr>
          <w:rFonts w:ascii="Times New Roman" w:hAnsi="Times New Roman" w:cs="Times New Roman"/>
          <w:b/>
          <w:bCs/>
          <w:color w:val="000000"/>
        </w:rPr>
        <w:t>troisième</w:t>
      </w:r>
      <w:r w:rsidR="001B3707">
        <w:rPr>
          <w:rFonts w:ascii="Times New Roman" w:hAnsi="Times New Roman" w:cs="Times New Roman"/>
          <w:b/>
          <w:bCs/>
          <w:color w:val="000000"/>
        </w:rPr>
        <w:t xml:space="preserve"> trimestre</w:t>
      </w:r>
      <w:r w:rsidR="00EE0655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A45128" w:rsidRPr="00860E86">
        <w:rPr>
          <w:rFonts w:ascii="Times New Roman" w:hAnsi="Times New Roman" w:cs="Times New Roman"/>
          <w:b/>
          <w:bCs/>
          <w:color w:val="000000"/>
        </w:rPr>
        <w:t>de 201</w:t>
      </w:r>
      <w:r w:rsidR="00A129F3">
        <w:rPr>
          <w:rFonts w:ascii="Times New Roman" w:hAnsi="Times New Roman" w:cs="Times New Roman"/>
          <w:b/>
          <w:bCs/>
          <w:color w:val="000000"/>
        </w:rPr>
        <w:t>3</w:t>
      </w:r>
      <w:r w:rsidR="00A45128" w:rsidRPr="00860E86">
        <w:rPr>
          <w:rFonts w:ascii="Times New Roman" w:hAnsi="Times New Roman" w:cs="Times New Roman"/>
          <w:b/>
          <w:bCs/>
          <w:color w:val="000000"/>
        </w:rPr>
        <w:t xml:space="preserve">, une </w:t>
      </w:r>
      <w:r w:rsidR="009C76E3">
        <w:rPr>
          <w:rFonts w:ascii="Times New Roman" w:hAnsi="Times New Roman" w:cs="Times New Roman"/>
          <w:b/>
          <w:bCs/>
          <w:color w:val="000000"/>
        </w:rPr>
        <w:t>légère amélioration</w:t>
      </w:r>
      <w:r w:rsidR="00A45128">
        <w:rPr>
          <w:rFonts w:ascii="Times New Roman" w:hAnsi="Times New Roman" w:cs="Times New Roman"/>
          <w:b/>
          <w:bCs/>
          <w:color w:val="000000"/>
        </w:rPr>
        <w:t xml:space="preserve"> de </w:t>
      </w:r>
      <w:r w:rsidR="00686596">
        <w:rPr>
          <w:rFonts w:ascii="Times New Roman" w:hAnsi="Times New Roman" w:cs="Times New Roman"/>
          <w:b/>
          <w:bCs/>
          <w:color w:val="000000"/>
        </w:rPr>
        <w:t>1,2</w:t>
      </w:r>
      <w:r w:rsidR="00A45128" w:rsidRPr="00860E86">
        <w:rPr>
          <w:rFonts w:ascii="Times New Roman" w:hAnsi="Times New Roman" w:cs="Times New Roman"/>
          <w:b/>
          <w:bCs/>
          <w:color w:val="000000"/>
        </w:rPr>
        <w:t xml:space="preserve"> point par rapport au </w:t>
      </w:r>
      <w:r w:rsidR="00AD6880">
        <w:rPr>
          <w:rFonts w:ascii="Times New Roman" w:hAnsi="Times New Roman" w:cs="Times New Roman"/>
          <w:b/>
          <w:bCs/>
          <w:color w:val="000000"/>
        </w:rPr>
        <w:t>deuxième</w:t>
      </w:r>
      <w:r w:rsidR="001B3707">
        <w:rPr>
          <w:rFonts w:ascii="Times New Roman" w:hAnsi="Times New Roman" w:cs="Times New Roman"/>
          <w:b/>
          <w:bCs/>
          <w:color w:val="000000"/>
        </w:rPr>
        <w:t xml:space="preserve"> trimestre</w:t>
      </w:r>
      <w:r w:rsidR="007325A2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3F0597">
        <w:rPr>
          <w:rFonts w:ascii="Times New Roman" w:hAnsi="Times New Roman" w:cs="Times New Roman"/>
          <w:b/>
          <w:bCs/>
          <w:color w:val="000000"/>
        </w:rPr>
        <w:t>de</w:t>
      </w:r>
      <w:r w:rsidR="00A45128" w:rsidRPr="00860E86">
        <w:rPr>
          <w:rFonts w:ascii="Times New Roman" w:hAnsi="Times New Roman" w:cs="Times New Roman"/>
          <w:b/>
          <w:bCs/>
          <w:color w:val="000000"/>
        </w:rPr>
        <w:t xml:space="preserve"> 201</w:t>
      </w:r>
      <w:r w:rsidR="00EE0655">
        <w:rPr>
          <w:rFonts w:ascii="Times New Roman" w:hAnsi="Times New Roman" w:cs="Times New Roman"/>
          <w:b/>
          <w:bCs/>
          <w:color w:val="000000"/>
        </w:rPr>
        <w:t>3</w:t>
      </w:r>
      <w:r w:rsidR="00A45128" w:rsidRPr="00A45128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233531">
        <w:rPr>
          <w:rFonts w:ascii="Times New Roman" w:hAnsi="Times New Roman" w:cs="Times New Roman"/>
          <w:b/>
          <w:bCs/>
          <w:color w:val="000000"/>
        </w:rPr>
        <w:t>et</w:t>
      </w:r>
      <w:r w:rsidR="00A45128" w:rsidRPr="00860E86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9C76E3">
        <w:rPr>
          <w:rFonts w:ascii="Times New Roman" w:hAnsi="Times New Roman" w:cs="Times New Roman"/>
          <w:b/>
          <w:bCs/>
          <w:color w:val="000000"/>
        </w:rPr>
        <w:t>une détérioration de 2</w:t>
      </w:r>
      <w:r w:rsidR="00A45128">
        <w:rPr>
          <w:rFonts w:ascii="Times New Roman" w:hAnsi="Times New Roman" w:cs="Times New Roman"/>
          <w:b/>
          <w:bCs/>
          <w:color w:val="000000"/>
        </w:rPr>
        <w:t>,</w:t>
      </w:r>
      <w:r w:rsidR="00686596">
        <w:rPr>
          <w:rFonts w:ascii="Times New Roman" w:hAnsi="Times New Roman" w:cs="Times New Roman"/>
          <w:b/>
          <w:bCs/>
          <w:color w:val="000000"/>
        </w:rPr>
        <w:t>2</w:t>
      </w:r>
      <w:r w:rsidR="00A45128" w:rsidRPr="00860E86">
        <w:rPr>
          <w:rFonts w:ascii="Times New Roman" w:hAnsi="Times New Roman" w:cs="Times New Roman"/>
          <w:b/>
          <w:bCs/>
          <w:color w:val="000000"/>
        </w:rPr>
        <w:t xml:space="preserve"> points </w:t>
      </w:r>
      <w:r w:rsidR="001C0839">
        <w:rPr>
          <w:rFonts w:ascii="Times New Roman" w:hAnsi="Times New Roman" w:cs="Times New Roman"/>
          <w:b/>
          <w:bCs/>
          <w:color w:val="000000"/>
        </w:rPr>
        <w:t xml:space="preserve">par rapport </w:t>
      </w:r>
      <w:r w:rsidR="00A45128" w:rsidRPr="00860E86">
        <w:rPr>
          <w:rFonts w:ascii="Times New Roman" w:hAnsi="Times New Roman" w:cs="Times New Roman"/>
          <w:b/>
          <w:bCs/>
          <w:color w:val="000000"/>
        </w:rPr>
        <w:t>à son niveau</w:t>
      </w:r>
      <w:r w:rsidR="00A45128">
        <w:rPr>
          <w:rFonts w:ascii="Times New Roman" w:hAnsi="Times New Roman" w:cs="Times New Roman"/>
          <w:b/>
          <w:bCs/>
          <w:color w:val="000000"/>
        </w:rPr>
        <w:t xml:space="preserve"> du </w:t>
      </w:r>
      <w:r w:rsidR="00AD6880">
        <w:rPr>
          <w:rFonts w:ascii="Times New Roman" w:hAnsi="Times New Roman" w:cs="Times New Roman"/>
          <w:b/>
          <w:bCs/>
          <w:color w:val="000000"/>
        </w:rPr>
        <w:t>troisième</w:t>
      </w:r>
      <w:r w:rsidR="001B3707">
        <w:rPr>
          <w:rFonts w:ascii="Times New Roman" w:hAnsi="Times New Roman" w:cs="Times New Roman"/>
          <w:b/>
          <w:bCs/>
          <w:color w:val="000000"/>
        </w:rPr>
        <w:t xml:space="preserve"> trimestre</w:t>
      </w:r>
      <w:r w:rsidR="007325A2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A45128" w:rsidRPr="00860E86">
        <w:rPr>
          <w:rFonts w:ascii="Times New Roman" w:hAnsi="Times New Roman" w:cs="Times New Roman"/>
          <w:b/>
          <w:bCs/>
          <w:color w:val="000000"/>
        </w:rPr>
        <w:t>de l’année 201</w:t>
      </w:r>
      <w:r w:rsidR="00A129F3">
        <w:rPr>
          <w:rFonts w:ascii="Times New Roman" w:hAnsi="Times New Roman" w:cs="Times New Roman"/>
          <w:b/>
          <w:bCs/>
          <w:color w:val="000000"/>
        </w:rPr>
        <w:t>2</w:t>
      </w:r>
      <w:r w:rsidR="00A45128">
        <w:rPr>
          <w:rFonts w:ascii="Times New Roman" w:hAnsi="Times New Roman" w:cs="Times New Roman"/>
          <w:b/>
          <w:bCs/>
          <w:color w:val="000000"/>
        </w:rPr>
        <w:t>.</w:t>
      </w:r>
    </w:p>
    <w:p w:rsidR="00F80F35" w:rsidRDefault="00A45128" w:rsidP="00717A01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860E86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A45128" w:rsidRPr="008870BF" w:rsidRDefault="00CF09A5" w:rsidP="00024314">
      <w:pPr>
        <w:widowControl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8870BF">
        <w:rPr>
          <w:rFonts w:ascii="Times New Roman" w:hAnsi="Times New Roman" w:cs="Times New Roman"/>
          <w:color w:val="000000" w:themeColor="text1"/>
        </w:rPr>
        <w:t>C’est ainsi qu’a</w:t>
      </w:r>
      <w:r w:rsidR="00A45128" w:rsidRPr="008870BF">
        <w:rPr>
          <w:rFonts w:ascii="Times New Roman" w:hAnsi="Times New Roman" w:cs="Times New Roman"/>
          <w:color w:val="000000" w:themeColor="text1"/>
        </w:rPr>
        <w:t xml:space="preserve">u </w:t>
      </w:r>
      <w:r w:rsidR="00AD6880">
        <w:rPr>
          <w:rFonts w:ascii="Times New Roman" w:hAnsi="Times New Roman" w:cs="Times New Roman"/>
          <w:color w:val="000000" w:themeColor="text1"/>
        </w:rPr>
        <w:t>troisième</w:t>
      </w:r>
      <w:r w:rsidR="001B3707" w:rsidRPr="008870BF">
        <w:rPr>
          <w:rFonts w:ascii="Times New Roman" w:hAnsi="Times New Roman" w:cs="Times New Roman"/>
          <w:color w:val="000000" w:themeColor="text1"/>
        </w:rPr>
        <w:t xml:space="preserve"> trimestre</w:t>
      </w:r>
      <w:r w:rsidR="005950FE" w:rsidRPr="008870BF">
        <w:rPr>
          <w:rFonts w:ascii="Times New Roman" w:hAnsi="Times New Roman" w:cs="Times New Roman"/>
          <w:color w:val="000000" w:themeColor="text1"/>
        </w:rPr>
        <w:t xml:space="preserve"> </w:t>
      </w:r>
      <w:r w:rsidR="00A45128" w:rsidRPr="008870BF">
        <w:rPr>
          <w:rFonts w:ascii="Times New Roman" w:hAnsi="Times New Roman" w:cs="Times New Roman"/>
          <w:color w:val="000000" w:themeColor="text1"/>
        </w:rPr>
        <w:t>de 201</w:t>
      </w:r>
      <w:r w:rsidR="00760F13" w:rsidRPr="008870BF">
        <w:rPr>
          <w:rFonts w:ascii="Times New Roman" w:hAnsi="Times New Roman" w:cs="Times New Roman"/>
          <w:color w:val="000000" w:themeColor="text1"/>
        </w:rPr>
        <w:t>3</w:t>
      </w:r>
      <w:r w:rsidR="00A45128" w:rsidRPr="008870BF">
        <w:rPr>
          <w:rFonts w:ascii="Times New Roman" w:hAnsi="Times New Roman" w:cs="Times New Roman"/>
          <w:color w:val="000000" w:themeColor="text1"/>
        </w:rPr>
        <w:t xml:space="preserve">, l'ICM (non corrigé des variations saisonnières) s’établit  à  </w:t>
      </w:r>
      <w:r w:rsidR="009C76E3">
        <w:rPr>
          <w:rFonts w:ascii="Times New Roman" w:hAnsi="Times New Roman" w:cs="Times New Roman"/>
          <w:color w:val="000000" w:themeColor="text1"/>
        </w:rPr>
        <w:t>75,</w:t>
      </w:r>
      <w:r w:rsidR="00686596">
        <w:rPr>
          <w:rFonts w:ascii="Times New Roman" w:hAnsi="Times New Roman" w:cs="Times New Roman"/>
          <w:color w:val="000000" w:themeColor="text1"/>
        </w:rPr>
        <w:t>4</w:t>
      </w:r>
      <w:r w:rsidR="009C76E3">
        <w:rPr>
          <w:rFonts w:ascii="Times New Roman" w:hAnsi="Times New Roman" w:cs="Times New Roman"/>
          <w:color w:val="000000" w:themeColor="text1"/>
        </w:rPr>
        <w:t xml:space="preserve"> </w:t>
      </w:r>
      <w:r w:rsidR="00A45128" w:rsidRPr="008870BF">
        <w:rPr>
          <w:rFonts w:ascii="Times New Roman" w:hAnsi="Times New Roman" w:cs="Times New Roman"/>
          <w:color w:val="000000" w:themeColor="text1"/>
        </w:rPr>
        <w:t xml:space="preserve">points contre </w:t>
      </w:r>
      <w:r w:rsidR="009C76E3" w:rsidRPr="008870BF">
        <w:rPr>
          <w:rFonts w:ascii="Times New Roman" w:hAnsi="Times New Roman" w:cs="Times New Roman"/>
          <w:color w:val="000000" w:themeColor="text1"/>
        </w:rPr>
        <w:t>74,2</w:t>
      </w:r>
      <w:r w:rsidR="009C76E3">
        <w:rPr>
          <w:rFonts w:ascii="Times New Roman" w:hAnsi="Times New Roman" w:cs="Times New Roman"/>
          <w:color w:val="000000" w:themeColor="text1"/>
        </w:rPr>
        <w:t xml:space="preserve"> </w:t>
      </w:r>
      <w:r w:rsidR="00A45128" w:rsidRPr="008870BF">
        <w:rPr>
          <w:rFonts w:ascii="Times New Roman" w:hAnsi="Times New Roman" w:cs="Times New Roman"/>
          <w:color w:val="000000" w:themeColor="text1"/>
        </w:rPr>
        <w:t>points un trimestre auparavant</w:t>
      </w:r>
      <w:r w:rsidR="00024314">
        <w:rPr>
          <w:rFonts w:ascii="Times New Roman" w:hAnsi="Times New Roman" w:cs="Times New Roman"/>
          <w:color w:val="000000" w:themeColor="text1"/>
        </w:rPr>
        <w:t xml:space="preserve"> </w:t>
      </w:r>
      <w:r w:rsidR="005A7C0B" w:rsidRPr="008870BF">
        <w:rPr>
          <w:rFonts w:ascii="Times New Roman" w:hAnsi="Times New Roman" w:cs="Times New Roman"/>
          <w:color w:val="000000" w:themeColor="text1"/>
        </w:rPr>
        <w:t>et</w:t>
      </w:r>
      <w:r w:rsidR="00A45128" w:rsidRPr="008870BF">
        <w:rPr>
          <w:rFonts w:ascii="Times New Roman" w:hAnsi="Times New Roman" w:cs="Times New Roman"/>
          <w:color w:val="000000" w:themeColor="text1"/>
        </w:rPr>
        <w:t xml:space="preserve"> </w:t>
      </w:r>
      <w:r w:rsidR="009C76E3">
        <w:rPr>
          <w:rFonts w:ascii="Times New Roman" w:hAnsi="Times New Roman" w:cs="Times New Roman"/>
          <w:color w:val="000000" w:themeColor="text1"/>
        </w:rPr>
        <w:t>77</w:t>
      </w:r>
      <w:r w:rsidR="00BE269D" w:rsidRPr="008870BF">
        <w:rPr>
          <w:rFonts w:ascii="Times New Roman" w:hAnsi="Times New Roman" w:cs="Times New Roman"/>
          <w:color w:val="000000" w:themeColor="text1"/>
        </w:rPr>
        <w:t>,</w:t>
      </w:r>
      <w:r w:rsidR="009C76E3">
        <w:rPr>
          <w:rFonts w:ascii="Times New Roman" w:hAnsi="Times New Roman" w:cs="Times New Roman"/>
          <w:color w:val="000000" w:themeColor="text1"/>
        </w:rPr>
        <w:t>6</w:t>
      </w:r>
      <w:r w:rsidR="00BE269D" w:rsidRPr="008870BF">
        <w:rPr>
          <w:rFonts w:ascii="Times New Roman" w:hAnsi="Times New Roman" w:cs="Times New Roman"/>
          <w:color w:val="000000" w:themeColor="text1"/>
        </w:rPr>
        <w:t xml:space="preserve"> points le même trimestre de l’année passée. </w:t>
      </w:r>
    </w:p>
    <w:p w:rsidR="00E5224B" w:rsidRPr="00BD2D08" w:rsidRDefault="00E5224B" w:rsidP="008C02D0">
      <w:pPr>
        <w:widowControl/>
        <w:spacing w:line="276" w:lineRule="auto"/>
        <w:jc w:val="center"/>
        <w:rPr>
          <w:rFonts w:ascii="Book Antiqua" w:hAnsi="Book Antiqua" w:cs="Times New Roman"/>
          <w:color w:val="000000"/>
        </w:rPr>
      </w:pPr>
    </w:p>
    <w:p w:rsidR="005B1014" w:rsidRDefault="00EC6555" w:rsidP="00C57B05">
      <w:pPr>
        <w:widowControl/>
        <w:spacing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EC6555">
        <w:rPr>
          <w:rFonts w:ascii="Times New Roman" w:hAnsi="Times New Roman" w:cs="Times New Roman"/>
          <w:b/>
          <w:bCs/>
          <w:noProof/>
          <w:color w:val="000000"/>
        </w:rPr>
        <w:drawing>
          <wp:inline distT="0" distB="0" distL="0" distR="0">
            <wp:extent cx="5905500" cy="2571750"/>
            <wp:effectExtent l="19050" t="0" r="19050" b="0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80F35" w:rsidRDefault="00F80F35" w:rsidP="00531247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C57B05" w:rsidRDefault="00C57B05" w:rsidP="00B87C77">
      <w:pPr>
        <w:widowControl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9C76E3" w:rsidRPr="008870BF" w:rsidRDefault="00593B3D" w:rsidP="00B87C77">
      <w:pPr>
        <w:widowControl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8870BF">
        <w:rPr>
          <w:rFonts w:ascii="Times New Roman" w:hAnsi="Times New Roman" w:cs="Times New Roman"/>
          <w:color w:val="000000" w:themeColor="text1"/>
        </w:rPr>
        <w:t>L’évolution</w:t>
      </w:r>
      <w:r w:rsidR="009C76E3" w:rsidRPr="008870BF">
        <w:rPr>
          <w:rFonts w:ascii="Times New Roman" w:hAnsi="Times New Roman" w:cs="Times New Roman"/>
          <w:color w:val="000000" w:themeColor="text1"/>
        </w:rPr>
        <w:t xml:space="preserve"> </w:t>
      </w:r>
      <w:r w:rsidR="002B51C3">
        <w:rPr>
          <w:rFonts w:ascii="Times New Roman" w:hAnsi="Times New Roman" w:cs="Times New Roman"/>
          <w:color w:val="000000" w:themeColor="text1"/>
        </w:rPr>
        <w:t xml:space="preserve">de l’ICM </w:t>
      </w:r>
      <w:r w:rsidR="009C76E3" w:rsidRPr="008870BF">
        <w:rPr>
          <w:rFonts w:ascii="Times New Roman" w:hAnsi="Times New Roman" w:cs="Times New Roman"/>
          <w:color w:val="000000" w:themeColor="text1"/>
        </w:rPr>
        <w:t xml:space="preserve">est </w:t>
      </w:r>
      <w:r w:rsidR="002B51C3">
        <w:rPr>
          <w:rFonts w:ascii="Times New Roman" w:hAnsi="Times New Roman" w:cs="Times New Roman"/>
          <w:color w:val="000000" w:themeColor="text1"/>
        </w:rPr>
        <w:t xml:space="preserve">le résultat des évolutions constatées de ses </w:t>
      </w:r>
      <w:r>
        <w:rPr>
          <w:rFonts w:ascii="Times New Roman" w:hAnsi="Times New Roman" w:cs="Times New Roman"/>
          <w:color w:val="000000" w:themeColor="text1"/>
        </w:rPr>
        <w:t>différents</w:t>
      </w:r>
      <w:r w:rsidR="002B51C3">
        <w:rPr>
          <w:rFonts w:ascii="Times New Roman" w:hAnsi="Times New Roman" w:cs="Times New Roman"/>
          <w:color w:val="000000" w:themeColor="text1"/>
        </w:rPr>
        <w:t xml:space="preserve"> composants.</w:t>
      </w:r>
    </w:p>
    <w:p w:rsidR="00B623D5" w:rsidRDefault="00B623D5" w:rsidP="00531247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6F1D72" w:rsidRDefault="009D614B" w:rsidP="00531247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B06E9">
        <w:rPr>
          <w:rFonts w:ascii="Times New Roman" w:hAnsi="Times New Roman" w:cs="Times New Roman"/>
          <w:b/>
          <w:bCs/>
          <w:color w:val="000000"/>
        </w:rPr>
        <w:t>1</w:t>
      </w:r>
      <w:r w:rsidR="00912704" w:rsidRPr="00DB06E9">
        <w:rPr>
          <w:rFonts w:ascii="Times New Roman" w:hAnsi="Times New Roman" w:cs="Times New Roman"/>
          <w:b/>
          <w:bCs/>
          <w:color w:val="000000"/>
        </w:rPr>
        <w:t xml:space="preserve">. </w:t>
      </w:r>
      <w:r w:rsidR="006F1D72" w:rsidRPr="00DB06E9">
        <w:rPr>
          <w:rFonts w:ascii="Times New Roman" w:hAnsi="Times New Roman" w:cs="Times New Roman"/>
          <w:b/>
          <w:bCs/>
          <w:color w:val="000000"/>
        </w:rPr>
        <w:t xml:space="preserve">Evolution des </w:t>
      </w:r>
      <w:r w:rsidR="00860E86">
        <w:rPr>
          <w:rFonts w:ascii="Times New Roman" w:hAnsi="Times New Roman" w:cs="Times New Roman"/>
          <w:b/>
          <w:bCs/>
          <w:color w:val="000000"/>
        </w:rPr>
        <w:t>composantes de</w:t>
      </w:r>
      <w:r w:rsidR="006F1D72" w:rsidRPr="00DB06E9">
        <w:rPr>
          <w:rFonts w:ascii="Times New Roman" w:hAnsi="Times New Roman" w:cs="Times New Roman"/>
          <w:b/>
          <w:bCs/>
          <w:color w:val="000000"/>
        </w:rPr>
        <w:t xml:space="preserve"> l'ICM</w:t>
      </w:r>
    </w:p>
    <w:p w:rsidR="00912704" w:rsidRPr="005B1014" w:rsidRDefault="005B1014" w:rsidP="00024314">
      <w:pPr>
        <w:pStyle w:val="Paragraphedeliste"/>
        <w:numPr>
          <w:ilvl w:val="0"/>
          <w:numId w:val="8"/>
        </w:numPr>
        <w:spacing w:before="240"/>
        <w:ind w:left="142" w:hanging="142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02532B">
        <w:rPr>
          <w:rFonts w:ascii="Times New Roman" w:hAnsi="Times New Roman" w:cs="Times New Roman"/>
          <w:b/>
          <w:bCs/>
          <w:color w:val="000000"/>
        </w:rPr>
        <w:t>Niveaux de vie</w:t>
      </w:r>
      <w:r w:rsidR="00B50EDD">
        <w:rPr>
          <w:rFonts w:ascii="Times New Roman" w:hAnsi="Times New Roman" w:cs="Times New Roman"/>
          <w:b/>
          <w:bCs/>
          <w:color w:val="000000"/>
        </w:rPr>
        <w:t>:</w:t>
      </w:r>
      <w:r w:rsidR="001B1130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024314">
        <w:rPr>
          <w:rFonts w:ascii="Times New Roman" w:hAnsi="Times New Roman" w:cs="Times New Roman"/>
          <w:b/>
          <w:bCs/>
          <w:color w:val="000000"/>
        </w:rPr>
        <w:t>léger regain de confiance</w:t>
      </w:r>
      <w:r w:rsidR="001E36D5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122941" w:rsidRPr="007539E9" w:rsidRDefault="00122941" w:rsidP="00024314">
      <w:pPr>
        <w:widowControl/>
        <w:spacing w:before="240" w:line="276" w:lineRule="auto"/>
        <w:jc w:val="both"/>
        <w:rPr>
          <w:rFonts w:ascii="Book Antiqua" w:hAnsi="Book Antiqua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Les perceptions des ménages sur l’évolution passée du niveau de vie a connu, </w:t>
      </w:r>
      <w:r w:rsidRPr="007539E9">
        <w:rPr>
          <w:rFonts w:ascii="Times New Roman" w:hAnsi="Times New Roman" w:cs="Times New Roman"/>
          <w:color w:val="000000" w:themeColor="text1"/>
        </w:rPr>
        <w:t xml:space="preserve">au </w:t>
      </w:r>
      <w:r w:rsidR="00354A18">
        <w:rPr>
          <w:rFonts w:ascii="Times New Roman" w:hAnsi="Times New Roman" w:cs="Times New Roman"/>
          <w:color w:val="000000" w:themeColor="text1"/>
        </w:rPr>
        <w:t>troisième</w:t>
      </w:r>
      <w:r w:rsidRPr="007539E9">
        <w:rPr>
          <w:rFonts w:ascii="Times New Roman" w:hAnsi="Times New Roman" w:cs="Times New Roman"/>
          <w:color w:val="000000" w:themeColor="text1"/>
        </w:rPr>
        <w:t xml:space="preserve"> trimestre de 2013</w:t>
      </w:r>
      <w:r>
        <w:rPr>
          <w:rFonts w:ascii="Times New Roman" w:hAnsi="Times New Roman" w:cs="Times New Roman"/>
          <w:color w:val="000000" w:themeColor="text1"/>
        </w:rPr>
        <w:t xml:space="preserve">, une amélioration aussi bien par rapport au trimestre précédent qu’au même trimestre de l’année </w:t>
      </w:r>
      <w:r w:rsidR="00024314">
        <w:rPr>
          <w:rFonts w:ascii="Times New Roman" w:hAnsi="Times New Roman" w:cs="Times New Roman"/>
          <w:color w:val="000000" w:themeColor="text1"/>
        </w:rPr>
        <w:t>2012</w:t>
      </w:r>
      <w:r>
        <w:rPr>
          <w:rFonts w:ascii="Times New Roman" w:hAnsi="Times New Roman" w:cs="Times New Roman"/>
          <w:color w:val="000000" w:themeColor="text1"/>
        </w:rPr>
        <w:t xml:space="preserve">. </w:t>
      </w:r>
      <w:r w:rsidR="00137D7D" w:rsidRPr="007539E9">
        <w:rPr>
          <w:rFonts w:ascii="Times New Roman" w:hAnsi="Times New Roman" w:cs="Times New Roman"/>
          <w:color w:val="000000" w:themeColor="text1"/>
        </w:rPr>
        <w:t>Le</w:t>
      </w:r>
      <w:r w:rsidRPr="007539E9">
        <w:rPr>
          <w:rFonts w:ascii="Times New Roman" w:hAnsi="Times New Roman" w:cs="Times New Roman"/>
          <w:color w:val="000000" w:themeColor="text1"/>
        </w:rPr>
        <w:t xml:space="preserve"> solde relatif à c</w:t>
      </w:r>
      <w:r>
        <w:rPr>
          <w:rFonts w:ascii="Times New Roman" w:hAnsi="Times New Roman" w:cs="Times New Roman"/>
          <w:color w:val="000000" w:themeColor="text1"/>
        </w:rPr>
        <w:t>et</w:t>
      </w:r>
      <w:r w:rsidRPr="007539E9">
        <w:rPr>
          <w:rFonts w:ascii="Times New Roman" w:hAnsi="Times New Roman" w:cs="Times New Roman"/>
          <w:color w:val="000000" w:themeColor="text1"/>
        </w:rPr>
        <w:t xml:space="preserve"> indicateur </w:t>
      </w:r>
      <w:r w:rsidR="00354A18">
        <w:rPr>
          <w:rFonts w:ascii="Times New Roman" w:hAnsi="Times New Roman" w:cs="Times New Roman"/>
          <w:color w:val="000000" w:themeColor="text1"/>
        </w:rPr>
        <w:t>a</w:t>
      </w:r>
      <w:r w:rsidRPr="007539E9">
        <w:rPr>
          <w:rFonts w:ascii="Times New Roman" w:hAnsi="Times New Roman" w:cs="Times New Roman"/>
          <w:color w:val="000000" w:themeColor="text1"/>
        </w:rPr>
        <w:t xml:space="preserve"> gagné  </w:t>
      </w:r>
      <w:r>
        <w:rPr>
          <w:rFonts w:ascii="Times New Roman" w:hAnsi="Times New Roman" w:cs="Times New Roman"/>
          <w:color w:val="000000" w:themeColor="text1"/>
        </w:rPr>
        <w:t>1</w:t>
      </w:r>
      <w:r w:rsidRPr="007539E9">
        <w:rPr>
          <w:rFonts w:ascii="Times New Roman" w:hAnsi="Times New Roman" w:cs="Times New Roman"/>
          <w:color w:val="000000" w:themeColor="text1"/>
        </w:rPr>
        <w:t>,</w:t>
      </w:r>
      <w:r w:rsidR="00753AB7">
        <w:rPr>
          <w:rFonts w:ascii="Times New Roman" w:hAnsi="Times New Roman" w:cs="Times New Roman"/>
          <w:color w:val="000000" w:themeColor="text1"/>
        </w:rPr>
        <w:t>9</w:t>
      </w:r>
      <w:r w:rsidRPr="007539E9">
        <w:rPr>
          <w:rFonts w:ascii="Times New Roman" w:hAnsi="Times New Roman" w:cs="Times New Roman"/>
          <w:color w:val="000000" w:themeColor="text1"/>
        </w:rPr>
        <w:t xml:space="preserve"> point et </w:t>
      </w:r>
      <w:r>
        <w:rPr>
          <w:rFonts w:ascii="Times New Roman" w:hAnsi="Times New Roman" w:cs="Times New Roman"/>
          <w:color w:val="000000" w:themeColor="text1"/>
        </w:rPr>
        <w:t>6</w:t>
      </w:r>
      <w:r w:rsidRPr="007539E9">
        <w:rPr>
          <w:rFonts w:ascii="Times New Roman" w:hAnsi="Times New Roman" w:cs="Times New Roman"/>
          <w:color w:val="000000" w:themeColor="text1"/>
        </w:rPr>
        <w:t>,</w:t>
      </w:r>
      <w:r w:rsidR="00753AB7">
        <w:rPr>
          <w:rFonts w:ascii="Times New Roman" w:hAnsi="Times New Roman" w:cs="Times New Roman"/>
          <w:color w:val="000000" w:themeColor="text1"/>
        </w:rPr>
        <w:t>7</w:t>
      </w:r>
      <w:r w:rsidRPr="007539E9">
        <w:rPr>
          <w:rFonts w:ascii="Times New Roman" w:hAnsi="Times New Roman" w:cs="Times New Roman"/>
          <w:color w:val="000000" w:themeColor="text1"/>
        </w:rPr>
        <w:t xml:space="preserve"> point</w:t>
      </w:r>
      <w:r>
        <w:rPr>
          <w:rFonts w:ascii="Times New Roman" w:hAnsi="Times New Roman" w:cs="Times New Roman"/>
          <w:color w:val="000000" w:themeColor="text1"/>
        </w:rPr>
        <w:t>s</w:t>
      </w:r>
      <w:r w:rsidR="00354A18">
        <w:rPr>
          <w:rFonts w:ascii="Times New Roman" w:hAnsi="Times New Roman" w:cs="Times New Roman"/>
          <w:color w:val="000000" w:themeColor="text1"/>
        </w:rPr>
        <w:t xml:space="preserve"> durant ces deux périodes </w:t>
      </w:r>
      <w:r w:rsidR="00862AF0">
        <w:rPr>
          <w:rFonts w:ascii="Times New Roman" w:hAnsi="Times New Roman" w:cs="Times New Roman"/>
          <w:color w:val="000000" w:themeColor="text1"/>
        </w:rPr>
        <w:t>respectives</w:t>
      </w:r>
      <w:r w:rsidRPr="007539E9">
        <w:rPr>
          <w:rFonts w:ascii="Times New Roman" w:hAnsi="Times New Roman" w:cs="Times New Roman"/>
          <w:color w:val="000000" w:themeColor="text1"/>
        </w:rPr>
        <w:t>.</w:t>
      </w:r>
    </w:p>
    <w:p w:rsidR="00761A82" w:rsidRDefault="00F625E1" w:rsidP="00024314">
      <w:pPr>
        <w:widowControl/>
        <w:spacing w:before="240"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De même, le solde d’opinion relatif aux</w:t>
      </w:r>
      <w:r w:rsidR="00326D4A">
        <w:rPr>
          <w:rFonts w:ascii="Times New Roman" w:hAnsi="Times New Roman" w:cs="Times New Roman"/>
          <w:color w:val="000000" w:themeColor="text1"/>
        </w:rPr>
        <w:t xml:space="preserve"> </w:t>
      </w:r>
      <w:r w:rsidR="00326D4A" w:rsidRPr="007539E9">
        <w:rPr>
          <w:rFonts w:ascii="Times New Roman" w:hAnsi="Times New Roman" w:cs="Times New Roman"/>
          <w:color w:val="000000" w:themeColor="text1"/>
        </w:rPr>
        <w:t>perspectives d’évolution</w:t>
      </w:r>
      <w:r>
        <w:rPr>
          <w:rFonts w:ascii="Times New Roman" w:hAnsi="Times New Roman" w:cs="Times New Roman"/>
          <w:color w:val="000000" w:themeColor="text1"/>
        </w:rPr>
        <w:t xml:space="preserve"> d</w:t>
      </w:r>
      <w:r w:rsidR="00024314">
        <w:rPr>
          <w:rFonts w:ascii="Times New Roman" w:hAnsi="Times New Roman" w:cs="Times New Roman"/>
          <w:color w:val="000000" w:themeColor="text1"/>
        </w:rPr>
        <w:t>u</w:t>
      </w:r>
      <w:r>
        <w:rPr>
          <w:rFonts w:ascii="Times New Roman" w:hAnsi="Times New Roman" w:cs="Times New Roman"/>
          <w:color w:val="000000" w:themeColor="text1"/>
        </w:rPr>
        <w:t xml:space="preserve"> niveau de vie</w:t>
      </w:r>
      <w:r w:rsidR="00326D4A">
        <w:rPr>
          <w:rFonts w:ascii="Times New Roman" w:hAnsi="Times New Roman" w:cs="Times New Roman"/>
          <w:color w:val="000000" w:themeColor="text1"/>
        </w:rPr>
        <w:t xml:space="preserve"> </w:t>
      </w:r>
      <w:r w:rsidR="00761A82">
        <w:rPr>
          <w:rFonts w:ascii="Times New Roman" w:hAnsi="Times New Roman" w:cs="Times New Roman"/>
          <w:color w:val="000000" w:themeColor="text1"/>
        </w:rPr>
        <w:t xml:space="preserve">enregistre </w:t>
      </w:r>
      <w:r w:rsidR="00753AB7">
        <w:rPr>
          <w:rFonts w:ascii="Times New Roman" w:hAnsi="Times New Roman" w:cs="Times New Roman"/>
          <w:color w:val="000000" w:themeColor="text1"/>
        </w:rPr>
        <w:t xml:space="preserve">une </w:t>
      </w:r>
      <w:r>
        <w:rPr>
          <w:rFonts w:ascii="Times New Roman" w:hAnsi="Times New Roman" w:cs="Times New Roman"/>
          <w:color w:val="000000" w:themeColor="text1"/>
        </w:rPr>
        <w:t>amélioration</w:t>
      </w:r>
      <w:r w:rsidR="00753AB7">
        <w:rPr>
          <w:rFonts w:ascii="Times New Roman" w:hAnsi="Times New Roman" w:cs="Times New Roman"/>
          <w:color w:val="000000" w:themeColor="text1"/>
        </w:rPr>
        <w:t xml:space="preserve"> de 1,1 point</w:t>
      </w:r>
      <w:r w:rsidR="00761A82">
        <w:rPr>
          <w:rFonts w:ascii="Times New Roman" w:hAnsi="Times New Roman" w:cs="Times New Roman"/>
          <w:color w:val="000000" w:themeColor="text1"/>
        </w:rPr>
        <w:t xml:space="preserve"> p</w:t>
      </w:r>
      <w:r w:rsidR="00C077F1" w:rsidRPr="007539E9">
        <w:rPr>
          <w:rFonts w:ascii="Times New Roman" w:hAnsi="Times New Roman" w:cs="Times New Roman"/>
          <w:color w:val="000000" w:themeColor="text1"/>
        </w:rPr>
        <w:t>ar rapport</w:t>
      </w:r>
      <w:r w:rsidR="00761A82">
        <w:rPr>
          <w:rFonts w:ascii="Times New Roman" w:hAnsi="Times New Roman" w:cs="Times New Roman"/>
          <w:color w:val="000000" w:themeColor="text1"/>
        </w:rPr>
        <w:t xml:space="preserve"> au trimestre précédent </w:t>
      </w:r>
      <w:r>
        <w:rPr>
          <w:rFonts w:ascii="Times New Roman" w:hAnsi="Times New Roman" w:cs="Times New Roman"/>
          <w:color w:val="000000" w:themeColor="text1"/>
        </w:rPr>
        <w:t>et</w:t>
      </w:r>
      <w:r w:rsidR="00761A82">
        <w:rPr>
          <w:rFonts w:ascii="Times New Roman" w:hAnsi="Times New Roman" w:cs="Times New Roman"/>
          <w:color w:val="000000" w:themeColor="text1"/>
        </w:rPr>
        <w:t xml:space="preserve"> </w:t>
      </w:r>
      <w:r w:rsidR="00753AB7">
        <w:rPr>
          <w:rFonts w:ascii="Times New Roman" w:hAnsi="Times New Roman" w:cs="Times New Roman"/>
          <w:color w:val="000000" w:themeColor="text1"/>
        </w:rPr>
        <w:t>une quasi stagnation (0,1</w:t>
      </w:r>
      <w:r w:rsidR="00761A82">
        <w:rPr>
          <w:rFonts w:ascii="Times New Roman" w:hAnsi="Times New Roman" w:cs="Times New Roman"/>
          <w:color w:val="000000" w:themeColor="text1"/>
        </w:rPr>
        <w:t xml:space="preserve"> point</w:t>
      </w:r>
      <w:r w:rsidR="00753AB7">
        <w:rPr>
          <w:rFonts w:ascii="Times New Roman" w:hAnsi="Times New Roman" w:cs="Times New Roman"/>
          <w:color w:val="000000" w:themeColor="text1"/>
        </w:rPr>
        <w:t>)</w:t>
      </w:r>
      <w:r w:rsidR="00761A82">
        <w:rPr>
          <w:rFonts w:ascii="Times New Roman" w:hAnsi="Times New Roman" w:cs="Times New Roman"/>
          <w:color w:val="000000" w:themeColor="text1"/>
        </w:rPr>
        <w:t xml:space="preserve"> par rapport à la même période de 2012.</w:t>
      </w:r>
    </w:p>
    <w:p w:rsidR="00DB5B40" w:rsidRDefault="00DB5B40" w:rsidP="00DB5B40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92695A" w:rsidRDefault="00A70B4A" w:rsidP="004660F5">
      <w:pPr>
        <w:widowControl/>
        <w:spacing w:line="276" w:lineRule="auto"/>
        <w:jc w:val="center"/>
        <w:rPr>
          <w:rFonts w:ascii="Book Antiqua" w:hAnsi="Book Antiqua" w:cs="Times New Roman"/>
          <w:color w:val="000000"/>
          <w:rtl/>
        </w:rPr>
      </w:pPr>
      <w:r w:rsidRPr="00A70B4A">
        <w:rPr>
          <w:rFonts w:ascii="Book Antiqua" w:hAnsi="Book Antiqua" w:cs="Times New Roman"/>
          <w:noProof/>
          <w:color w:val="000000"/>
        </w:rPr>
        <w:drawing>
          <wp:inline distT="0" distB="0" distL="0" distR="0">
            <wp:extent cx="5676900" cy="2600325"/>
            <wp:effectExtent l="19050" t="0" r="19050" b="0"/>
            <wp:docPr id="2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2457C" w:rsidRDefault="0032457C" w:rsidP="00222682">
      <w:pPr>
        <w:widowControl/>
        <w:spacing w:line="276" w:lineRule="auto"/>
        <w:jc w:val="both"/>
        <w:rPr>
          <w:rFonts w:ascii="Book Antiqua" w:hAnsi="Book Antiqua" w:cs="Times New Roman"/>
          <w:b/>
          <w:bCs/>
          <w:color w:val="000000"/>
        </w:rPr>
      </w:pPr>
    </w:p>
    <w:p w:rsidR="008D1AAF" w:rsidRDefault="008D1AAF" w:rsidP="0023094A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2C5954" w:rsidRPr="00DB06E9" w:rsidRDefault="002C5954" w:rsidP="00C10118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B06E9">
        <w:rPr>
          <w:rFonts w:ascii="Times New Roman" w:hAnsi="Times New Roman" w:cs="Times New Roman"/>
          <w:b/>
          <w:bCs/>
          <w:color w:val="000000"/>
        </w:rPr>
        <w:t xml:space="preserve">• </w:t>
      </w:r>
      <w:r w:rsidR="006620AD">
        <w:rPr>
          <w:rFonts w:ascii="Times New Roman" w:hAnsi="Times New Roman" w:cs="Times New Roman"/>
          <w:b/>
          <w:bCs/>
          <w:color w:val="000000"/>
        </w:rPr>
        <w:t>Evolution</w:t>
      </w:r>
      <w:r w:rsidR="00A271B5">
        <w:rPr>
          <w:rFonts w:ascii="Times New Roman" w:hAnsi="Times New Roman" w:cs="Times New Roman"/>
          <w:b/>
          <w:bCs/>
          <w:color w:val="000000"/>
        </w:rPr>
        <w:t xml:space="preserve"> du c</w:t>
      </w:r>
      <w:r w:rsidR="000A40C3">
        <w:rPr>
          <w:rFonts w:ascii="Times New Roman" w:hAnsi="Times New Roman" w:cs="Times New Roman"/>
          <w:b/>
          <w:bCs/>
          <w:color w:val="000000"/>
        </w:rPr>
        <w:t xml:space="preserve">hômage : </w:t>
      </w:r>
      <w:r w:rsidR="006F6A79">
        <w:rPr>
          <w:rFonts w:ascii="Times New Roman" w:hAnsi="Times New Roman" w:cs="Times New Roman"/>
          <w:b/>
          <w:bCs/>
          <w:color w:val="000000"/>
        </w:rPr>
        <w:t xml:space="preserve">anticipation d’une </w:t>
      </w:r>
      <w:r w:rsidR="009A19F3">
        <w:rPr>
          <w:rFonts w:ascii="Times New Roman" w:hAnsi="Times New Roman" w:cs="Times New Roman"/>
          <w:b/>
          <w:bCs/>
          <w:color w:val="000000"/>
        </w:rPr>
        <w:t xml:space="preserve">hausse </w:t>
      </w:r>
    </w:p>
    <w:p w:rsidR="00003F54" w:rsidRDefault="00C553B5" w:rsidP="00024314">
      <w:pPr>
        <w:widowControl/>
        <w:spacing w:before="24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</w:t>
      </w:r>
      <w:r w:rsidRPr="00DB06E9">
        <w:rPr>
          <w:rFonts w:ascii="Times New Roman" w:hAnsi="Times New Roman" w:cs="Times New Roman"/>
          <w:color w:val="000000"/>
        </w:rPr>
        <w:t xml:space="preserve">u </w:t>
      </w:r>
      <w:r w:rsidR="00AD6880">
        <w:rPr>
          <w:rFonts w:ascii="Times New Roman" w:hAnsi="Times New Roman" w:cs="Times New Roman"/>
          <w:color w:val="000000"/>
        </w:rPr>
        <w:t>troisième</w:t>
      </w:r>
      <w:r>
        <w:rPr>
          <w:rFonts w:ascii="Times New Roman" w:hAnsi="Times New Roman" w:cs="Times New Roman"/>
          <w:color w:val="000000"/>
        </w:rPr>
        <w:t xml:space="preserve"> trimestre </w:t>
      </w:r>
      <w:r w:rsidRPr="00DB06E9">
        <w:rPr>
          <w:rFonts w:ascii="Times New Roman" w:hAnsi="Times New Roman" w:cs="Times New Roman"/>
          <w:color w:val="000000"/>
        </w:rPr>
        <w:t>de 201</w:t>
      </w:r>
      <w:r>
        <w:rPr>
          <w:rFonts w:ascii="Times New Roman" w:hAnsi="Times New Roman" w:cs="Times New Roman"/>
          <w:color w:val="000000"/>
        </w:rPr>
        <w:t>3, 7</w:t>
      </w:r>
      <w:r w:rsidR="00BF011D">
        <w:rPr>
          <w:rFonts w:ascii="Times New Roman" w:hAnsi="Times New Roman" w:cs="Times New Roman"/>
          <w:color w:val="000000"/>
        </w:rPr>
        <w:t>7</w:t>
      </w:r>
      <w:r>
        <w:rPr>
          <w:rFonts w:ascii="Times New Roman" w:hAnsi="Times New Roman" w:cs="Times New Roman"/>
          <w:color w:val="000000"/>
        </w:rPr>
        <w:t xml:space="preserve">% des ménages anticipent une hausse du nombre de chômeurs pour les 12 mois à venir contre </w:t>
      </w:r>
      <w:r w:rsidR="00842AB8">
        <w:rPr>
          <w:rFonts w:ascii="Times New Roman" w:hAnsi="Times New Roman" w:cs="Times New Roman"/>
          <w:color w:val="000000"/>
        </w:rPr>
        <w:t>7</w:t>
      </w:r>
      <w:r w:rsidR="00BF011D">
        <w:rPr>
          <w:rFonts w:ascii="Times New Roman" w:hAnsi="Times New Roman" w:cs="Times New Roman"/>
          <w:color w:val="000000"/>
        </w:rPr>
        <w:t>6</w:t>
      </w:r>
      <w:r w:rsidR="00842AB8">
        <w:rPr>
          <w:rFonts w:ascii="Times New Roman" w:hAnsi="Times New Roman" w:cs="Times New Roman"/>
          <w:color w:val="000000"/>
        </w:rPr>
        <w:t>,</w:t>
      </w:r>
      <w:r w:rsidR="00BF011D">
        <w:rPr>
          <w:rFonts w:ascii="Times New Roman" w:hAnsi="Times New Roman" w:cs="Times New Roman"/>
          <w:color w:val="000000"/>
        </w:rPr>
        <w:t>7</w:t>
      </w:r>
      <w:r w:rsidR="00842AB8">
        <w:rPr>
          <w:rFonts w:ascii="Times New Roman" w:hAnsi="Times New Roman" w:cs="Times New Roman"/>
          <w:color w:val="000000"/>
        </w:rPr>
        <w:t>% un trimestre auparavant et 6</w:t>
      </w:r>
      <w:r w:rsidR="00BF011D">
        <w:rPr>
          <w:rFonts w:ascii="Times New Roman" w:hAnsi="Times New Roman" w:cs="Times New Roman"/>
          <w:color w:val="000000"/>
        </w:rPr>
        <w:t>9</w:t>
      </w:r>
      <w:r w:rsidR="00842AB8">
        <w:rPr>
          <w:rFonts w:ascii="Times New Roman" w:hAnsi="Times New Roman" w:cs="Times New Roman"/>
          <w:color w:val="000000"/>
        </w:rPr>
        <w:t>,</w:t>
      </w:r>
      <w:r w:rsidR="00BF011D">
        <w:rPr>
          <w:rFonts w:ascii="Times New Roman" w:hAnsi="Times New Roman" w:cs="Times New Roman"/>
          <w:color w:val="000000"/>
        </w:rPr>
        <w:t>3</w:t>
      </w:r>
      <w:r w:rsidR="00842AB8">
        <w:rPr>
          <w:rFonts w:ascii="Times New Roman" w:hAnsi="Times New Roman" w:cs="Times New Roman"/>
          <w:color w:val="000000"/>
        </w:rPr>
        <w:t xml:space="preserve">% un an auparavant. </w:t>
      </w:r>
      <w:r w:rsidR="00003F54">
        <w:rPr>
          <w:rFonts w:ascii="Times New Roman" w:hAnsi="Times New Roman" w:cs="Times New Roman"/>
          <w:color w:val="000000"/>
        </w:rPr>
        <w:t xml:space="preserve">Le solde de cet indicateur </w:t>
      </w:r>
      <w:r w:rsidR="009A19F3">
        <w:rPr>
          <w:rFonts w:ascii="Times New Roman" w:hAnsi="Times New Roman" w:cs="Times New Roman"/>
          <w:color w:val="000000"/>
        </w:rPr>
        <w:t>qui s’établi</w:t>
      </w:r>
      <w:r w:rsidR="001F5D34">
        <w:rPr>
          <w:rFonts w:ascii="Times New Roman" w:hAnsi="Times New Roman" w:cs="Times New Roman"/>
          <w:color w:val="000000"/>
        </w:rPr>
        <w:t>t</w:t>
      </w:r>
      <w:r w:rsidR="009A19F3">
        <w:rPr>
          <w:rFonts w:ascii="Times New Roman" w:hAnsi="Times New Roman" w:cs="Times New Roman"/>
          <w:color w:val="000000"/>
        </w:rPr>
        <w:t xml:space="preserve"> </w:t>
      </w:r>
      <w:r w:rsidR="001F5D34">
        <w:rPr>
          <w:rFonts w:ascii="Times New Roman" w:hAnsi="Times New Roman" w:cs="Times New Roman"/>
          <w:color w:val="000000"/>
        </w:rPr>
        <w:t xml:space="preserve">à </w:t>
      </w:r>
      <w:r w:rsidR="009A19F3">
        <w:rPr>
          <w:rFonts w:ascii="Times New Roman" w:hAnsi="Times New Roman" w:cs="Times New Roman"/>
          <w:color w:val="000000"/>
        </w:rPr>
        <w:t>- 6</w:t>
      </w:r>
      <w:r w:rsidR="00BF011D">
        <w:rPr>
          <w:rFonts w:ascii="Times New Roman" w:hAnsi="Times New Roman" w:cs="Times New Roman"/>
          <w:color w:val="000000"/>
        </w:rPr>
        <w:t>9</w:t>
      </w:r>
      <w:r w:rsidR="009A19F3">
        <w:rPr>
          <w:rFonts w:ascii="Times New Roman" w:hAnsi="Times New Roman" w:cs="Times New Roman"/>
          <w:color w:val="000000"/>
        </w:rPr>
        <w:t>,</w:t>
      </w:r>
      <w:r w:rsidR="00DB210F">
        <w:rPr>
          <w:rFonts w:ascii="Times New Roman" w:hAnsi="Times New Roman" w:cs="Times New Roman"/>
          <w:color w:val="000000"/>
        </w:rPr>
        <w:t>8</w:t>
      </w:r>
      <w:r w:rsidR="009A19F3">
        <w:rPr>
          <w:rFonts w:ascii="Times New Roman" w:hAnsi="Times New Roman" w:cs="Times New Roman"/>
          <w:color w:val="000000"/>
        </w:rPr>
        <w:t xml:space="preserve"> points </w:t>
      </w:r>
      <w:r w:rsidR="00003F54">
        <w:rPr>
          <w:rFonts w:ascii="Times New Roman" w:hAnsi="Times New Roman" w:cs="Times New Roman"/>
          <w:color w:val="000000"/>
        </w:rPr>
        <w:t>continue</w:t>
      </w:r>
      <w:r w:rsidR="00842AB8">
        <w:rPr>
          <w:rFonts w:ascii="Times New Roman" w:hAnsi="Times New Roman" w:cs="Times New Roman"/>
          <w:color w:val="000000"/>
        </w:rPr>
        <w:t xml:space="preserve"> </w:t>
      </w:r>
      <w:r w:rsidR="00003F54">
        <w:rPr>
          <w:rFonts w:ascii="Times New Roman" w:hAnsi="Times New Roman" w:cs="Times New Roman"/>
          <w:color w:val="000000"/>
        </w:rPr>
        <w:t>sa tendance baissière pour atteindre son niveau le plus bas depuis le début de l’enquête</w:t>
      </w:r>
      <w:r w:rsidR="001F5D34">
        <w:rPr>
          <w:rFonts w:ascii="Times New Roman" w:hAnsi="Times New Roman" w:cs="Times New Roman"/>
          <w:color w:val="000000"/>
        </w:rPr>
        <w:t xml:space="preserve">. </w:t>
      </w:r>
      <w:r w:rsidR="00B01E6B">
        <w:rPr>
          <w:rFonts w:ascii="Times New Roman" w:hAnsi="Times New Roman" w:cs="Times New Roman"/>
          <w:color w:val="000000"/>
        </w:rPr>
        <w:t xml:space="preserve">Il </w:t>
      </w:r>
      <w:r w:rsidR="00003F54">
        <w:rPr>
          <w:rFonts w:ascii="Times New Roman" w:hAnsi="Times New Roman" w:cs="Times New Roman"/>
          <w:color w:val="000000"/>
        </w:rPr>
        <w:t>enregistr</w:t>
      </w:r>
      <w:r w:rsidR="001F5D34">
        <w:rPr>
          <w:rFonts w:ascii="Times New Roman" w:hAnsi="Times New Roman" w:cs="Times New Roman"/>
          <w:color w:val="000000"/>
        </w:rPr>
        <w:t>e</w:t>
      </w:r>
      <w:r w:rsidR="00024314">
        <w:rPr>
          <w:rFonts w:ascii="Times New Roman" w:hAnsi="Times New Roman" w:cs="Times New Roman"/>
          <w:color w:val="000000"/>
        </w:rPr>
        <w:t xml:space="preserve"> ainsi, une détérioration </w:t>
      </w:r>
      <w:r w:rsidR="00003F54">
        <w:rPr>
          <w:rFonts w:ascii="Times New Roman" w:hAnsi="Times New Roman" w:cs="Times New Roman"/>
          <w:color w:val="000000"/>
        </w:rPr>
        <w:t xml:space="preserve">de </w:t>
      </w:r>
      <w:r w:rsidR="00DB210F">
        <w:rPr>
          <w:rFonts w:ascii="Times New Roman" w:hAnsi="Times New Roman" w:cs="Times New Roman"/>
          <w:color w:val="000000"/>
        </w:rPr>
        <w:t>2</w:t>
      </w:r>
      <w:r w:rsidR="00003F54">
        <w:rPr>
          <w:rFonts w:ascii="Times New Roman" w:hAnsi="Times New Roman" w:cs="Times New Roman"/>
          <w:color w:val="000000"/>
        </w:rPr>
        <w:t xml:space="preserve"> point</w:t>
      </w:r>
      <w:r w:rsidR="00DB210F">
        <w:rPr>
          <w:rFonts w:ascii="Times New Roman" w:hAnsi="Times New Roman" w:cs="Times New Roman"/>
          <w:color w:val="000000"/>
        </w:rPr>
        <w:t>s</w:t>
      </w:r>
      <w:r w:rsidR="00003F54">
        <w:rPr>
          <w:rFonts w:ascii="Times New Roman" w:hAnsi="Times New Roman" w:cs="Times New Roman"/>
          <w:color w:val="000000"/>
        </w:rPr>
        <w:t xml:space="preserve"> par rapport au trimestre précédent et de </w:t>
      </w:r>
      <w:r w:rsidR="00DB210F">
        <w:rPr>
          <w:rFonts w:ascii="Times New Roman" w:hAnsi="Times New Roman" w:cs="Times New Roman"/>
          <w:color w:val="000000"/>
        </w:rPr>
        <w:t>13,2</w:t>
      </w:r>
      <w:r w:rsidR="00003F54">
        <w:rPr>
          <w:rFonts w:ascii="Times New Roman" w:hAnsi="Times New Roman" w:cs="Times New Roman"/>
          <w:color w:val="000000"/>
        </w:rPr>
        <w:t xml:space="preserve"> points par rapport à la même période de 2012.</w:t>
      </w:r>
    </w:p>
    <w:p w:rsidR="00131E2D" w:rsidRDefault="00131E2D" w:rsidP="003F0597">
      <w:pPr>
        <w:widowControl/>
        <w:spacing w:before="240" w:line="276" w:lineRule="auto"/>
        <w:jc w:val="both"/>
        <w:rPr>
          <w:rFonts w:ascii="Times New Roman" w:hAnsi="Times New Roman" w:cs="Times New Roman"/>
          <w:color w:val="000000"/>
        </w:rPr>
      </w:pPr>
      <w:r w:rsidRPr="00131E2D"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6134100" cy="2752725"/>
            <wp:effectExtent l="19050" t="0" r="19050" b="0"/>
            <wp:docPr id="6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D2DA1" w:rsidRDefault="00BD2DA1" w:rsidP="00416870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BD2DA1" w:rsidRDefault="00BD2DA1" w:rsidP="00416870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C57B05" w:rsidRDefault="00C57B05" w:rsidP="00416870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C57B05" w:rsidRDefault="00C57B05" w:rsidP="00416870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C57B05" w:rsidRDefault="00C57B05" w:rsidP="00416870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3F0597" w:rsidRPr="00732D99" w:rsidRDefault="005D733B" w:rsidP="006D3D35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732D99">
        <w:rPr>
          <w:rFonts w:ascii="Times New Roman" w:hAnsi="Times New Roman" w:cs="Times New Roman"/>
          <w:b/>
          <w:bCs/>
          <w:color w:val="000000" w:themeColor="text1"/>
        </w:rPr>
        <w:t xml:space="preserve">• </w:t>
      </w:r>
      <w:r w:rsidR="006D3D35">
        <w:rPr>
          <w:rFonts w:ascii="Times New Roman" w:hAnsi="Times New Roman" w:cs="Times New Roman"/>
          <w:b/>
          <w:bCs/>
          <w:color w:val="000000" w:themeColor="text1"/>
        </w:rPr>
        <w:t xml:space="preserve">Une conjoncture </w:t>
      </w:r>
      <w:r w:rsidR="00161F45">
        <w:rPr>
          <w:rFonts w:ascii="Times New Roman" w:hAnsi="Times New Roman" w:cs="Times New Roman"/>
          <w:b/>
          <w:bCs/>
          <w:color w:val="000000" w:themeColor="text1"/>
        </w:rPr>
        <w:t xml:space="preserve">jugée </w:t>
      </w:r>
      <w:r w:rsidR="006D3D35">
        <w:rPr>
          <w:rFonts w:ascii="Times New Roman" w:hAnsi="Times New Roman" w:cs="Times New Roman"/>
          <w:b/>
          <w:bCs/>
          <w:color w:val="000000" w:themeColor="text1"/>
        </w:rPr>
        <w:t>défavorable pour l’</w:t>
      </w:r>
      <w:r w:rsidR="00311292">
        <w:rPr>
          <w:rFonts w:ascii="Times New Roman" w:hAnsi="Times New Roman" w:cs="Times New Roman"/>
          <w:b/>
          <w:bCs/>
          <w:color w:val="000000" w:themeColor="text1"/>
        </w:rPr>
        <w:t>achat de biens durables</w:t>
      </w:r>
      <w:r w:rsidR="003F0597" w:rsidRPr="00732D9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:rsidR="00233531" w:rsidRDefault="00233531" w:rsidP="00233531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1672BD" w:rsidRDefault="00996593" w:rsidP="00EB3D82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Plus </w:t>
      </w:r>
      <w:r w:rsidR="002226A1">
        <w:rPr>
          <w:rFonts w:ascii="Times New Roman" w:hAnsi="Times New Roman" w:cs="Times New Roman"/>
          <w:color w:val="000000"/>
        </w:rPr>
        <w:t>de 5</w:t>
      </w:r>
      <w:r>
        <w:rPr>
          <w:rFonts w:ascii="Times New Roman" w:hAnsi="Times New Roman" w:cs="Times New Roman"/>
          <w:color w:val="000000"/>
        </w:rPr>
        <w:t>0</w:t>
      </w:r>
      <w:r w:rsidR="002226A1">
        <w:rPr>
          <w:rFonts w:ascii="Times New Roman" w:hAnsi="Times New Roman" w:cs="Times New Roman"/>
          <w:color w:val="000000"/>
        </w:rPr>
        <w:t>% d</w:t>
      </w:r>
      <w:r w:rsidR="002D2970">
        <w:rPr>
          <w:rFonts w:ascii="Times New Roman" w:hAnsi="Times New Roman" w:cs="Times New Roman"/>
          <w:color w:val="000000"/>
        </w:rPr>
        <w:t xml:space="preserve">es ménages marocains </w:t>
      </w:r>
      <w:r w:rsidR="00E265E4" w:rsidRPr="00DB06E9">
        <w:rPr>
          <w:rFonts w:ascii="Times New Roman" w:hAnsi="Times New Roman" w:cs="Times New Roman"/>
          <w:color w:val="000000"/>
        </w:rPr>
        <w:t>considèrent</w:t>
      </w:r>
      <w:r w:rsidR="002D2970">
        <w:rPr>
          <w:rFonts w:ascii="Times New Roman" w:hAnsi="Times New Roman" w:cs="Times New Roman"/>
          <w:color w:val="000000"/>
        </w:rPr>
        <w:t>,</w:t>
      </w:r>
      <w:r w:rsidR="00E265E4" w:rsidRPr="00DB06E9">
        <w:rPr>
          <w:rFonts w:ascii="Times New Roman" w:hAnsi="Times New Roman" w:cs="Times New Roman"/>
          <w:color w:val="000000"/>
        </w:rPr>
        <w:t xml:space="preserve"> </w:t>
      </w:r>
      <w:r w:rsidR="002D2970">
        <w:rPr>
          <w:rFonts w:ascii="Times New Roman" w:hAnsi="Times New Roman" w:cs="Times New Roman"/>
          <w:color w:val="000000"/>
        </w:rPr>
        <w:t>a</w:t>
      </w:r>
      <w:r w:rsidR="002D2970" w:rsidRPr="00DB06E9">
        <w:rPr>
          <w:rFonts w:ascii="Times New Roman" w:hAnsi="Times New Roman" w:cs="Times New Roman"/>
          <w:color w:val="000000"/>
        </w:rPr>
        <w:t xml:space="preserve">u </w:t>
      </w:r>
      <w:r w:rsidR="00AD6880">
        <w:rPr>
          <w:rFonts w:ascii="Times New Roman" w:hAnsi="Times New Roman" w:cs="Times New Roman"/>
          <w:color w:val="000000"/>
        </w:rPr>
        <w:t>troisième</w:t>
      </w:r>
      <w:r w:rsidR="001B3707">
        <w:rPr>
          <w:rFonts w:ascii="Times New Roman" w:hAnsi="Times New Roman" w:cs="Times New Roman"/>
          <w:color w:val="000000"/>
        </w:rPr>
        <w:t xml:space="preserve"> trimestre</w:t>
      </w:r>
      <w:r w:rsidR="00370A60">
        <w:rPr>
          <w:rFonts w:ascii="Times New Roman" w:hAnsi="Times New Roman" w:cs="Times New Roman"/>
          <w:color w:val="000000"/>
        </w:rPr>
        <w:t xml:space="preserve"> </w:t>
      </w:r>
      <w:r w:rsidR="002D2970" w:rsidRPr="00DB06E9">
        <w:rPr>
          <w:rFonts w:ascii="Times New Roman" w:hAnsi="Times New Roman" w:cs="Times New Roman"/>
          <w:color w:val="000000"/>
        </w:rPr>
        <w:t>de 201</w:t>
      </w:r>
      <w:r w:rsidR="00811DBB">
        <w:rPr>
          <w:rFonts w:ascii="Times New Roman" w:hAnsi="Times New Roman" w:cs="Times New Roman"/>
          <w:color w:val="000000"/>
        </w:rPr>
        <w:t>3</w:t>
      </w:r>
      <w:r w:rsidR="002D2970" w:rsidRPr="00DB06E9">
        <w:rPr>
          <w:rFonts w:ascii="Times New Roman" w:hAnsi="Times New Roman" w:cs="Times New Roman"/>
          <w:color w:val="000000"/>
        </w:rPr>
        <w:t xml:space="preserve">, </w:t>
      </w:r>
      <w:r w:rsidR="000F6CE8" w:rsidRPr="00DB06E9">
        <w:rPr>
          <w:rFonts w:ascii="Times New Roman" w:hAnsi="Times New Roman" w:cs="Times New Roman"/>
          <w:color w:val="000000"/>
        </w:rPr>
        <w:t xml:space="preserve">que </w:t>
      </w:r>
      <w:r w:rsidR="0019435A" w:rsidRPr="00DB06E9">
        <w:rPr>
          <w:rFonts w:ascii="Times New Roman" w:hAnsi="Times New Roman" w:cs="Times New Roman"/>
          <w:color w:val="000000"/>
        </w:rPr>
        <w:t xml:space="preserve">le moment </w:t>
      </w:r>
      <w:r w:rsidR="00E265E4" w:rsidRPr="00DB06E9">
        <w:rPr>
          <w:rFonts w:ascii="Times New Roman" w:hAnsi="Times New Roman" w:cs="Times New Roman"/>
          <w:color w:val="000000"/>
        </w:rPr>
        <w:t xml:space="preserve">n’est pas </w:t>
      </w:r>
      <w:r w:rsidR="00E9062C" w:rsidRPr="00DB06E9">
        <w:rPr>
          <w:rFonts w:ascii="Times New Roman" w:hAnsi="Times New Roman" w:cs="Times New Roman"/>
          <w:color w:val="000000"/>
        </w:rPr>
        <w:t xml:space="preserve">opportun </w:t>
      </w:r>
      <w:r w:rsidR="00A7325E" w:rsidRPr="00DB06E9">
        <w:rPr>
          <w:rFonts w:ascii="Times New Roman" w:hAnsi="Times New Roman" w:cs="Times New Roman"/>
          <w:color w:val="000000"/>
        </w:rPr>
        <w:t>pour</w:t>
      </w:r>
      <w:r w:rsidR="00E9062C" w:rsidRPr="00DB06E9">
        <w:rPr>
          <w:rFonts w:ascii="Times New Roman" w:hAnsi="Times New Roman" w:cs="Times New Roman"/>
          <w:color w:val="000000"/>
        </w:rPr>
        <w:t xml:space="preserve"> faire des achats </w:t>
      </w:r>
      <w:r w:rsidR="0019435A" w:rsidRPr="00DB06E9">
        <w:rPr>
          <w:rFonts w:ascii="Times New Roman" w:hAnsi="Times New Roman" w:cs="Times New Roman"/>
          <w:color w:val="000000"/>
        </w:rPr>
        <w:t>de biens durables</w:t>
      </w:r>
      <w:r w:rsidR="00097300">
        <w:rPr>
          <w:rFonts w:ascii="Times New Roman" w:hAnsi="Times New Roman" w:cs="Times New Roman"/>
          <w:color w:val="000000"/>
        </w:rPr>
        <w:t xml:space="preserve"> </w:t>
      </w:r>
      <w:r w:rsidR="009A2085">
        <w:rPr>
          <w:rFonts w:ascii="Times New Roman" w:hAnsi="Times New Roman" w:cs="Times New Roman"/>
          <w:color w:val="000000"/>
        </w:rPr>
        <w:t>alors que</w:t>
      </w:r>
      <w:r w:rsidR="00381490">
        <w:rPr>
          <w:rFonts w:ascii="Times New Roman" w:hAnsi="Times New Roman" w:cs="Times New Roman"/>
          <w:color w:val="000000"/>
        </w:rPr>
        <w:t xml:space="preserve"> </w:t>
      </w:r>
      <w:r w:rsidR="00C334F9">
        <w:rPr>
          <w:rFonts w:ascii="Times New Roman" w:hAnsi="Times New Roman" w:cs="Times New Roman"/>
          <w:color w:val="000000"/>
        </w:rPr>
        <w:t>2</w:t>
      </w:r>
      <w:r w:rsidR="002226A1">
        <w:rPr>
          <w:rFonts w:ascii="Times New Roman" w:hAnsi="Times New Roman" w:cs="Times New Roman"/>
          <w:color w:val="000000"/>
        </w:rPr>
        <w:t>0</w:t>
      </w:r>
      <w:r w:rsidR="00C334F9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>5</w:t>
      </w:r>
      <w:r w:rsidR="00381490">
        <w:rPr>
          <w:rFonts w:ascii="Times New Roman" w:hAnsi="Times New Roman" w:cs="Times New Roman"/>
          <w:color w:val="000000"/>
        </w:rPr>
        <w:t xml:space="preserve">% </w:t>
      </w:r>
      <w:r w:rsidR="00097300">
        <w:rPr>
          <w:rFonts w:ascii="Times New Roman" w:hAnsi="Times New Roman" w:cs="Times New Roman"/>
          <w:color w:val="000000"/>
        </w:rPr>
        <w:t>pens</w:t>
      </w:r>
      <w:r w:rsidR="00381490">
        <w:rPr>
          <w:rFonts w:ascii="Times New Roman" w:hAnsi="Times New Roman" w:cs="Times New Roman"/>
          <w:color w:val="000000"/>
        </w:rPr>
        <w:t>ent le contraire</w:t>
      </w:r>
      <w:r w:rsidR="00C334F9">
        <w:rPr>
          <w:rFonts w:ascii="Times New Roman" w:hAnsi="Times New Roman" w:cs="Times New Roman"/>
          <w:color w:val="000000"/>
        </w:rPr>
        <w:t xml:space="preserve">. </w:t>
      </w:r>
      <w:r w:rsidR="00EB3D82">
        <w:rPr>
          <w:rFonts w:ascii="Times New Roman" w:hAnsi="Times New Roman" w:cs="Times New Roman"/>
          <w:color w:val="000000"/>
        </w:rPr>
        <w:t xml:space="preserve">Bien que le solde de cet indicateur reprend son niveau de la même période </w:t>
      </w:r>
      <w:r w:rsidR="00EB3D82" w:rsidRPr="00DB06E9">
        <w:rPr>
          <w:rFonts w:ascii="Times New Roman" w:hAnsi="Times New Roman" w:cs="Times New Roman"/>
          <w:color w:val="000000"/>
        </w:rPr>
        <w:t xml:space="preserve">de </w:t>
      </w:r>
      <w:r w:rsidR="00EB3D82">
        <w:rPr>
          <w:rFonts w:ascii="Times New Roman" w:hAnsi="Times New Roman" w:cs="Times New Roman"/>
          <w:color w:val="000000"/>
        </w:rPr>
        <w:t>2012 (</w:t>
      </w:r>
      <w:r w:rsidR="00671777">
        <w:rPr>
          <w:rFonts w:ascii="Times New Roman" w:hAnsi="Times New Roman" w:cs="Times New Roman"/>
          <w:color w:val="000000"/>
        </w:rPr>
        <w:t>-29,5 points</w:t>
      </w:r>
      <w:r w:rsidR="00EB3D82">
        <w:rPr>
          <w:rFonts w:ascii="Times New Roman" w:hAnsi="Times New Roman" w:cs="Times New Roman"/>
          <w:color w:val="000000"/>
        </w:rPr>
        <w:t>)</w:t>
      </w:r>
      <w:r w:rsidR="00671777">
        <w:rPr>
          <w:rFonts w:ascii="Times New Roman" w:hAnsi="Times New Roman" w:cs="Times New Roman"/>
          <w:color w:val="000000"/>
        </w:rPr>
        <w:t xml:space="preserve">, </w:t>
      </w:r>
      <w:r w:rsidR="00EB3D82">
        <w:rPr>
          <w:rFonts w:ascii="Times New Roman" w:hAnsi="Times New Roman" w:cs="Times New Roman"/>
          <w:color w:val="000000"/>
        </w:rPr>
        <w:t xml:space="preserve">il enregistre néanmoins </w:t>
      </w:r>
      <w:r w:rsidR="00FD2441">
        <w:rPr>
          <w:rFonts w:ascii="Times New Roman" w:hAnsi="Times New Roman" w:cs="Times New Roman"/>
          <w:color w:val="000000"/>
        </w:rPr>
        <w:t>une</w:t>
      </w:r>
      <w:r w:rsidR="00705867">
        <w:rPr>
          <w:rFonts w:ascii="Times New Roman" w:hAnsi="Times New Roman" w:cs="Times New Roman"/>
          <w:color w:val="000000"/>
        </w:rPr>
        <w:t xml:space="preserve"> </w:t>
      </w:r>
      <w:r w:rsidR="002164DC">
        <w:rPr>
          <w:rFonts w:ascii="Times New Roman" w:hAnsi="Times New Roman" w:cs="Times New Roman"/>
          <w:color w:val="000000"/>
        </w:rPr>
        <w:t xml:space="preserve">amélioration </w:t>
      </w:r>
      <w:r w:rsidR="00EB3D82">
        <w:rPr>
          <w:rFonts w:ascii="Times New Roman" w:hAnsi="Times New Roman" w:cs="Times New Roman"/>
          <w:color w:val="000000"/>
        </w:rPr>
        <w:t>estimée à</w:t>
      </w:r>
      <w:r w:rsidR="002164DC">
        <w:rPr>
          <w:rFonts w:ascii="Times New Roman" w:hAnsi="Times New Roman" w:cs="Times New Roman"/>
          <w:color w:val="000000"/>
        </w:rPr>
        <w:t xml:space="preserve"> </w:t>
      </w:r>
      <w:r w:rsidR="00FD2441">
        <w:rPr>
          <w:rFonts w:ascii="Times New Roman" w:hAnsi="Times New Roman" w:cs="Times New Roman"/>
          <w:color w:val="000000"/>
        </w:rPr>
        <w:t>2,2</w:t>
      </w:r>
      <w:r w:rsidR="002226A1">
        <w:rPr>
          <w:rFonts w:ascii="Times New Roman" w:hAnsi="Times New Roman" w:cs="Times New Roman"/>
          <w:color w:val="000000"/>
        </w:rPr>
        <w:t xml:space="preserve"> </w:t>
      </w:r>
      <w:r w:rsidR="00705867" w:rsidRPr="00DB06E9">
        <w:rPr>
          <w:rFonts w:ascii="Times New Roman" w:hAnsi="Times New Roman" w:cs="Times New Roman"/>
          <w:color w:val="000000"/>
        </w:rPr>
        <w:t>point</w:t>
      </w:r>
      <w:r w:rsidR="002226A1">
        <w:rPr>
          <w:rFonts w:ascii="Times New Roman" w:hAnsi="Times New Roman" w:cs="Times New Roman"/>
          <w:color w:val="000000"/>
        </w:rPr>
        <w:t>s</w:t>
      </w:r>
      <w:r w:rsidR="00705867">
        <w:rPr>
          <w:rFonts w:ascii="Times New Roman" w:hAnsi="Times New Roman" w:cs="Times New Roman"/>
          <w:color w:val="000000"/>
        </w:rPr>
        <w:t xml:space="preserve"> </w:t>
      </w:r>
      <w:r w:rsidR="003C4254">
        <w:rPr>
          <w:rFonts w:ascii="Times New Roman" w:hAnsi="Times New Roman" w:cs="Times New Roman"/>
          <w:color w:val="000000"/>
        </w:rPr>
        <w:t xml:space="preserve">par rapport </w:t>
      </w:r>
      <w:r w:rsidR="003C4254" w:rsidRPr="00DB06E9">
        <w:rPr>
          <w:rFonts w:ascii="Times New Roman" w:hAnsi="Times New Roman" w:cs="Times New Roman"/>
          <w:color w:val="000000"/>
        </w:rPr>
        <w:t>au trimestre précédent</w:t>
      </w:r>
      <w:r w:rsidR="00FD2441">
        <w:rPr>
          <w:rFonts w:ascii="Times New Roman" w:hAnsi="Times New Roman" w:cs="Times New Roman"/>
          <w:color w:val="000000"/>
        </w:rPr>
        <w:t>.</w:t>
      </w:r>
      <w:r w:rsidR="003C4254" w:rsidRPr="00DB06E9">
        <w:rPr>
          <w:rFonts w:ascii="Times New Roman" w:hAnsi="Times New Roman" w:cs="Times New Roman"/>
          <w:color w:val="000000"/>
        </w:rPr>
        <w:t xml:space="preserve"> </w:t>
      </w:r>
    </w:p>
    <w:p w:rsidR="00FD2441" w:rsidRDefault="00FD2441" w:rsidP="00FD2441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5C473B" w:rsidRDefault="00131E2D" w:rsidP="00547601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131E2D"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6305550" cy="2647950"/>
            <wp:effectExtent l="19050" t="0" r="19050" b="0"/>
            <wp:docPr id="7" name="Graphique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551E0" w:rsidRDefault="006551E0" w:rsidP="00B36214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222682" w:rsidRPr="00823EFA" w:rsidRDefault="00222682" w:rsidP="006D3D35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823EFA">
        <w:rPr>
          <w:rFonts w:ascii="Times New Roman" w:hAnsi="Times New Roman" w:cs="Times New Roman"/>
          <w:b/>
          <w:bCs/>
          <w:color w:val="000000" w:themeColor="text1"/>
        </w:rPr>
        <w:t>•</w:t>
      </w:r>
      <w:r w:rsidR="008F01C0" w:rsidRPr="00823EFA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6D3D35">
        <w:rPr>
          <w:rFonts w:ascii="Times New Roman" w:hAnsi="Times New Roman" w:cs="Times New Roman"/>
          <w:b/>
          <w:bCs/>
          <w:color w:val="000000" w:themeColor="text1"/>
        </w:rPr>
        <w:t>Perception d’une légère amélioration</w:t>
      </w:r>
      <w:r w:rsidR="006D3D35" w:rsidRPr="00823EFA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6D3D35">
        <w:rPr>
          <w:rFonts w:ascii="Times New Roman" w:hAnsi="Times New Roman" w:cs="Times New Roman"/>
          <w:b/>
          <w:bCs/>
          <w:color w:val="000000" w:themeColor="text1"/>
        </w:rPr>
        <w:t xml:space="preserve">de la </w:t>
      </w:r>
      <w:r w:rsidR="0087393D" w:rsidRPr="00823EFA">
        <w:rPr>
          <w:rFonts w:ascii="Times New Roman" w:hAnsi="Times New Roman" w:cs="Times New Roman"/>
          <w:b/>
          <w:bCs/>
          <w:color w:val="000000" w:themeColor="text1"/>
        </w:rPr>
        <w:t>s</w:t>
      </w:r>
      <w:r w:rsidRPr="00823EFA">
        <w:rPr>
          <w:rFonts w:ascii="Times New Roman" w:hAnsi="Times New Roman" w:cs="Times New Roman"/>
          <w:b/>
          <w:bCs/>
          <w:color w:val="000000" w:themeColor="text1"/>
        </w:rPr>
        <w:t>ituation financière</w:t>
      </w:r>
      <w:r w:rsidR="008F01C0" w:rsidRPr="00823EFA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:rsidR="004D3202" w:rsidRDefault="001A6BB6" w:rsidP="00A97CAB">
      <w:pPr>
        <w:widowControl/>
        <w:spacing w:before="24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Pour </w:t>
      </w:r>
      <w:r w:rsidR="004D3202">
        <w:rPr>
          <w:rFonts w:ascii="Times New Roman" w:hAnsi="Times New Roman" w:cs="Times New Roman"/>
          <w:color w:val="000000"/>
        </w:rPr>
        <w:t>5</w:t>
      </w:r>
      <w:r w:rsidR="00720767">
        <w:rPr>
          <w:rFonts w:ascii="Times New Roman" w:hAnsi="Times New Roman" w:cs="Times New Roman"/>
          <w:color w:val="000000"/>
        </w:rPr>
        <w:t>7</w:t>
      </w:r>
      <w:r w:rsidR="008379F4">
        <w:rPr>
          <w:rFonts w:ascii="Times New Roman" w:hAnsi="Times New Roman" w:cs="Times New Roman"/>
          <w:color w:val="000000"/>
        </w:rPr>
        <w:t>,</w:t>
      </w:r>
      <w:r w:rsidR="00720767">
        <w:rPr>
          <w:rFonts w:ascii="Times New Roman" w:hAnsi="Times New Roman" w:cs="Times New Roman"/>
          <w:color w:val="000000"/>
        </w:rPr>
        <w:t>9</w:t>
      </w:r>
      <w:r w:rsidR="004D3202">
        <w:rPr>
          <w:rFonts w:ascii="Times New Roman" w:hAnsi="Times New Roman" w:cs="Times New Roman"/>
          <w:color w:val="000000"/>
        </w:rPr>
        <w:t xml:space="preserve">% </w:t>
      </w:r>
      <w:r w:rsidR="00490E21">
        <w:rPr>
          <w:rFonts w:ascii="Times New Roman" w:hAnsi="Times New Roman" w:cs="Times New Roman"/>
          <w:color w:val="000000"/>
        </w:rPr>
        <w:t>des ménages</w:t>
      </w:r>
      <w:r>
        <w:rPr>
          <w:rFonts w:ascii="Times New Roman" w:hAnsi="Times New Roman" w:cs="Times New Roman"/>
          <w:color w:val="000000"/>
        </w:rPr>
        <w:t>,</w:t>
      </w:r>
      <w:r w:rsidR="00490E21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leurs revenus couvrent leurs dépenses, alors que </w:t>
      </w:r>
      <w:r w:rsidR="004D3202">
        <w:rPr>
          <w:rFonts w:ascii="Times New Roman" w:hAnsi="Times New Roman" w:cs="Times New Roman"/>
          <w:color w:val="000000"/>
        </w:rPr>
        <w:t xml:space="preserve"> </w:t>
      </w:r>
      <w:r w:rsidR="00570BDD">
        <w:rPr>
          <w:rFonts w:ascii="Times New Roman" w:hAnsi="Times New Roman" w:cs="Times New Roman"/>
          <w:color w:val="000000"/>
        </w:rPr>
        <w:t>3</w:t>
      </w:r>
      <w:r w:rsidR="008379F4">
        <w:rPr>
          <w:rFonts w:ascii="Times New Roman" w:hAnsi="Times New Roman" w:cs="Times New Roman"/>
          <w:color w:val="000000"/>
        </w:rPr>
        <w:t>5</w:t>
      </w:r>
      <w:r w:rsidR="004D3202">
        <w:rPr>
          <w:rFonts w:ascii="Times New Roman" w:hAnsi="Times New Roman" w:cs="Times New Roman"/>
          <w:color w:val="000000"/>
        </w:rPr>
        <w:t>,</w:t>
      </w:r>
      <w:r w:rsidR="00720767">
        <w:rPr>
          <w:rFonts w:ascii="Times New Roman" w:hAnsi="Times New Roman" w:cs="Times New Roman"/>
          <w:color w:val="000000"/>
        </w:rPr>
        <w:t>8</w:t>
      </w:r>
      <w:r w:rsidR="004D3202">
        <w:rPr>
          <w:rFonts w:ascii="Times New Roman" w:hAnsi="Times New Roman" w:cs="Times New Roman"/>
          <w:color w:val="000000"/>
        </w:rPr>
        <w:t xml:space="preserve">% </w:t>
      </w:r>
      <w:r>
        <w:rPr>
          <w:rFonts w:ascii="Times New Roman" w:hAnsi="Times New Roman" w:cs="Times New Roman"/>
          <w:color w:val="000000"/>
        </w:rPr>
        <w:t xml:space="preserve">d’entre eux s’endettent ou puisent pour cela dans leurs épargnes. </w:t>
      </w:r>
      <w:r w:rsidR="00511C57">
        <w:rPr>
          <w:rFonts w:ascii="Times New Roman" w:hAnsi="Times New Roman" w:cs="Times New Roman"/>
          <w:color w:val="000000"/>
        </w:rPr>
        <w:t>S</w:t>
      </w:r>
      <w:r w:rsidR="004D3202">
        <w:rPr>
          <w:rFonts w:ascii="Times New Roman" w:hAnsi="Times New Roman" w:cs="Times New Roman"/>
          <w:color w:val="000000"/>
        </w:rPr>
        <w:t xml:space="preserve">euls </w:t>
      </w:r>
      <w:r w:rsidR="00720767">
        <w:rPr>
          <w:rFonts w:ascii="Times New Roman" w:hAnsi="Times New Roman" w:cs="Times New Roman"/>
          <w:color w:val="000000"/>
        </w:rPr>
        <w:t>6</w:t>
      </w:r>
      <w:r w:rsidR="004D3202">
        <w:rPr>
          <w:rFonts w:ascii="Times New Roman" w:hAnsi="Times New Roman" w:cs="Times New Roman"/>
          <w:color w:val="000000"/>
        </w:rPr>
        <w:t>,</w:t>
      </w:r>
      <w:r w:rsidR="00720767">
        <w:rPr>
          <w:rFonts w:ascii="Times New Roman" w:hAnsi="Times New Roman" w:cs="Times New Roman"/>
          <w:color w:val="000000"/>
        </w:rPr>
        <w:t>3</w:t>
      </w:r>
      <w:r w:rsidR="004D3202">
        <w:rPr>
          <w:rFonts w:ascii="Times New Roman" w:hAnsi="Times New Roman" w:cs="Times New Roman"/>
          <w:color w:val="000000"/>
        </w:rPr>
        <w:t xml:space="preserve">% </w:t>
      </w:r>
      <w:r w:rsidR="00511C57">
        <w:rPr>
          <w:rFonts w:ascii="Times New Roman" w:hAnsi="Times New Roman" w:cs="Times New Roman"/>
          <w:color w:val="000000"/>
        </w:rPr>
        <w:t xml:space="preserve">des ménages </w:t>
      </w:r>
      <w:r w:rsidR="004D3202">
        <w:rPr>
          <w:rFonts w:ascii="Times New Roman" w:hAnsi="Times New Roman" w:cs="Times New Roman"/>
          <w:color w:val="000000"/>
        </w:rPr>
        <w:t xml:space="preserve">déclarent </w:t>
      </w:r>
      <w:r w:rsidR="00705867">
        <w:rPr>
          <w:rFonts w:ascii="Times New Roman" w:hAnsi="Times New Roman" w:cs="Times New Roman"/>
          <w:color w:val="000000"/>
        </w:rPr>
        <w:t xml:space="preserve">pouvoir </w:t>
      </w:r>
      <w:r w:rsidR="004D3202">
        <w:rPr>
          <w:rFonts w:ascii="Times New Roman" w:hAnsi="Times New Roman" w:cs="Times New Roman"/>
          <w:color w:val="000000"/>
        </w:rPr>
        <w:t>épargner</w:t>
      </w:r>
      <w:r w:rsidR="00705867">
        <w:rPr>
          <w:rFonts w:ascii="Times New Roman" w:hAnsi="Times New Roman" w:cs="Times New Roman"/>
          <w:color w:val="000000"/>
        </w:rPr>
        <w:t xml:space="preserve"> une partie de leur revenu</w:t>
      </w:r>
      <w:r w:rsidR="004D3202">
        <w:rPr>
          <w:rFonts w:ascii="Times New Roman" w:hAnsi="Times New Roman" w:cs="Times New Roman"/>
          <w:color w:val="000000"/>
        </w:rPr>
        <w:t xml:space="preserve">. Le solde de </w:t>
      </w:r>
      <w:r>
        <w:rPr>
          <w:rFonts w:ascii="Times New Roman" w:hAnsi="Times New Roman" w:cs="Times New Roman"/>
          <w:color w:val="000000"/>
        </w:rPr>
        <w:t>l’</w:t>
      </w:r>
      <w:r w:rsidR="004D3202">
        <w:rPr>
          <w:rFonts w:ascii="Times New Roman" w:hAnsi="Times New Roman" w:cs="Times New Roman"/>
          <w:color w:val="000000"/>
        </w:rPr>
        <w:t xml:space="preserve">indicateur </w:t>
      </w:r>
      <w:r>
        <w:rPr>
          <w:rFonts w:ascii="Times New Roman" w:hAnsi="Times New Roman" w:cs="Times New Roman"/>
          <w:color w:val="000000"/>
        </w:rPr>
        <w:t xml:space="preserve">relatif à la situation financière actuelle des ménages </w:t>
      </w:r>
      <w:r w:rsidR="004D3202">
        <w:rPr>
          <w:rFonts w:ascii="Times New Roman" w:hAnsi="Times New Roman" w:cs="Times New Roman"/>
          <w:color w:val="000000"/>
        </w:rPr>
        <w:t xml:space="preserve">s’établit ainsi à un niveau négatif de </w:t>
      </w:r>
      <w:r w:rsidR="00857F10">
        <w:rPr>
          <w:rFonts w:ascii="Times New Roman" w:hAnsi="Times New Roman" w:cs="Times New Roman"/>
          <w:color w:val="000000"/>
        </w:rPr>
        <w:t>-</w:t>
      </w:r>
      <w:r w:rsidR="0090769B">
        <w:rPr>
          <w:rFonts w:ascii="Times New Roman" w:hAnsi="Times New Roman" w:cs="Times New Roman"/>
          <w:color w:val="000000"/>
        </w:rPr>
        <w:t>29</w:t>
      </w:r>
      <w:r w:rsidR="00DF0119">
        <w:rPr>
          <w:rFonts w:ascii="Times New Roman" w:hAnsi="Times New Roman" w:cs="Times New Roman"/>
          <w:color w:val="000000"/>
        </w:rPr>
        <w:t>,</w:t>
      </w:r>
      <w:r w:rsidR="00720767">
        <w:rPr>
          <w:rFonts w:ascii="Times New Roman" w:hAnsi="Times New Roman" w:cs="Times New Roman"/>
          <w:color w:val="000000"/>
        </w:rPr>
        <w:t>5</w:t>
      </w:r>
      <w:r w:rsidR="004D3202">
        <w:rPr>
          <w:rFonts w:ascii="Times New Roman" w:hAnsi="Times New Roman" w:cs="Times New Roman"/>
          <w:color w:val="000000"/>
        </w:rPr>
        <w:t xml:space="preserve"> points, </w:t>
      </w:r>
      <w:r w:rsidR="006A0913">
        <w:rPr>
          <w:rFonts w:ascii="Times New Roman" w:hAnsi="Times New Roman" w:cs="Times New Roman"/>
          <w:color w:val="000000"/>
        </w:rPr>
        <w:t xml:space="preserve">en </w:t>
      </w:r>
      <w:r w:rsidR="004E5520">
        <w:rPr>
          <w:rFonts w:ascii="Times New Roman" w:hAnsi="Times New Roman" w:cs="Times New Roman"/>
          <w:color w:val="000000"/>
        </w:rPr>
        <w:t>hau</w:t>
      </w:r>
      <w:r w:rsidR="006A0913">
        <w:rPr>
          <w:rFonts w:ascii="Times New Roman" w:hAnsi="Times New Roman" w:cs="Times New Roman"/>
          <w:color w:val="000000"/>
        </w:rPr>
        <w:t xml:space="preserve">sse </w:t>
      </w:r>
      <w:r w:rsidR="004D3202">
        <w:rPr>
          <w:rFonts w:ascii="Times New Roman" w:hAnsi="Times New Roman" w:cs="Times New Roman"/>
          <w:color w:val="000000"/>
        </w:rPr>
        <w:t xml:space="preserve">de </w:t>
      </w:r>
      <w:r w:rsidR="00C65929">
        <w:rPr>
          <w:rFonts w:ascii="Times New Roman" w:hAnsi="Times New Roman" w:cs="Times New Roman"/>
          <w:color w:val="000000"/>
        </w:rPr>
        <w:t>1,</w:t>
      </w:r>
      <w:r w:rsidR="004274C1">
        <w:rPr>
          <w:rFonts w:ascii="Times New Roman" w:hAnsi="Times New Roman" w:cs="Times New Roman"/>
          <w:color w:val="000000"/>
        </w:rPr>
        <w:t>3</w:t>
      </w:r>
      <w:r w:rsidR="004E5520">
        <w:rPr>
          <w:rFonts w:ascii="Times New Roman" w:hAnsi="Times New Roman" w:cs="Times New Roman"/>
          <w:color w:val="000000"/>
        </w:rPr>
        <w:t xml:space="preserve"> point</w:t>
      </w:r>
      <w:r w:rsidR="004D3202">
        <w:rPr>
          <w:rFonts w:ascii="Times New Roman" w:hAnsi="Times New Roman" w:cs="Times New Roman"/>
          <w:color w:val="000000"/>
        </w:rPr>
        <w:t xml:space="preserve"> par ra</w:t>
      </w:r>
      <w:r w:rsidR="00C35BF2">
        <w:rPr>
          <w:rFonts w:ascii="Times New Roman" w:hAnsi="Times New Roman" w:cs="Times New Roman"/>
          <w:color w:val="000000"/>
        </w:rPr>
        <w:t>pport au même trimestre de 201</w:t>
      </w:r>
      <w:r w:rsidR="004F0AE6">
        <w:rPr>
          <w:rFonts w:ascii="Times New Roman" w:hAnsi="Times New Roman" w:cs="Times New Roman"/>
          <w:color w:val="000000"/>
        </w:rPr>
        <w:t>2</w:t>
      </w:r>
      <w:r w:rsidR="00705867" w:rsidRPr="00705867">
        <w:rPr>
          <w:rFonts w:ascii="Times New Roman" w:hAnsi="Times New Roman" w:cs="Times New Roman"/>
          <w:color w:val="000000"/>
        </w:rPr>
        <w:t xml:space="preserve"> </w:t>
      </w:r>
      <w:r w:rsidR="00C35BF2">
        <w:rPr>
          <w:rFonts w:ascii="Times New Roman" w:hAnsi="Times New Roman" w:cs="Times New Roman"/>
          <w:color w:val="000000"/>
        </w:rPr>
        <w:t>e</w:t>
      </w:r>
      <w:r w:rsidR="00705867">
        <w:rPr>
          <w:rFonts w:ascii="Times New Roman" w:hAnsi="Times New Roman" w:cs="Times New Roman"/>
          <w:color w:val="000000"/>
        </w:rPr>
        <w:t>t</w:t>
      </w:r>
      <w:r w:rsidR="002B2EC5">
        <w:rPr>
          <w:rFonts w:ascii="Times New Roman" w:hAnsi="Times New Roman" w:cs="Times New Roman"/>
          <w:color w:val="000000"/>
        </w:rPr>
        <w:t xml:space="preserve"> </w:t>
      </w:r>
      <w:r w:rsidR="00705867">
        <w:rPr>
          <w:rFonts w:ascii="Times New Roman" w:hAnsi="Times New Roman" w:cs="Times New Roman"/>
          <w:color w:val="000000"/>
        </w:rPr>
        <w:t xml:space="preserve">de </w:t>
      </w:r>
      <w:r w:rsidR="00C65929">
        <w:rPr>
          <w:rFonts w:ascii="Times New Roman" w:hAnsi="Times New Roman" w:cs="Times New Roman"/>
          <w:color w:val="000000"/>
        </w:rPr>
        <w:t>0,</w:t>
      </w:r>
      <w:r w:rsidR="00720767">
        <w:rPr>
          <w:rFonts w:ascii="Times New Roman" w:hAnsi="Times New Roman" w:cs="Times New Roman"/>
          <w:color w:val="000000"/>
        </w:rPr>
        <w:t>7</w:t>
      </w:r>
      <w:r w:rsidR="00705867">
        <w:rPr>
          <w:rFonts w:ascii="Times New Roman" w:hAnsi="Times New Roman" w:cs="Times New Roman"/>
          <w:color w:val="000000"/>
        </w:rPr>
        <w:t xml:space="preserve"> point par rapport au trimestre précédent</w:t>
      </w:r>
      <w:r w:rsidR="00C35BF2">
        <w:rPr>
          <w:rFonts w:ascii="Times New Roman" w:hAnsi="Times New Roman" w:cs="Times New Roman"/>
          <w:color w:val="000000"/>
        </w:rPr>
        <w:t>.</w:t>
      </w:r>
    </w:p>
    <w:p w:rsidR="007A3C20" w:rsidRDefault="007A3C20" w:rsidP="00A97CAB">
      <w:pPr>
        <w:widowControl/>
        <w:spacing w:before="24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Quant à </w:t>
      </w:r>
      <w:r w:rsidRPr="00B10F10">
        <w:rPr>
          <w:rFonts w:ascii="Times New Roman" w:hAnsi="Times New Roman" w:cs="Times New Roman"/>
          <w:color w:val="000000"/>
        </w:rPr>
        <w:t>leur situation financière personnelle passée</w:t>
      </w:r>
      <w:r>
        <w:rPr>
          <w:rFonts w:ascii="Times New Roman" w:hAnsi="Times New Roman" w:cs="Times New Roman"/>
          <w:color w:val="000000"/>
        </w:rPr>
        <w:t xml:space="preserve"> et</w:t>
      </w:r>
      <w:r w:rsidRPr="00B10F10">
        <w:rPr>
          <w:rFonts w:ascii="Times New Roman" w:hAnsi="Times New Roman" w:cs="Times New Roman"/>
          <w:color w:val="000000"/>
        </w:rPr>
        <w:t xml:space="preserve"> future</w:t>
      </w:r>
      <w:r>
        <w:rPr>
          <w:rFonts w:ascii="Times New Roman" w:hAnsi="Times New Roman" w:cs="Times New Roman"/>
          <w:color w:val="000000"/>
        </w:rPr>
        <w:t>,</w:t>
      </w:r>
      <w:r w:rsidRPr="00B10F1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les opinions des ménages s’améliorent de 1,</w:t>
      </w:r>
      <w:r w:rsidR="004421E3">
        <w:rPr>
          <w:rFonts w:ascii="Times New Roman" w:hAnsi="Times New Roman" w:cs="Times New Roman"/>
          <w:color w:val="000000"/>
        </w:rPr>
        <w:t>9</w:t>
      </w:r>
      <w:r>
        <w:rPr>
          <w:rFonts w:ascii="Times New Roman" w:hAnsi="Times New Roman" w:cs="Times New Roman"/>
          <w:color w:val="000000"/>
        </w:rPr>
        <w:t xml:space="preserve"> point et de 2,</w:t>
      </w:r>
      <w:r w:rsidR="004421E3"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</w:rPr>
        <w:t xml:space="preserve"> points respectivement </w:t>
      </w:r>
      <w:r w:rsidRPr="00B10F10">
        <w:rPr>
          <w:rFonts w:ascii="Times New Roman" w:hAnsi="Times New Roman" w:cs="Times New Roman"/>
          <w:color w:val="000000"/>
        </w:rPr>
        <w:t>par rapport à un trimestre auparavant</w:t>
      </w:r>
      <w:r w:rsidR="008F2722">
        <w:rPr>
          <w:rFonts w:ascii="Times New Roman" w:hAnsi="Times New Roman" w:cs="Times New Roman"/>
          <w:color w:val="000000"/>
        </w:rPr>
        <w:t xml:space="preserve"> mais</w:t>
      </w:r>
      <w:r>
        <w:rPr>
          <w:rFonts w:ascii="Times New Roman" w:hAnsi="Times New Roman" w:cs="Times New Roman"/>
          <w:color w:val="000000"/>
        </w:rPr>
        <w:t xml:space="preserve"> se détériorent respectivement de 5,</w:t>
      </w:r>
      <w:r w:rsidR="004421E3"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 xml:space="preserve"> points et de 4,</w:t>
      </w:r>
      <w:r w:rsidR="004421E3">
        <w:rPr>
          <w:rFonts w:ascii="Times New Roman" w:hAnsi="Times New Roman" w:cs="Times New Roman"/>
          <w:color w:val="000000"/>
        </w:rPr>
        <w:t>9</w:t>
      </w:r>
      <w:r>
        <w:rPr>
          <w:rFonts w:ascii="Times New Roman" w:hAnsi="Times New Roman" w:cs="Times New Roman"/>
          <w:color w:val="000000"/>
        </w:rPr>
        <w:t xml:space="preserve"> points</w:t>
      </w:r>
      <w:r w:rsidR="008F2722">
        <w:rPr>
          <w:rFonts w:ascii="Times New Roman" w:hAnsi="Times New Roman" w:cs="Times New Roman"/>
          <w:color w:val="000000"/>
        </w:rPr>
        <w:t xml:space="preserve"> par rapport à la </w:t>
      </w:r>
      <w:r w:rsidR="008E6069">
        <w:rPr>
          <w:rFonts w:ascii="Times New Roman" w:hAnsi="Times New Roman" w:cs="Times New Roman"/>
          <w:color w:val="000000"/>
        </w:rPr>
        <w:t xml:space="preserve">même </w:t>
      </w:r>
      <w:r w:rsidR="008F2722">
        <w:rPr>
          <w:rFonts w:ascii="Times New Roman" w:hAnsi="Times New Roman" w:cs="Times New Roman"/>
          <w:color w:val="000000"/>
        </w:rPr>
        <w:t>période de 2012.</w:t>
      </w:r>
    </w:p>
    <w:p w:rsidR="00C51C29" w:rsidRDefault="00C51C29" w:rsidP="00C049EB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F06A6A" w:rsidRDefault="005A5FB6" w:rsidP="003A5245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5A5FB6"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5553075" cy="2457450"/>
            <wp:effectExtent l="19050" t="0" r="9525" b="0"/>
            <wp:docPr id="9" name="Graphique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25EB3" w:rsidRDefault="00225EB3" w:rsidP="00531247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073079" w:rsidRPr="00DB06E9" w:rsidRDefault="00073079" w:rsidP="00531247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B06E9">
        <w:rPr>
          <w:rFonts w:ascii="Times New Roman" w:hAnsi="Times New Roman" w:cs="Times New Roman"/>
          <w:b/>
          <w:bCs/>
          <w:color w:val="000000"/>
        </w:rPr>
        <w:t xml:space="preserve">2. Evolution d’autres indicateurs d’opinion </w:t>
      </w:r>
      <w:r w:rsidR="00DF1AB5">
        <w:rPr>
          <w:rFonts w:ascii="Times New Roman" w:hAnsi="Times New Roman" w:cs="Times New Roman"/>
          <w:b/>
          <w:bCs/>
          <w:color w:val="000000"/>
        </w:rPr>
        <w:t>des ménages</w:t>
      </w:r>
    </w:p>
    <w:p w:rsidR="00E36F48" w:rsidRDefault="00073079" w:rsidP="00E47D6F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DB06E9">
        <w:rPr>
          <w:rFonts w:ascii="Times New Roman" w:hAnsi="Times New Roman" w:cs="Times New Roman"/>
          <w:color w:val="000000"/>
        </w:rPr>
        <w:t>En plus des sept indicateurs composant l’ICM, l’enquête fournit des données sur les perceptions des ménages relatives à d’autres aspects</w:t>
      </w:r>
      <w:r w:rsidR="00812210">
        <w:rPr>
          <w:rFonts w:ascii="Times New Roman" w:hAnsi="Times New Roman" w:cs="Times New Roman"/>
          <w:color w:val="000000"/>
        </w:rPr>
        <w:t xml:space="preserve">. </w:t>
      </w:r>
      <w:r w:rsidR="00812210" w:rsidRPr="00DB06E9">
        <w:rPr>
          <w:rFonts w:ascii="Times New Roman" w:hAnsi="Times New Roman" w:cs="Times New Roman"/>
          <w:color w:val="000000"/>
        </w:rPr>
        <w:t>Ci-après les résultats concernant celles relatives à la capacité des ménages à épargner</w:t>
      </w:r>
      <w:r w:rsidR="00E47D6F">
        <w:rPr>
          <w:rFonts w:ascii="Times New Roman" w:hAnsi="Times New Roman" w:cs="Times New Roman"/>
          <w:color w:val="000000"/>
        </w:rPr>
        <w:t xml:space="preserve"> et</w:t>
      </w:r>
      <w:r w:rsidR="00812210">
        <w:rPr>
          <w:rFonts w:ascii="Times New Roman" w:hAnsi="Times New Roman" w:cs="Times New Roman"/>
          <w:color w:val="000000"/>
        </w:rPr>
        <w:t xml:space="preserve"> à</w:t>
      </w:r>
      <w:r w:rsidR="00812210" w:rsidRPr="00DB06E9">
        <w:rPr>
          <w:rFonts w:ascii="Times New Roman" w:hAnsi="Times New Roman" w:cs="Times New Roman"/>
          <w:color w:val="000000"/>
        </w:rPr>
        <w:t xml:space="preserve"> l’évolution des prix</w:t>
      </w:r>
      <w:r w:rsidR="00530E90">
        <w:rPr>
          <w:rFonts w:ascii="Times New Roman" w:hAnsi="Times New Roman" w:cs="Times New Roman"/>
          <w:color w:val="000000"/>
        </w:rPr>
        <w:t xml:space="preserve"> des produits alimentaires</w:t>
      </w:r>
      <w:r w:rsidR="00420D3C">
        <w:rPr>
          <w:rFonts w:ascii="Times New Roman" w:hAnsi="Times New Roman" w:cs="Times New Roman"/>
          <w:color w:val="000000"/>
        </w:rPr>
        <w:t>.</w:t>
      </w:r>
    </w:p>
    <w:p w:rsidR="00420D3C" w:rsidRDefault="00420D3C" w:rsidP="00420D3C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812210" w:rsidRPr="00823EFA" w:rsidRDefault="00812210" w:rsidP="007B5E59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823EFA">
        <w:rPr>
          <w:rFonts w:ascii="Times New Roman" w:hAnsi="Times New Roman" w:cs="Times New Roman"/>
          <w:b/>
          <w:bCs/>
          <w:color w:val="000000" w:themeColor="text1"/>
        </w:rPr>
        <w:t xml:space="preserve">• </w:t>
      </w:r>
      <w:r w:rsidR="00057E1A" w:rsidRPr="00823EFA">
        <w:rPr>
          <w:rFonts w:ascii="Times New Roman" w:hAnsi="Times New Roman" w:cs="Times New Roman"/>
          <w:b/>
          <w:bCs/>
          <w:color w:val="000000" w:themeColor="text1"/>
        </w:rPr>
        <w:t xml:space="preserve">Capacité d’épargne des ménages : </w:t>
      </w:r>
      <w:r w:rsidR="00E3029E" w:rsidRPr="00823EFA">
        <w:rPr>
          <w:rFonts w:ascii="Times New Roman" w:hAnsi="Times New Roman" w:cs="Times New Roman"/>
          <w:b/>
          <w:bCs/>
          <w:color w:val="000000" w:themeColor="text1"/>
        </w:rPr>
        <w:t>un pessimisme</w:t>
      </w:r>
      <w:r w:rsidR="00185ABC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D268A1" w:rsidRPr="00823EFA">
        <w:rPr>
          <w:rFonts w:ascii="Times New Roman" w:hAnsi="Times New Roman" w:cs="Times New Roman"/>
          <w:b/>
          <w:bCs/>
          <w:color w:val="000000" w:themeColor="text1"/>
        </w:rPr>
        <w:t>p</w:t>
      </w:r>
      <w:r w:rsidR="00C55103" w:rsidRPr="00823EFA">
        <w:rPr>
          <w:rFonts w:ascii="Times New Roman" w:hAnsi="Times New Roman" w:cs="Times New Roman"/>
          <w:b/>
          <w:bCs/>
          <w:color w:val="000000" w:themeColor="text1"/>
        </w:rPr>
        <w:t>ersistan</w:t>
      </w:r>
      <w:r w:rsidR="00E3029E" w:rsidRPr="00823EFA">
        <w:rPr>
          <w:rFonts w:ascii="Times New Roman" w:hAnsi="Times New Roman" w:cs="Times New Roman"/>
          <w:b/>
          <w:bCs/>
          <w:color w:val="000000" w:themeColor="text1"/>
        </w:rPr>
        <w:t>t</w:t>
      </w:r>
      <w:r w:rsidR="00C55103" w:rsidRPr="00823EFA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:rsidR="00735526" w:rsidRDefault="000B09BA" w:rsidP="00EB3D82">
      <w:pPr>
        <w:spacing w:before="24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Les</w:t>
      </w:r>
      <w:r w:rsidR="007F3847">
        <w:rPr>
          <w:rFonts w:ascii="Times New Roman" w:hAnsi="Times New Roman" w:cs="Times New Roman"/>
          <w:color w:val="000000"/>
        </w:rPr>
        <w:t xml:space="preserve"> ménages </w:t>
      </w:r>
      <w:r w:rsidR="00D268A1">
        <w:rPr>
          <w:rFonts w:ascii="Times New Roman" w:hAnsi="Times New Roman" w:cs="Times New Roman"/>
          <w:color w:val="000000"/>
        </w:rPr>
        <w:t xml:space="preserve">sont </w:t>
      </w:r>
      <w:r>
        <w:rPr>
          <w:rFonts w:ascii="Times New Roman" w:hAnsi="Times New Roman" w:cs="Times New Roman"/>
          <w:color w:val="000000"/>
        </w:rPr>
        <w:t xml:space="preserve">toujours </w:t>
      </w:r>
      <w:r w:rsidR="00D268A1">
        <w:rPr>
          <w:rFonts w:ascii="Times New Roman" w:hAnsi="Times New Roman" w:cs="Times New Roman"/>
          <w:color w:val="000000"/>
        </w:rPr>
        <w:t xml:space="preserve">pessimistes quant à </w:t>
      </w:r>
      <w:r w:rsidR="00057E1A">
        <w:rPr>
          <w:rFonts w:ascii="Times New Roman" w:hAnsi="Times New Roman" w:cs="Times New Roman"/>
          <w:color w:val="000000"/>
        </w:rPr>
        <w:t>leur</w:t>
      </w:r>
      <w:r w:rsidR="00D268A1">
        <w:rPr>
          <w:rFonts w:ascii="Times New Roman" w:hAnsi="Times New Roman" w:cs="Times New Roman"/>
          <w:color w:val="000000"/>
        </w:rPr>
        <w:t>s</w:t>
      </w:r>
      <w:r w:rsidR="00057E1A">
        <w:rPr>
          <w:rFonts w:ascii="Times New Roman" w:hAnsi="Times New Roman" w:cs="Times New Roman"/>
          <w:color w:val="000000"/>
        </w:rPr>
        <w:t xml:space="preserve"> capacité</w:t>
      </w:r>
      <w:r w:rsidR="00D268A1">
        <w:rPr>
          <w:rFonts w:ascii="Times New Roman" w:hAnsi="Times New Roman" w:cs="Times New Roman"/>
          <w:color w:val="000000"/>
        </w:rPr>
        <w:t>s</w:t>
      </w:r>
      <w:r w:rsidR="00057E1A">
        <w:rPr>
          <w:rFonts w:ascii="Times New Roman" w:hAnsi="Times New Roman" w:cs="Times New Roman"/>
          <w:color w:val="000000"/>
        </w:rPr>
        <w:t xml:space="preserve"> à épargner dans les mois à venir</w:t>
      </w:r>
      <w:r w:rsidR="00812210"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>Au troisième trimestre de 2013, p</w:t>
      </w:r>
      <w:r w:rsidR="00511C57">
        <w:rPr>
          <w:rFonts w:ascii="Times New Roman" w:hAnsi="Times New Roman" w:cs="Times New Roman"/>
          <w:color w:val="000000"/>
        </w:rPr>
        <w:t xml:space="preserve">lus de huit ménages sur dix </w:t>
      </w:r>
      <w:r w:rsidR="007F3847">
        <w:rPr>
          <w:rFonts w:ascii="Times New Roman" w:hAnsi="Times New Roman" w:cs="Times New Roman"/>
          <w:color w:val="000000"/>
        </w:rPr>
        <w:t>(8</w:t>
      </w:r>
      <w:r>
        <w:rPr>
          <w:rFonts w:ascii="Times New Roman" w:hAnsi="Times New Roman" w:cs="Times New Roman"/>
          <w:color w:val="000000"/>
        </w:rPr>
        <w:t>4</w:t>
      </w:r>
      <w:r w:rsidR="007F3847">
        <w:rPr>
          <w:rFonts w:ascii="Times New Roman" w:hAnsi="Times New Roman" w:cs="Times New Roman"/>
          <w:color w:val="000000"/>
        </w:rPr>
        <w:t>,</w:t>
      </w:r>
      <w:r w:rsidR="005E6632">
        <w:rPr>
          <w:rFonts w:ascii="Times New Roman" w:hAnsi="Times New Roman" w:cs="Times New Roman"/>
          <w:color w:val="000000"/>
        </w:rPr>
        <w:t>5</w:t>
      </w:r>
      <w:r w:rsidR="007F3847">
        <w:rPr>
          <w:rFonts w:ascii="Times New Roman" w:hAnsi="Times New Roman" w:cs="Times New Roman"/>
          <w:color w:val="000000"/>
        </w:rPr>
        <w:t>%</w:t>
      </w:r>
      <w:r w:rsidR="00511C57">
        <w:rPr>
          <w:rFonts w:ascii="Times New Roman" w:hAnsi="Times New Roman" w:cs="Times New Roman"/>
          <w:color w:val="000000"/>
        </w:rPr>
        <w:t>) pensent ne pas pouvoir épargner au cours des 12 prochains mois</w:t>
      </w:r>
      <w:r w:rsidR="007F3847">
        <w:rPr>
          <w:rFonts w:ascii="Times New Roman" w:hAnsi="Times New Roman" w:cs="Times New Roman"/>
          <w:color w:val="000000"/>
        </w:rPr>
        <w:t xml:space="preserve"> contre </w:t>
      </w:r>
      <w:r w:rsidR="00735526"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</w:rPr>
        <w:t>5</w:t>
      </w:r>
      <w:r w:rsidR="007F3847">
        <w:rPr>
          <w:rFonts w:ascii="Times New Roman" w:hAnsi="Times New Roman" w:cs="Times New Roman"/>
          <w:color w:val="000000"/>
        </w:rPr>
        <w:t>,</w:t>
      </w:r>
      <w:r w:rsidR="005E6632">
        <w:rPr>
          <w:rFonts w:ascii="Times New Roman" w:hAnsi="Times New Roman" w:cs="Times New Roman"/>
          <w:color w:val="000000"/>
        </w:rPr>
        <w:t>5</w:t>
      </w:r>
      <w:r w:rsidR="007F3847">
        <w:rPr>
          <w:rFonts w:ascii="Times New Roman" w:hAnsi="Times New Roman" w:cs="Times New Roman"/>
          <w:color w:val="000000"/>
        </w:rPr>
        <w:t>%</w:t>
      </w:r>
      <w:r w:rsidR="00735526">
        <w:rPr>
          <w:rFonts w:ascii="Times New Roman" w:hAnsi="Times New Roman" w:cs="Times New Roman"/>
          <w:color w:val="000000"/>
        </w:rPr>
        <w:t xml:space="preserve"> qui pensent le contraire. </w:t>
      </w:r>
      <w:r w:rsidR="00EB3D82">
        <w:rPr>
          <w:rFonts w:ascii="Times New Roman" w:hAnsi="Times New Roman" w:cs="Times New Roman"/>
          <w:color w:val="000000"/>
        </w:rPr>
        <w:t>L</w:t>
      </w:r>
      <w:r w:rsidR="00735526">
        <w:rPr>
          <w:rFonts w:ascii="Times New Roman" w:hAnsi="Times New Roman" w:cs="Times New Roman"/>
          <w:color w:val="000000"/>
        </w:rPr>
        <w:t>e solde de cet indicateur se situe, ainsi,  à un niveau négatif de -</w:t>
      </w:r>
      <w:r>
        <w:rPr>
          <w:rFonts w:ascii="Times New Roman" w:hAnsi="Times New Roman" w:cs="Times New Roman"/>
          <w:color w:val="000000"/>
        </w:rPr>
        <w:t>6</w:t>
      </w:r>
      <w:r w:rsidR="005E6632">
        <w:rPr>
          <w:rFonts w:ascii="Times New Roman" w:hAnsi="Times New Roman" w:cs="Times New Roman"/>
          <w:color w:val="000000"/>
        </w:rPr>
        <w:t>9</w:t>
      </w:r>
      <w:r w:rsidR="00F65F85">
        <w:rPr>
          <w:rFonts w:ascii="Times New Roman" w:hAnsi="Times New Roman" w:cs="Times New Roman"/>
          <w:color w:val="000000"/>
        </w:rPr>
        <w:t>,</w:t>
      </w:r>
      <w:r w:rsidR="00F65F85">
        <w:rPr>
          <w:rFonts w:ascii="Times New Roman" w:hAnsi="Times New Roman" w:cs="Times New Roman" w:hint="cs"/>
          <w:color w:val="000000"/>
          <w:rtl/>
        </w:rPr>
        <w:t>1</w:t>
      </w:r>
      <w:r w:rsidR="00735526">
        <w:rPr>
          <w:rFonts w:ascii="Times New Roman" w:hAnsi="Times New Roman" w:cs="Times New Roman"/>
          <w:color w:val="000000"/>
        </w:rPr>
        <w:t xml:space="preserve"> points en </w:t>
      </w:r>
      <w:r w:rsidR="00A27CEB">
        <w:rPr>
          <w:rFonts w:ascii="Times New Roman" w:hAnsi="Times New Roman" w:cs="Times New Roman"/>
          <w:color w:val="000000"/>
        </w:rPr>
        <w:t>amélioration</w:t>
      </w:r>
      <w:r>
        <w:rPr>
          <w:rFonts w:ascii="Times New Roman" w:hAnsi="Times New Roman" w:cs="Times New Roman"/>
          <w:color w:val="000000"/>
        </w:rPr>
        <w:t xml:space="preserve"> </w:t>
      </w:r>
      <w:r w:rsidR="00735526">
        <w:rPr>
          <w:rFonts w:ascii="Times New Roman" w:hAnsi="Times New Roman" w:cs="Times New Roman"/>
          <w:color w:val="000000"/>
        </w:rPr>
        <w:t xml:space="preserve">de </w:t>
      </w:r>
      <w:r>
        <w:rPr>
          <w:rFonts w:ascii="Times New Roman" w:hAnsi="Times New Roman" w:cs="Times New Roman"/>
          <w:color w:val="000000"/>
        </w:rPr>
        <w:t>1</w:t>
      </w:r>
      <w:r w:rsidR="00735526">
        <w:rPr>
          <w:rFonts w:ascii="Times New Roman" w:hAnsi="Times New Roman" w:cs="Times New Roman"/>
          <w:color w:val="000000"/>
        </w:rPr>
        <w:t>,</w:t>
      </w:r>
      <w:r w:rsidR="00F65F85">
        <w:rPr>
          <w:rFonts w:ascii="Times New Roman" w:hAnsi="Times New Roman" w:cs="Times New Roman" w:hint="cs"/>
          <w:color w:val="000000"/>
          <w:rtl/>
        </w:rPr>
        <w:t>2</w:t>
      </w:r>
      <w:r w:rsidR="00735526">
        <w:rPr>
          <w:rFonts w:ascii="Times New Roman" w:hAnsi="Times New Roman" w:cs="Times New Roman"/>
          <w:color w:val="000000"/>
        </w:rPr>
        <w:t xml:space="preserve"> point par rapport au trimestre précédent </w:t>
      </w:r>
      <w:r>
        <w:rPr>
          <w:rFonts w:ascii="Times New Roman" w:hAnsi="Times New Roman" w:cs="Times New Roman"/>
          <w:color w:val="000000"/>
        </w:rPr>
        <w:t xml:space="preserve">mais en </w:t>
      </w:r>
      <w:r w:rsidR="00A27CEB">
        <w:rPr>
          <w:rFonts w:ascii="Times New Roman" w:hAnsi="Times New Roman" w:cs="Times New Roman"/>
          <w:color w:val="000000"/>
        </w:rPr>
        <w:t>détérioration</w:t>
      </w:r>
      <w:r>
        <w:rPr>
          <w:rFonts w:ascii="Times New Roman" w:hAnsi="Times New Roman" w:cs="Times New Roman"/>
          <w:color w:val="000000"/>
        </w:rPr>
        <w:t xml:space="preserve"> </w:t>
      </w:r>
      <w:r w:rsidR="00735526">
        <w:rPr>
          <w:rFonts w:ascii="Times New Roman" w:hAnsi="Times New Roman" w:cs="Times New Roman"/>
          <w:color w:val="000000"/>
        </w:rPr>
        <w:t xml:space="preserve">de </w:t>
      </w:r>
      <w:r>
        <w:rPr>
          <w:rFonts w:ascii="Times New Roman" w:hAnsi="Times New Roman" w:cs="Times New Roman"/>
          <w:color w:val="000000"/>
        </w:rPr>
        <w:t>3,</w:t>
      </w:r>
      <w:r w:rsidR="00F65F85">
        <w:rPr>
          <w:rFonts w:ascii="Times New Roman" w:hAnsi="Times New Roman" w:cs="Times New Roman" w:hint="cs"/>
          <w:color w:val="000000"/>
          <w:rtl/>
        </w:rPr>
        <w:t>8</w:t>
      </w:r>
      <w:r w:rsidR="00735526">
        <w:rPr>
          <w:rFonts w:ascii="Times New Roman" w:hAnsi="Times New Roman" w:cs="Times New Roman"/>
          <w:color w:val="000000"/>
        </w:rPr>
        <w:t xml:space="preserve"> points par rapport à la même période de 2012.</w:t>
      </w:r>
    </w:p>
    <w:p w:rsidR="008D1AAF" w:rsidRDefault="008D1AAF" w:rsidP="007A4238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E92F9F" w:rsidRPr="00A00639" w:rsidRDefault="00AE27A6" w:rsidP="007B5E59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A00639">
        <w:rPr>
          <w:rFonts w:ascii="Times New Roman" w:hAnsi="Times New Roman" w:cs="Times New Roman"/>
          <w:b/>
          <w:bCs/>
          <w:color w:val="000000" w:themeColor="text1"/>
        </w:rPr>
        <w:t>•</w:t>
      </w:r>
      <w:r w:rsidR="002C5954" w:rsidRPr="00A0063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E0420B" w:rsidRPr="00A00639">
        <w:rPr>
          <w:rFonts w:ascii="Times New Roman" w:hAnsi="Times New Roman" w:cs="Times New Roman"/>
          <w:b/>
          <w:bCs/>
          <w:color w:val="000000" w:themeColor="text1"/>
        </w:rPr>
        <w:t>Prix des produits alimentaires</w:t>
      </w:r>
      <w:r w:rsidR="00F752D4" w:rsidRPr="00A00639">
        <w:rPr>
          <w:rFonts w:ascii="Times New Roman" w:hAnsi="Times New Roman" w:cs="Times New Roman"/>
          <w:b/>
          <w:bCs/>
          <w:color w:val="000000" w:themeColor="text1"/>
        </w:rPr>
        <w:t>:</w:t>
      </w:r>
      <w:r w:rsidR="00E0420B" w:rsidRPr="00A0063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7B5E59">
        <w:rPr>
          <w:rFonts w:ascii="Times New Roman" w:hAnsi="Times New Roman" w:cs="Times New Roman"/>
          <w:b/>
          <w:bCs/>
          <w:color w:val="000000" w:themeColor="text1"/>
        </w:rPr>
        <w:t>Perception d’</w:t>
      </w:r>
      <w:r w:rsidR="00F752D4">
        <w:rPr>
          <w:rFonts w:ascii="Times New Roman" w:hAnsi="Times New Roman" w:cs="Times New Roman"/>
          <w:b/>
          <w:bCs/>
          <w:color w:val="000000" w:themeColor="text1"/>
        </w:rPr>
        <w:t>un léger mieux</w:t>
      </w:r>
    </w:p>
    <w:p w:rsidR="00A644C5" w:rsidRDefault="00985AB3" w:rsidP="008E143D">
      <w:pPr>
        <w:widowControl/>
        <w:spacing w:before="24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Au </w:t>
      </w:r>
      <w:r w:rsidR="00AD6880">
        <w:rPr>
          <w:rFonts w:ascii="Times New Roman" w:hAnsi="Times New Roman" w:cs="Times New Roman"/>
          <w:color w:val="000000"/>
        </w:rPr>
        <w:t>troisième</w:t>
      </w:r>
      <w:r w:rsidR="001B3707">
        <w:rPr>
          <w:rFonts w:ascii="Times New Roman" w:hAnsi="Times New Roman" w:cs="Times New Roman"/>
          <w:color w:val="000000"/>
        </w:rPr>
        <w:t xml:space="preserve"> trimestre </w:t>
      </w:r>
      <w:r>
        <w:rPr>
          <w:rFonts w:ascii="Times New Roman" w:hAnsi="Times New Roman" w:cs="Times New Roman"/>
          <w:color w:val="000000"/>
        </w:rPr>
        <w:t>de 201</w:t>
      </w:r>
      <w:r w:rsidR="00474682"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</w:rPr>
        <w:t xml:space="preserve">, </w:t>
      </w:r>
      <w:r w:rsidR="00742AC3">
        <w:rPr>
          <w:rFonts w:ascii="Times New Roman" w:hAnsi="Times New Roman" w:cs="Times New Roman"/>
          <w:color w:val="000000"/>
        </w:rPr>
        <w:t xml:space="preserve">plus de </w:t>
      </w:r>
      <w:r w:rsidR="00987987">
        <w:rPr>
          <w:rFonts w:ascii="Times New Roman" w:hAnsi="Times New Roman" w:cs="Times New Roman"/>
          <w:color w:val="000000"/>
        </w:rPr>
        <w:t>9</w:t>
      </w:r>
      <w:r w:rsidR="00CC3DB6">
        <w:rPr>
          <w:rFonts w:ascii="Times New Roman" w:hAnsi="Times New Roman" w:cs="Times New Roman"/>
          <w:color w:val="000000"/>
        </w:rPr>
        <w:t>1</w:t>
      </w:r>
      <w:r w:rsidR="00563170">
        <w:rPr>
          <w:rFonts w:ascii="Times New Roman" w:hAnsi="Times New Roman" w:cs="Times New Roman"/>
          <w:color w:val="000000"/>
        </w:rPr>
        <w:t>%</w:t>
      </w:r>
      <w:r w:rsidR="00742AC3">
        <w:rPr>
          <w:rFonts w:ascii="Times New Roman" w:hAnsi="Times New Roman" w:cs="Times New Roman"/>
          <w:color w:val="000000"/>
        </w:rPr>
        <w:t xml:space="preserve"> des ménages</w:t>
      </w:r>
      <w:r w:rsidR="00A644C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="00A644C5">
        <w:rPr>
          <w:rFonts w:ascii="Times New Roman" w:hAnsi="Times New Roman" w:cs="Times New Roman"/>
          <w:color w:val="000000"/>
        </w:rPr>
        <w:t xml:space="preserve">pensent que les prix des produits alimentaires ont augmenté dans le passé </w:t>
      </w:r>
      <w:r>
        <w:rPr>
          <w:rFonts w:ascii="Times New Roman" w:hAnsi="Times New Roman" w:cs="Times New Roman"/>
          <w:color w:val="000000"/>
        </w:rPr>
        <w:t xml:space="preserve">contre </w:t>
      </w:r>
      <w:r w:rsidR="00742AC3">
        <w:rPr>
          <w:rFonts w:ascii="Times New Roman" w:hAnsi="Times New Roman" w:cs="Times New Roman"/>
          <w:color w:val="000000"/>
        </w:rPr>
        <w:t>90</w:t>
      </w:r>
      <w:r>
        <w:rPr>
          <w:rFonts w:ascii="Times New Roman" w:hAnsi="Times New Roman" w:cs="Times New Roman"/>
          <w:color w:val="000000"/>
        </w:rPr>
        <w:t xml:space="preserve">% </w:t>
      </w:r>
      <w:r w:rsidR="00581D56">
        <w:rPr>
          <w:rFonts w:ascii="Times New Roman" w:hAnsi="Times New Roman" w:cs="Times New Roman"/>
          <w:color w:val="000000"/>
        </w:rPr>
        <w:t>un</w:t>
      </w:r>
      <w:r>
        <w:rPr>
          <w:rFonts w:ascii="Times New Roman" w:hAnsi="Times New Roman" w:cs="Times New Roman"/>
          <w:color w:val="000000"/>
        </w:rPr>
        <w:t xml:space="preserve"> trimestre </w:t>
      </w:r>
      <w:r w:rsidR="00581D56">
        <w:rPr>
          <w:rFonts w:ascii="Times New Roman" w:hAnsi="Times New Roman" w:cs="Times New Roman"/>
          <w:color w:val="000000"/>
        </w:rPr>
        <w:t>auparavant</w:t>
      </w:r>
      <w:r>
        <w:rPr>
          <w:rFonts w:ascii="Times New Roman" w:hAnsi="Times New Roman" w:cs="Times New Roman"/>
          <w:color w:val="000000"/>
        </w:rPr>
        <w:t xml:space="preserve"> et </w:t>
      </w:r>
      <w:r w:rsidR="008A184F">
        <w:rPr>
          <w:rFonts w:ascii="Times New Roman" w:hAnsi="Times New Roman" w:cs="Times New Roman"/>
          <w:color w:val="000000"/>
        </w:rPr>
        <w:t>9</w:t>
      </w:r>
      <w:r w:rsidR="00742AC3"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>,</w:t>
      </w:r>
      <w:r w:rsidR="00742AC3"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>% un an auparavant</w:t>
      </w:r>
      <w:r w:rsidR="00A644C5">
        <w:rPr>
          <w:rFonts w:ascii="Times New Roman" w:hAnsi="Times New Roman" w:cs="Times New Roman"/>
          <w:color w:val="000000"/>
        </w:rPr>
        <w:t>.</w:t>
      </w:r>
      <w:r w:rsidR="00563170">
        <w:rPr>
          <w:rFonts w:ascii="Times New Roman" w:hAnsi="Times New Roman" w:cs="Times New Roman"/>
          <w:color w:val="000000"/>
        </w:rPr>
        <w:t xml:space="preserve"> </w:t>
      </w:r>
      <w:r w:rsidR="00A644C5">
        <w:rPr>
          <w:rFonts w:ascii="Times New Roman" w:hAnsi="Times New Roman" w:cs="Times New Roman"/>
          <w:color w:val="000000"/>
        </w:rPr>
        <w:t xml:space="preserve"> </w:t>
      </w:r>
      <w:r w:rsidR="00C17A37">
        <w:rPr>
          <w:rFonts w:ascii="Times New Roman" w:hAnsi="Times New Roman" w:cs="Times New Roman"/>
          <w:color w:val="000000"/>
        </w:rPr>
        <w:t>Quoique très négatif, le solde d</w:t>
      </w:r>
      <w:r w:rsidR="00A644C5">
        <w:rPr>
          <w:rFonts w:ascii="Times New Roman" w:hAnsi="Times New Roman" w:cs="Times New Roman"/>
          <w:color w:val="000000"/>
        </w:rPr>
        <w:t>e cet indicateur a connu</w:t>
      </w:r>
      <w:r w:rsidR="00EA205A">
        <w:rPr>
          <w:rFonts w:ascii="Times New Roman" w:hAnsi="Times New Roman" w:cs="Times New Roman"/>
          <w:color w:val="000000"/>
        </w:rPr>
        <w:t xml:space="preserve"> </w:t>
      </w:r>
      <w:r w:rsidR="00A21054">
        <w:rPr>
          <w:rFonts w:ascii="Times New Roman" w:hAnsi="Times New Roman" w:cs="Times New Roman"/>
          <w:color w:val="000000"/>
        </w:rPr>
        <w:t xml:space="preserve">une légère amélioration </w:t>
      </w:r>
      <w:r w:rsidR="00CC3DB6">
        <w:rPr>
          <w:rFonts w:ascii="Times New Roman" w:hAnsi="Times New Roman" w:cs="Times New Roman"/>
          <w:color w:val="000000"/>
        </w:rPr>
        <w:t>(1,</w:t>
      </w:r>
      <w:r w:rsidR="00F65F85">
        <w:rPr>
          <w:rFonts w:ascii="Times New Roman" w:hAnsi="Times New Roman" w:cs="Times New Roman" w:hint="cs"/>
          <w:color w:val="000000"/>
          <w:rtl/>
        </w:rPr>
        <w:t>2</w:t>
      </w:r>
      <w:r w:rsidR="00CC3DB6">
        <w:rPr>
          <w:rFonts w:ascii="Times New Roman" w:hAnsi="Times New Roman" w:cs="Times New Roman"/>
          <w:color w:val="000000"/>
        </w:rPr>
        <w:t xml:space="preserve"> </w:t>
      </w:r>
      <w:r w:rsidR="00A21054">
        <w:rPr>
          <w:rFonts w:ascii="Times New Roman" w:hAnsi="Times New Roman" w:cs="Times New Roman"/>
          <w:color w:val="000000"/>
        </w:rPr>
        <w:t>point</w:t>
      </w:r>
      <w:r w:rsidR="00CC3DB6">
        <w:rPr>
          <w:rFonts w:ascii="Times New Roman" w:hAnsi="Times New Roman" w:cs="Times New Roman"/>
          <w:color w:val="000000"/>
        </w:rPr>
        <w:t>)</w:t>
      </w:r>
      <w:r w:rsidR="00A21054">
        <w:rPr>
          <w:rFonts w:ascii="Times New Roman" w:hAnsi="Times New Roman" w:cs="Times New Roman"/>
          <w:color w:val="000000"/>
        </w:rPr>
        <w:t xml:space="preserve"> par rapport au même trimestre de 2012. </w:t>
      </w:r>
      <w:r w:rsidR="00742AC3">
        <w:rPr>
          <w:rFonts w:ascii="Times New Roman" w:hAnsi="Times New Roman" w:cs="Times New Roman"/>
          <w:color w:val="000000"/>
        </w:rPr>
        <w:t xml:space="preserve">Ce solde enregistre cependant </w:t>
      </w:r>
      <w:r w:rsidR="00A21054">
        <w:rPr>
          <w:rFonts w:ascii="Times New Roman" w:hAnsi="Times New Roman" w:cs="Times New Roman"/>
          <w:color w:val="000000"/>
        </w:rPr>
        <w:t xml:space="preserve">une détérioration de </w:t>
      </w:r>
      <w:r w:rsidR="00CC3DB6">
        <w:rPr>
          <w:rFonts w:ascii="Times New Roman" w:hAnsi="Times New Roman" w:cs="Times New Roman"/>
          <w:color w:val="000000"/>
        </w:rPr>
        <w:t>1</w:t>
      </w:r>
      <w:r w:rsidR="00A21054">
        <w:rPr>
          <w:rFonts w:ascii="Times New Roman" w:hAnsi="Times New Roman" w:cs="Times New Roman"/>
          <w:color w:val="000000"/>
        </w:rPr>
        <w:t>,</w:t>
      </w:r>
      <w:r w:rsidR="00CC3DB6">
        <w:rPr>
          <w:rFonts w:ascii="Times New Roman" w:hAnsi="Times New Roman" w:cs="Times New Roman"/>
          <w:color w:val="000000"/>
        </w:rPr>
        <w:t>6</w:t>
      </w:r>
      <w:r w:rsidR="008E143D">
        <w:rPr>
          <w:rFonts w:ascii="Times New Roman" w:hAnsi="Times New Roman" w:cs="Times New Roman"/>
          <w:color w:val="000000"/>
        </w:rPr>
        <w:t xml:space="preserve"> point</w:t>
      </w:r>
      <w:r w:rsidR="00A21054">
        <w:rPr>
          <w:rFonts w:ascii="Times New Roman" w:hAnsi="Times New Roman" w:cs="Times New Roman"/>
          <w:color w:val="000000"/>
        </w:rPr>
        <w:t xml:space="preserve"> par rapport au trimestre précédent.</w:t>
      </w:r>
    </w:p>
    <w:p w:rsidR="00D54358" w:rsidRDefault="00700954" w:rsidP="004D48A5">
      <w:pPr>
        <w:widowControl/>
        <w:spacing w:before="24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Quant au</w:t>
      </w:r>
      <w:r w:rsidR="00C744C3">
        <w:rPr>
          <w:rFonts w:ascii="Times New Roman" w:hAnsi="Times New Roman" w:cs="Times New Roman"/>
          <w:color w:val="000000"/>
        </w:rPr>
        <w:t>x</w:t>
      </w:r>
      <w:r>
        <w:rPr>
          <w:rFonts w:ascii="Times New Roman" w:hAnsi="Times New Roman" w:cs="Times New Roman"/>
          <w:color w:val="000000"/>
        </w:rPr>
        <w:t xml:space="preserve"> perspectives d’évolution des prix des produits alimentaires, p</w:t>
      </w:r>
      <w:r w:rsidR="00563170">
        <w:rPr>
          <w:rFonts w:ascii="Times New Roman" w:hAnsi="Times New Roman" w:cs="Times New Roman"/>
          <w:color w:val="000000"/>
        </w:rPr>
        <w:t xml:space="preserve">lus de </w:t>
      </w:r>
      <w:r w:rsidR="002B2EC5">
        <w:rPr>
          <w:rFonts w:ascii="Times New Roman" w:hAnsi="Times New Roman" w:cs="Times New Roman"/>
          <w:color w:val="000000"/>
        </w:rPr>
        <w:t>trois</w:t>
      </w:r>
      <w:r w:rsidR="00563170">
        <w:rPr>
          <w:rFonts w:ascii="Times New Roman" w:hAnsi="Times New Roman" w:cs="Times New Roman"/>
          <w:color w:val="000000"/>
        </w:rPr>
        <w:t xml:space="preserve"> </w:t>
      </w:r>
      <w:r w:rsidR="00C374B5">
        <w:rPr>
          <w:rFonts w:ascii="Times New Roman" w:hAnsi="Times New Roman" w:cs="Times New Roman"/>
          <w:color w:val="000000"/>
        </w:rPr>
        <w:t xml:space="preserve">ménages </w:t>
      </w:r>
      <w:r w:rsidR="00563170">
        <w:rPr>
          <w:rFonts w:ascii="Times New Roman" w:hAnsi="Times New Roman" w:cs="Times New Roman"/>
          <w:color w:val="000000"/>
        </w:rPr>
        <w:t xml:space="preserve">sur </w:t>
      </w:r>
      <w:r w:rsidR="002B2EC5">
        <w:rPr>
          <w:rFonts w:ascii="Times New Roman" w:hAnsi="Times New Roman" w:cs="Times New Roman"/>
          <w:color w:val="000000"/>
        </w:rPr>
        <w:t>quatre</w:t>
      </w:r>
      <w:r w:rsidR="00563170">
        <w:rPr>
          <w:rFonts w:ascii="Times New Roman" w:hAnsi="Times New Roman" w:cs="Times New Roman"/>
          <w:color w:val="000000"/>
        </w:rPr>
        <w:t xml:space="preserve"> </w:t>
      </w:r>
      <w:r w:rsidR="002A1C56">
        <w:rPr>
          <w:rFonts w:ascii="Times New Roman" w:hAnsi="Times New Roman" w:cs="Times New Roman"/>
          <w:color w:val="000000"/>
        </w:rPr>
        <w:t>(7</w:t>
      </w:r>
      <w:r w:rsidR="00C13086">
        <w:rPr>
          <w:rFonts w:ascii="Times New Roman" w:hAnsi="Times New Roman" w:cs="Times New Roman"/>
          <w:color w:val="000000"/>
        </w:rPr>
        <w:t>6</w:t>
      </w:r>
      <w:r w:rsidR="002A1C56">
        <w:rPr>
          <w:rFonts w:ascii="Times New Roman" w:hAnsi="Times New Roman" w:cs="Times New Roman"/>
          <w:color w:val="000000"/>
        </w:rPr>
        <w:t>,</w:t>
      </w:r>
      <w:r w:rsidR="004D48A5">
        <w:rPr>
          <w:rFonts w:ascii="Times New Roman" w:hAnsi="Times New Roman" w:cs="Times New Roman"/>
          <w:color w:val="000000"/>
        </w:rPr>
        <w:t>7</w:t>
      </w:r>
      <w:r w:rsidR="002A1C56">
        <w:rPr>
          <w:rFonts w:ascii="Times New Roman" w:hAnsi="Times New Roman" w:cs="Times New Roman"/>
          <w:color w:val="000000"/>
        </w:rPr>
        <w:t xml:space="preserve">%) pensent que </w:t>
      </w:r>
      <w:r w:rsidR="00EA205A">
        <w:rPr>
          <w:rFonts w:ascii="Times New Roman" w:hAnsi="Times New Roman" w:cs="Times New Roman"/>
          <w:color w:val="000000"/>
        </w:rPr>
        <w:t>c</w:t>
      </w:r>
      <w:r w:rsidR="002A1C56">
        <w:rPr>
          <w:rFonts w:ascii="Times New Roman" w:hAnsi="Times New Roman" w:cs="Times New Roman"/>
          <w:color w:val="000000"/>
        </w:rPr>
        <w:t xml:space="preserve">es prix continueront à augmenter dans le futur </w:t>
      </w:r>
      <w:r w:rsidR="00985AB3">
        <w:rPr>
          <w:rFonts w:ascii="Times New Roman" w:hAnsi="Times New Roman" w:cs="Times New Roman"/>
          <w:color w:val="000000"/>
        </w:rPr>
        <w:t xml:space="preserve">contre </w:t>
      </w:r>
      <w:r w:rsidR="00987987">
        <w:rPr>
          <w:rFonts w:ascii="Times New Roman" w:hAnsi="Times New Roman" w:cs="Times New Roman"/>
          <w:color w:val="000000"/>
        </w:rPr>
        <w:t>7</w:t>
      </w:r>
      <w:r w:rsidR="00C13086">
        <w:rPr>
          <w:rFonts w:ascii="Times New Roman" w:hAnsi="Times New Roman" w:cs="Times New Roman"/>
          <w:color w:val="000000"/>
        </w:rPr>
        <w:t>5,3</w:t>
      </w:r>
      <w:r w:rsidR="00985AB3">
        <w:rPr>
          <w:rFonts w:ascii="Times New Roman" w:hAnsi="Times New Roman" w:cs="Times New Roman"/>
          <w:color w:val="000000"/>
        </w:rPr>
        <w:t xml:space="preserve">% </w:t>
      </w:r>
      <w:r w:rsidR="002A1C56">
        <w:rPr>
          <w:rFonts w:ascii="Times New Roman" w:hAnsi="Times New Roman" w:cs="Times New Roman"/>
          <w:color w:val="000000"/>
        </w:rPr>
        <w:t xml:space="preserve">au </w:t>
      </w:r>
      <w:r w:rsidR="00AD6880">
        <w:rPr>
          <w:rFonts w:ascii="Times New Roman" w:hAnsi="Times New Roman" w:cs="Times New Roman"/>
          <w:color w:val="000000"/>
        </w:rPr>
        <w:t>deuxième</w:t>
      </w:r>
      <w:r w:rsidR="002A1C56">
        <w:rPr>
          <w:rFonts w:ascii="Times New Roman" w:hAnsi="Times New Roman" w:cs="Times New Roman"/>
          <w:color w:val="000000"/>
        </w:rPr>
        <w:t xml:space="preserve"> trimestre de 2013 </w:t>
      </w:r>
      <w:r w:rsidR="00985AB3">
        <w:rPr>
          <w:rFonts w:ascii="Times New Roman" w:hAnsi="Times New Roman" w:cs="Times New Roman"/>
          <w:color w:val="000000"/>
        </w:rPr>
        <w:t xml:space="preserve">et </w:t>
      </w:r>
      <w:r w:rsidR="00987987">
        <w:rPr>
          <w:rFonts w:ascii="Times New Roman" w:hAnsi="Times New Roman" w:cs="Times New Roman"/>
          <w:color w:val="000000"/>
        </w:rPr>
        <w:t>7</w:t>
      </w:r>
      <w:r w:rsidR="00C13086">
        <w:rPr>
          <w:rFonts w:ascii="Times New Roman" w:hAnsi="Times New Roman" w:cs="Times New Roman"/>
          <w:color w:val="000000"/>
        </w:rPr>
        <w:t>5</w:t>
      </w:r>
      <w:r w:rsidR="00985AB3">
        <w:rPr>
          <w:rFonts w:ascii="Times New Roman" w:hAnsi="Times New Roman" w:cs="Times New Roman"/>
          <w:color w:val="000000"/>
        </w:rPr>
        <w:t>,</w:t>
      </w:r>
      <w:r w:rsidR="00C13086">
        <w:rPr>
          <w:rFonts w:ascii="Times New Roman" w:hAnsi="Times New Roman" w:cs="Times New Roman"/>
          <w:color w:val="000000"/>
        </w:rPr>
        <w:t>5</w:t>
      </w:r>
      <w:r w:rsidR="00985AB3">
        <w:rPr>
          <w:rFonts w:ascii="Times New Roman" w:hAnsi="Times New Roman" w:cs="Times New Roman"/>
          <w:color w:val="000000"/>
        </w:rPr>
        <w:t xml:space="preserve">% </w:t>
      </w:r>
      <w:r w:rsidR="002A1C56">
        <w:rPr>
          <w:rFonts w:ascii="Times New Roman" w:hAnsi="Times New Roman" w:cs="Times New Roman"/>
          <w:color w:val="000000"/>
        </w:rPr>
        <w:t xml:space="preserve">au </w:t>
      </w:r>
      <w:r w:rsidR="00AD6880">
        <w:rPr>
          <w:rFonts w:ascii="Times New Roman" w:hAnsi="Times New Roman" w:cs="Times New Roman"/>
          <w:color w:val="000000"/>
        </w:rPr>
        <w:t>troisième</w:t>
      </w:r>
      <w:r w:rsidR="002A1C56">
        <w:rPr>
          <w:rFonts w:ascii="Times New Roman" w:hAnsi="Times New Roman" w:cs="Times New Roman"/>
          <w:color w:val="000000"/>
        </w:rPr>
        <w:t xml:space="preserve"> trimestre de 2012.  Le solde </w:t>
      </w:r>
      <w:r w:rsidR="003A52E9">
        <w:rPr>
          <w:rFonts w:ascii="Times New Roman" w:hAnsi="Times New Roman" w:cs="Times New Roman"/>
          <w:color w:val="000000"/>
        </w:rPr>
        <w:t xml:space="preserve"> relatif aux perspectives d’évolution </w:t>
      </w:r>
      <w:r w:rsidR="002A1C56">
        <w:rPr>
          <w:rFonts w:ascii="Times New Roman" w:hAnsi="Times New Roman" w:cs="Times New Roman"/>
          <w:color w:val="000000"/>
        </w:rPr>
        <w:t xml:space="preserve">de ces prix </w:t>
      </w:r>
      <w:r w:rsidR="00C13086">
        <w:rPr>
          <w:rFonts w:ascii="Times New Roman" w:hAnsi="Times New Roman" w:cs="Times New Roman"/>
          <w:color w:val="000000"/>
        </w:rPr>
        <w:t xml:space="preserve">s’est détérioré </w:t>
      </w:r>
      <w:r w:rsidR="003A52E9">
        <w:rPr>
          <w:rFonts w:ascii="Times New Roman" w:hAnsi="Times New Roman" w:cs="Times New Roman"/>
          <w:color w:val="000000"/>
        </w:rPr>
        <w:t xml:space="preserve">de </w:t>
      </w:r>
      <w:r w:rsidR="002A1C56">
        <w:rPr>
          <w:rFonts w:ascii="Times New Roman" w:hAnsi="Times New Roman" w:cs="Times New Roman"/>
          <w:color w:val="000000"/>
        </w:rPr>
        <w:t>2,</w:t>
      </w:r>
      <w:r w:rsidR="004D48A5">
        <w:rPr>
          <w:rFonts w:ascii="Times New Roman" w:hAnsi="Times New Roman" w:cs="Times New Roman"/>
          <w:color w:val="000000"/>
        </w:rPr>
        <w:t>6</w:t>
      </w:r>
      <w:r w:rsidR="003A52E9">
        <w:rPr>
          <w:rFonts w:ascii="Times New Roman" w:hAnsi="Times New Roman" w:cs="Times New Roman"/>
          <w:color w:val="000000"/>
        </w:rPr>
        <w:t xml:space="preserve"> points par rapport au </w:t>
      </w:r>
      <w:r w:rsidR="00C64827">
        <w:rPr>
          <w:rFonts w:ascii="Times New Roman" w:hAnsi="Times New Roman" w:cs="Times New Roman"/>
          <w:color w:val="000000"/>
        </w:rPr>
        <w:t xml:space="preserve">trimestre </w:t>
      </w:r>
      <w:r w:rsidR="00307232">
        <w:rPr>
          <w:rFonts w:ascii="Times New Roman" w:hAnsi="Times New Roman" w:cs="Times New Roman"/>
          <w:color w:val="000000"/>
        </w:rPr>
        <w:t>précédent</w:t>
      </w:r>
      <w:r w:rsidR="002A1C56">
        <w:rPr>
          <w:rFonts w:ascii="Times New Roman" w:hAnsi="Times New Roman" w:cs="Times New Roman"/>
          <w:color w:val="000000"/>
        </w:rPr>
        <w:t xml:space="preserve"> </w:t>
      </w:r>
      <w:r w:rsidR="00C13086">
        <w:rPr>
          <w:rFonts w:ascii="Times New Roman" w:hAnsi="Times New Roman" w:cs="Times New Roman"/>
          <w:color w:val="000000"/>
        </w:rPr>
        <w:t xml:space="preserve">et </w:t>
      </w:r>
      <w:r w:rsidR="002A1C56">
        <w:rPr>
          <w:rFonts w:ascii="Times New Roman" w:hAnsi="Times New Roman" w:cs="Times New Roman"/>
          <w:color w:val="000000"/>
        </w:rPr>
        <w:t xml:space="preserve">de </w:t>
      </w:r>
      <w:r w:rsidR="00C13086">
        <w:rPr>
          <w:rFonts w:ascii="Times New Roman" w:hAnsi="Times New Roman" w:cs="Times New Roman"/>
          <w:color w:val="000000"/>
        </w:rPr>
        <w:t>2</w:t>
      </w:r>
      <w:r w:rsidR="003A52E9">
        <w:rPr>
          <w:rFonts w:ascii="Times New Roman" w:hAnsi="Times New Roman" w:cs="Times New Roman"/>
          <w:color w:val="000000"/>
        </w:rPr>
        <w:t>,</w:t>
      </w:r>
      <w:r w:rsidR="004D48A5">
        <w:rPr>
          <w:rFonts w:ascii="Times New Roman" w:hAnsi="Times New Roman" w:cs="Times New Roman"/>
          <w:color w:val="000000"/>
        </w:rPr>
        <w:t>4</w:t>
      </w:r>
      <w:r w:rsidR="003A52E9">
        <w:rPr>
          <w:rFonts w:ascii="Times New Roman" w:hAnsi="Times New Roman" w:cs="Times New Roman"/>
          <w:color w:val="000000"/>
        </w:rPr>
        <w:t xml:space="preserve"> point</w:t>
      </w:r>
      <w:r w:rsidR="00C13086">
        <w:rPr>
          <w:rFonts w:ascii="Times New Roman" w:hAnsi="Times New Roman" w:cs="Times New Roman"/>
          <w:color w:val="000000"/>
        </w:rPr>
        <w:t>s</w:t>
      </w:r>
      <w:r w:rsidR="003A52E9">
        <w:rPr>
          <w:rFonts w:ascii="Times New Roman" w:hAnsi="Times New Roman" w:cs="Times New Roman"/>
          <w:color w:val="000000"/>
        </w:rPr>
        <w:t xml:space="preserve"> par rapport </w:t>
      </w:r>
      <w:r w:rsidR="00D54358">
        <w:rPr>
          <w:rFonts w:ascii="Times New Roman" w:hAnsi="Times New Roman" w:cs="Times New Roman"/>
          <w:color w:val="000000"/>
        </w:rPr>
        <w:t>à la même période de 2012.</w:t>
      </w:r>
    </w:p>
    <w:p w:rsidR="00161F45" w:rsidRDefault="00161F45" w:rsidP="008D1AAF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161F45" w:rsidRPr="00161F45" w:rsidRDefault="00161F45" w:rsidP="00161F45">
      <w:pPr>
        <w:widowControl/>
        <w:spacing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161F45">
        <w:rPr>
          <w:rFonts w:ascii="Times New Roman" w:hAnsi="Times New Roman" w:cs="Times New Roman"/>
          <w:b/>
          <w:bCs/>
          <w:color w:val="000000"/>
        </w:rPr>
        <w:t>Perception  de</w:t>
      </w:r>
      <w:r>
        <w:rPr>
          <w:rFonts w:ascii="Times New Roman" w:hAnsi="Times New Roman" w:cs="Times New Roman"/>
          <w:b/>
          <w:bCs/>
          <w:color w:val="000000"/>
        </w:rPr>
        <w:t xml:space="preserve"> l</w:t>
      </w:r>
      <w:r w:rsidRPr="00161F45">
        <w:rPr>
          <w:rFonts w:ascii="Times New Roman" w:hAnsi="Times New Roman" w:cs="Times New Roman"/>
          <w:b/>
          <w:bCs/>
          <w:color w:val="000000"/>
        </w:rPr>
        <w:t>'évolution des prix des produits alimentaires</w:t>
      </w:r>
    </w:p>
    <w:p w:rsidR="00BC5D13" w:rsidRDefault="00C0250F" w:rsidP="00C0250F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t xml:space="preserve">  </w:t>
      </w:r>
      <w:r w:rsidR="00BC5D13">
        <w:rPr>
          <w:rFonts w:ascii="Times New Roman" w:hAnsi="Times New Roman" w:cs="Times New Roman"/>
          <w:noProof/>
          <w:color w:val="000000"/>
        </w:rPr>
        <w:t xml:space="preserve">  </w:t>
      </w:r>
      <w:r w:rsidR="00D604DA" w:rsidRPr="00D604DA"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2762885" cy="3190875"/>
            <wp:effectExtent l="19050" t="0" r="18415" b="0"/>
            <wp:docPr id="13" name="Graphique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225EB3">
        <w:rPr>
          <w:rFonts w:ascii="Times New Roman" w:hAnsi="Times New Roman" w:cs="Times New Roman"/>
          <w:noProof/>
          <w:color w:val="000000"/>
        </w:rPr>
        <w:t xml:space="preserve">   </w:t>
      </w:r>
      <w:r w:rsidR="00C72318" w:rsidRPr="00C72318">
        <w:rPr>
          <w:noProof/>
        </w:rPr>
        <w:t xml:space="preserve"> </w:t>
      </w:r>
      <w:r w:rsidR="00D604DA" w:rsidRPr="00D604DA">
        <w:rPr>
          <w:noProof/>
        </w:rPr>
        <w:drawing>
          <wp:inline distT="0" distB="0" distL="0" distR="0">
            <wp:extent cx="2971800" cy="3190875"/>
            <wp:effectExtent l="19050" t="0" r="19050" b="0"/>
            <wp:docPr id="14" name="Graphique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03E2E" w:rsidRPr="00DB06E9" w:rsidRDefault="00D03E2E" w:rsidP="009E2A58">
      <w:pPr>
        <w:widowControl/>
        <w:spacing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C72318" w:rsidRDefault="00C72318" w:rsidP="00C72318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DB06E9">
        <w:rPr>
          <w:rFonts w:ascii="Times New Roman" w:hAnsi="Times New Roman" w:cs="Times New Roman"/>
          <w:color w:val="000000"/>
        </w:rPr>
        <w:t>Ci-joint  les détails des différents indicateurs et un rappel des principaux concepts.</w:t>
      </w:r>
    </w:p>
    <w:p w:rsidR="009D209A" w:rsidRDefault="009D209A" w:rsidP="009E682C">
      <w:pPr>
        <w:spacing w:line="360" w:lineRule="auto"/>
        <w:ind w:left="-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  <w:sectPr w:rsidR="009D209A" w:rsidSect="00225EB3">
          <w:footerReference w:type="default" r:id="rId15"/>
          <w:pgSz w:w="11906" w:h="16838" w:code="9"/>
          <w:pgMar w:top="1134" w:right="720" w:bottom="720" w:left="1077" w:header="709" w:footer="567" w:gutter="0"/>
          <w:cols w:space="708"/>
          <w:docGrid w:linePitch="360"/>
        </w:sectPr>
      </w:pPr>
    </w:p>
    <w:p w:rsidR="00B623D5" w:rsidRDefault="00B623D5" w:rsidP="00C35BF2">
      <w:pPr>
        <w:spacing w:line="360" w:lineRule="auto"/>
        <w:ind w:left="-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10786" w:rsidRDefault="005D5B33" w:rsidP="00C35BF2">
      <w:pPr>
        <w:spacing w:line="360" w:lineRule="auto"/>
        <w:ind w:left="-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08C0">
        <w:rPr>
          <w:rFonts w:ascii="Times New Roman" w:hAnsi="Times New Roman" w:cs="Times New Roman"/>
          <w:b/>
          <w:color w:val="000000"/>
          <w:sz w:val="28"/>
          <w:szCs w:val="28"/>
        </w:rPr>
        <w:t>Evolution de l’I</w:t>
      </w:r>
      <w:r w:rsidR="00C35B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ndice de </w:t>
      </w:r>
      <w:r w:rsidRPr="004708C0">
        <w:rPr>
          <w:rFonts w:ascii="Times New Roman" w:hAnsi="Times New Roman" w:cs="Times New Roman"/>
          <w:b/>
          <w:color w:val="000000"/>
          <w:sz w:val="28"/>
          <w:szCs w:val="28"/>
        </w:rPr>
        <w:t>C</w:t>
      </w:r>
      <w:r w:rsidR="00C35B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onfiance des </w:t>
      </w:r>
      <w:r w:rsidRPr="004708C0">
        <w:rPr>
          <w:rFonts w:ascii="Times New Roman" w:hAnsi="Times New Roman" w:cs="Times New Roman"/>
          <w:b/>
          <w:color w:val="000000"/>
          <w:sz w:val="28"/>
          <w:szCs w:val="28"/>
        </w:rPr>
        <w:t>M</w:t>
      </w:r>
      <w:r w:rsidR="00C35B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énages  (ICM) </w:t>
      </w:r>
      <w:r w:rsidRPr="004708C0">
        <w:rPr>
          <w:rFonts w:ascii="Times New Roman" w:hAnsi="Times New Roman" w:cs="Times New Roman"/>
          <w:b/>
          <w:color w:val="000000"/>
          <w:sz w:val="28"/>
          <w:szCs w:val="28"/>
        </w:rPr>
        <w:t>et de ses composantes</w:t>
      </w:r>
    </w:p>
    <w:p w:rsidR="00CF6E6C" w:rsidRDefault="00CF6E6C" w:rsidP="00C35BF2">
      <w:pPr>
        <w:spacing w:line="360" w:lineRule="auto"/>
        <w:ind w:left="-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1505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627"/>
        <w:gridCol w:w="496"/>
        <w:gridCol w:w="496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89"/>
        <w:gridCol w:w="8"/>
      </w:tblGrid>
      <w:tr w:rsidR="00090FCF" w:rsidRPr="00090FCF" w:rsidTr="00090FCF">
        <w:trPr>
          <w:gridAfter w:val="1"/>
          <w:wAfter w:w="8" w:type="dxa"/>
          <w:trHeight w:val="226"/>
        </w:trPr>
        <w:tc>
          <w:tcPr>
            <w:tcW w:w="3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FCF" w:rsidRPr="00090FCF" w:rsidRDefault="00090FCF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0F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Indicateur</w:t>
            </w:r>
          </w:p>
        </w:tc>
        <w:tc>
          <w:tcPr>
            <w:tcW w:w="11421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FCF" w:rsidRPr="00090FCF" w:rsidRDefault="00090FCF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0F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Trimestre</w:t>
            </w:r>
          </w:p>
        </w:tc>
      </w:tr>
      <w:tr w:rsidR="00090FCF" w:rsidRPr="00090FCF" w:rsidTr="00090FCF">
        <w:trPr>
          <w:trHeight w:val="374"/>
        </w:trPr>
        <w:tc>
          <w:tcPr>
            <w:tcW w:w="3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CF" w:rsidRPr="00090FCF" w:rsidRDefault="00090FCF" w:rsidP="00090F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FCF" w:rsidRPr="00090FCF" w:rsidRDefault="00090FCF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090FCF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T1/08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FCF" w:rsidRPr="00090FCF" w:rsidRDefault="00090FCF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090FCF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T2/08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FCF" w:rsidRPr="00090FCF" w:rsidRDefault="00090FCF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090FCF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T3/08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FCF" w:rsidRPr="00090FCF" w:rsidRDefault="00090FCF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090FCF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T4/08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FCF" w:rsidRPr="00090FCF" w:rsidRDefault="00090FCF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090FCF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T1/09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FCF" w:rsidRPr="00090FCF" w:rsidRDefault="00090FCF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090FCF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T2/09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FCF" w:rsidRPr="00090FCF" w:rsidRDefault="00090FCF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090FCF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T3/09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FCF" w:rsidRPr="00090FCF" w:rsidRDefault="00090FCF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090FCF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T4/09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FCF" w:rsidRPr="00090FCF" w:rsidRDefault="00090FCF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090FCF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T1/10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FCF" w:rsidRPr="00090FCF" w:rsidRDefault="00090FCF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090FCF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T2/10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FCF" w:rsidRPr="00090FCF" w:rsidRDefault="00090FCF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090FCF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T3/10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FCF" w:rsidRPr="00090FCF" w:rsidRDefault="00090FCF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090FCF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T4/10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FCF" w:rsidRPr="00090FCF" w:rsidRDefault="00090FCF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090FCF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T1/11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FCF" w:rsidRPr="00090FCF" w:rsidRDefault="00090FCF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090FCF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T2/11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FCF" w:rsidRPr="00090FCF" w:rsidRDefault="00090FCF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090FCF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T3/11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FCF" w:rsidRPr="00090FCF" w:rsidRDefault="00090FCF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090FCF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T4/11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FCF" w:rsidRPr="00090FCF" w:rsidRDefault="00090FCF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090FCF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T1/12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FCF" w:rsidRPr="00090FCF" w:rsidRDefault="00090FCF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090FCF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T2/12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FCF" w:rsidRPr="00090FCF" w:rsidRDefault="00090FCF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090FCF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T3/12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FCF" w:rsidRPr="00090FCF" w:rsidRDefault="00090FCF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090FCF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T4/12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FCF" w:rsidRPr="00090FCF" w:rsidRDefault="00090FCF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090FCF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T1/13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FCF" w:rsidRPr="00090FCF" w:rsidRDefault="00090FCF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090FCF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T2/13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FCF" w:rsidRPr="00090FCF" w:rsidRDefault="00090FCF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090FCF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T3/13</w:t>
            </w:r>
          </w:p>
        </w:tc>
      </w:tr>
      <w:tr w:rsidR="00090FCF" w:rsidRPr="00090FCF" w:rsidTr="00090FCF">
        <w:trPr>
          <w:trHeight w:val="38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CF" w:rsidRPr="00090FCF" w:rsidRDefault="00090FCF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F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Indicateur résumé ICM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CF" w:rsidRPr="00292082" w:rsidRDefault="00090FCF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0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85,9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CF" w:rsidRPr="00292082" w:rsidRDefault="00090FCF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0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77,7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CF" w:rsidRPr="00292082" w:rsidRDefault="00090FCF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0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75,6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CF" w:rsidRPr="00292082" w:rsidRDefault="00090FCF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0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80,1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CF" w:rsidRPr="00292082" w:rsidRDefault="00090FCF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0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76,9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CF" w:rsidRPr="00292082" w:rsidRDefault="00090FCF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0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77,6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CF" w:rsidRPr="00292082" w:rsidRDefault="00090FCF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0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79,1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CF" w:rsidRPr="00292082" w:rsidRDefault="00090FCF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0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79,5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CF" w:rsidRPr="00292082" w:rsidRDefault="00090FCF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0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80,1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CF" w:rsidRPr="00292082" w:rsidRDefault="00090FCF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0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78,8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CF" w:rsidRPr="00292082" w:rsidRDefault="00090FCF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0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78,6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CF" w:rsidRPr="00292082" w:rsidRDefault="00090FCF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0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74,7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CF" w:rsidRPr="00292082" w:rsidRDefault="00090FCF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0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78,4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FCF" w:rsidRPr="00292082" w:rsidRDefault="00090FCF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0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85,8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CF" w:rsidRPr="00292082" w:rsidRDefault="00090FCF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0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86,5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CF" w:rsidRPr="00292082" w:rsidRDefault="00090FCF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0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84,5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CF" w:rsidRPr="00292082" w:rsidRDefault="00090FCF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0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82,9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CF" w:rsidRPr="00292082" w:rsidRDefault="00090FCF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0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80,7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CF" w:rsidRPr="00292082" w:rsidRDefault="00090FCF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0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77,6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CF" w:rsidRPr="00292082" w:rsidRDefault="00090FCF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0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78,4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FCF" w:rsidRPr="00292082" w:rsidRDefault="00090FCF" w:rsidP="00090FCF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292082">
              <w:rPr>
                <w:rFonts w:ascii="Calibri" w:hAnsi="Calibri" w:cs="Times New Roman"/>
                <w:b/>
                <w:bCs/>
                <w:sz w:val="20"/>
                <w:szCs w:val="20"/>
              </w:rPr>
              <w:t>75,8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FCF" w:rsidRPr="00292082" w:rsidRDefault="00090FCF" w:rsidP="00976C98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292082">
              <w:rPr>
                <w:rFonts w:ascii="Calibri" w:hAnsi="Calibri" w:cs="Times New Roman"/>
                <w:b/>
                <w:bCs/>
                <w:sz w:val="20"/>
                <w:szCs w:val="20"/>
              </w:rPr>
              <w:t>74,</w:t>
            </w:r>
            <w:r w:rsidR="00976C98">
              <w:rPr>
                <w:rFonts w:ascii="Calibri" w:hAnsi="Calibri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FCF" w:rsidRPr="00292082" w:rsidRDefault="00090FCF" w:rsidP="00BB3C65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292082">
              <w:rPr>
                <w:rFonts w:ascii="Calibri" w:hAnsi="Calibri" w:cs="Times New Roman"/>
                <w:b/>
                <w:bCs/>
                <w:sz w:val="20"/>
                <w:szCs w:val="20"/>
              </w:rPr>
              <w:t>75,</w:t>
            </w:r>
            <w:r w:rsidR="00BB3C65">
              <w:rPr>
                <w:rFonts w:ascii="Calibri" w:hAnsi="Calibri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EA4C22" w:rsidRPr="00090FCF" w:rsidTr="00090FCF">
        <w:trPr>
          <w:trHeight w:val="77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CF">
              <w:rPr>
                <w:rFonts w:ascii="Times New Roman" w:hAnsi="Times New Roman" w:cs="Times New Roman"/>
                <w:sz w:val="20"/>
                <w:szCs w:val="20"/>
              </w:rPr>
              <w:t>Perspectives d'évolution du nombre de chômeurs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-52,1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-56,6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-51,6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-51,1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-51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-59,1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-57,9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-57,5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-59,2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-61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-56,1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-52,3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-52,4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-46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-41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-41,6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-44,1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-48,6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-56,7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-58,1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292082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2082">
              <w:rPr>
                <w:rFonts w:ascii="Times New Roman" w:hAnsi="Times New Roman" w:cs="Times New Roman"/>
                <w:sz w:val="16"/>
                <w:szCs w:val="16"/>
              </w:rPr>
              <w:t>-61,7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292082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2082">
              <w:rPr>
                <w:rFonts w:ascii="Times New Roman" w:hAnsi="Times New Roman" w:cs="Times New Roman"/>
                <w:sz w:val="16"/>
                <w:szCs w:val="16"/>
              </w:rPr>
              <w:t>-67,8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EA4C22" w:rsidRDefault="00EA4C22" w:rsidP="00EA4C2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C22">
              <w:rPr>
                <w:rFonts w:ascii="Times New Roman" w:hAnsi="Times New Roman" w:cs="Times New Roman"/>
                <w:sz w:val="16"/>
                <w:szCs w:val="16"/>
              </w:rPr>
              <w:t>-69,8</w:t>
            </w:r>
          </w:p>
        </w:tc>
      </w:tr>
      <w:tr w:rsidR="00EA4C22" w:rsidRPr="00090FCF" w:rsidTr="00090FCF">
        <w:trPr>
          <w:trHeight w:val="577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CF">
              <w:rPr>
                <w:rFonts w:ascii="Times New Roman" w:hAnsi="Times New Roman" w:cs="Times New Roman"/>
                <w:sz w:val="20"/>
                <w:szCs w:val="20"/>
              </w:rPr>
              <w:t>Evolution  passée du niveau de vie en général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-10,4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-25,2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-31,1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-29,4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-36,7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-29,1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-25,7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-26,5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-25,7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-28,6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-27,9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-37,2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-26,1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-17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-13,4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-20,2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-26,2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-21,8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-27,9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-28,1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292082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2082">
              <w:rPr>
                <w:rFonts w:ascii="Times New Roman" w:hAnsi="Times New Roman" w:cs="Times New Roman"/>
                <w:sz w:val="16"/>
                <w:szCs w:val="16"/>
              </w:rPr>
              <w:t>-29,2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292082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2082">
              <w:rPr>
                <w:rFonts w:ascii="Times New Roman" w:hAnsi="Times New Roman" w:cs="Times New Roman"/>
                <w:sz w:val="16"/>
                <w:szCs w:val="16"/>
              </w:rPr>
              <w:t>-23,1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EA4C22" w:rsidRDefault="00EA4C22" w:rsidP="00EA4C2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C22">
              <w:rPr>
                <w:rFonts w:ascii="Times New Roman" w:hAnsi="Times New Roman" w:cs="Times New Roman"/>
                <w:sz w:val="16"/>
                <w:szCs w:val="16"/>
              </w:rPr>
              <w:t>-21,2</w:t>
            </w:r>
          </w:p>
        </w:tc>
      </w:tr>
      <w:tr w:rsidR="00EA4C22" w:rsidRPr="00090FCF" w:rsidTr="00090FCF">
        <w:trPr>
          <w:trHeight w:val="77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CF">
              <w:rPr>
                <w:rFonts w:ascii="Times New Roman" w:hAnsi="Times New Roman" w:cs="Times New Roman"/>
                <w:sz w:val="20"/>
                <w:szCs w:val="20"/>
              </w:rPr>
              <w:t>Perspectives d'évolution du niveau de vie en général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14,4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-11,5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-21,4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-3,5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-9,3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-3,5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2,2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2,7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-11,4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-1,9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18,1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11,9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13,1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11,2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-3,2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-1,2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292082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2082">
              <w:rPr>
                <w:rFonts w:ascii="Times New Roman" w:hAnsi="Times New Roman" w:cs="Times New Roman"/>
                <w:sz w:val="16"/>
                <w:szCs w:val="16"/>
              </w:rPr>
              <w:t>-5,1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292082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2082">
              <w:rPr>
                <w:rFonts w:ascii="Times New Roman" w:hAnsi="Times New Roman" w:cs="Times New Roman"/>
                <w:sz w:val="16"/>
                <w:szCs w:val="16"/>
              </w:rPr>
              <w:t>-4,2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EA4C22" w:rsidRDefault="00EA4C22" w:rsidP="00EA4C2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C22">
              <w:rPr>
                <w:rFonts w:ascii="Times New Roman" w:hAnsi="Times New Roman" w:cs="Times New Roman"/>
                <w:sz w:val="16"/>
                <w:szCs w:val="16"/>
              </w:rPr>
              <w:t>-3,1</w:t>
            </w:r>
          </w:p>
        </w:tc>
      </w:tr>
      <w:tr w:rsidR="00EA4C22" w:rsidRPr="00090FCF" w:rsidTr="00090FCF">
        <w:trPr>
          <w:trHeight w:val="38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CF">
              <w:rPr>
                <w:rFonts w:ascii="Times New Roman" w:hAnsi="Times New Roman" w:cs="Times New Roman"/>
                <w:sz w:val="20"/>
                <w:szCs w:val="20"/>
              </w:rPr>
              <w:t>Opportunité d'achat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-34,3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-37,5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-39,1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-41,8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-46,5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-43,4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-42,6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-34,8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-37,5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-36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-44,3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-39,9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-39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-36,4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-38,5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-32,5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-37,4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-29,5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-29,3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292082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2082">
              <w:rPr>
                <w:rFonts w:ascii="Times New Roman" w:hAnsi="Times New Roman" w:cs="Times New Roman"/>
                <w:sz w:val="16"/>
                <w:szCs w:val="16"/>
              </w:rPr>
              <w:t>-28,3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292082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2082">
              <w:rPr>
                <w:rFonts w:ascii="Times New Roman" w:hAnsi="Times New Roman" w:cs="Times New Roman"/>
                <w:sz w:val="16"/>
                <w:szCs w:val="16"/>
              </w:rPr>
              <w:t>-31,7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EA4C22" w:rsidRDefault="00EA4C22" w:rsidP="00EA4C2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C22">
              <w:rPr>
                <w:rFonts w:ascii="Times New Roman" w:hAnsi="Times New Roman" w:cs="Times New Roman"/>
                <w:sz w:val="16"/>
                <w:szCs w:val="16"/>
              </w:rPr>
              <w:t>-29,5</w:t>
            </w:r>
          </w:p>
        </w:tc>
      </w:tr>
      <w:tr w:rsidR="00EA4C22" w:rsidRPr="00090FCF" w:rsidTr="00090FCF">
        <w:trPr>
          <w:trHeight w:val="577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CF">
              <w:rPr>
                <w:rFonts w:ascii="Times New Roman" w:hAnsi="Times New Roman" w:cs="Times New Roman"/>
                <w:sz w:val="20"/>
                <w:szCs w:val="20"/>
              </w:rPr>
              <w:t>Situation financière actuelle des ménages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-33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-32,9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-34,4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-33,1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-31,3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-26,9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-28,3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-25,3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-27,5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-27,6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-30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-28,1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-30,6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-27,1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-24,3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-25,7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-25,4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-31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-30,8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-29,4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292082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2082">
              <w:rPr>
                <w:rFonts w:ascii="Times New Roman" w:hAnsi="Times New Roman" w:cs="Times New Roman"/>
                <w:sz w:val="16"/>
                <w:szCs w:val="16"/>
              </w:rPr>
              <w:t>-29,8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292082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2082">
              <w:rPr>
                <w:rFonts w:ascii="Times New Roman" w:hAnsi="Times New Roman" w:cs="Times New Roman"/>
                <w:sz w:val="16"/>
                <w:szCs w:val="16"/>
              </w:rPr>
              <w:t>-30,2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EA4C22" w:rsidRDefault="00EA4C22" w:rsidP="00EA4C2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C22">
              <w:rPr>
                <w:rFonts w:ascii="Times New Roman" w:hAnsi="Times New Roman" w:cs="Times New Roman"/>
                <w:sz w:val="16"/>
                <w:szCs w:val="16"/>
              </w:rPr>
              <w:t>-29,5</w:t>
            </w:r>
          </w:p>
        </w:tc>
      </w:tr>
      <w:tr w:rsidR="00EA4C22" w:rsidRPr="00090FCF" w:rsidTr="00090FCF">
        <w:trPr>
          <w:trHeight w:val="77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CF">
              <w:rPr>
                <w:rFonts w:ascii="Times New Roman" w:hAnsi="Times New Roman" w:cs="Times New Roman"/>
                <w:sz w:val="20"/>
                <w:szCs w:val="20"/>
              </w:rPr>
              <w:t>Evolution  passée  de la situation financière des ménages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-11,8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-11,4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-11,7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-9,5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-18,4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-13,4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-8,3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-7,9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-7,5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-12,8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-10,5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-8,9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-6,4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-9,8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-14,1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-16,6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-16,7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-15,7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292082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2082">
              <w:rPr>
                <w:rFonts w:ascii="Times New Roman" w:hAnsi="Times New Roman" w:cs="Times New Roman"/>
                <w:sz w:val="16"/>
                <w:szCs w:val="16"/>
              </w:rPr>
              <w:t>-19,6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292082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2082">
              <w:rPr>
                <w:rFonts w:ascii="Times New Roman" w:hAnsi="Times New Roman" w:cs="Times New Roman"/>
                <w:sz w:val="16"/>
                <w:szCs w:val="16"/>
              </w:rPr>
              <w:t>-23,8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EA4C22" w:rsidRDefault="00EA4C22" w:rsidP="00EA4C2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C22">
              <w:rPr>
                <w:rFonts w:ascii="Times New Roman" w:hAnsi="Times New Roman" w:cs="Times New Roman"/>
                <w:sz w:val="16"/>
                <w:szCs w:val="16"/>
              </w:rPr>
              <w:t>-21,9</w:t>
            </w:r>
          </w:p>
        </w:tc>
      </w:tr>
      <w:tr w:rsidR="00EA4C22" w:rsidRPr="00090FCF" w:rsidTr="00090FCF">
        <w:trPr>
          <w:trHeight w:val="77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CF">
              <w:rPr>
                <w:rFonts w:ascii="Times New Roman" w:hAnsi="Times New Roman" w:cs="Times New Roman"/>
                <w:sz w:val="20"/>
                <w:szCs w:val="20"/>
              </w:rPr>
              <w:t>Evolution  future de la situation financière des ménages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23,9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15,6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16,6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26,7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26,8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17,5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17,1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17,8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11,8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7,8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9,4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10,2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20,4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15,1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11,2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11,1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7,7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10,6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292082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2082"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292082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2082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EA4C22" w:rsidRDefault="00EA4C22" w:rsidP="00EA4C2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C22">
              <w:rPr>
                <w:rFonts w:ascii="Times New Roman" w:hAnsi="Times New Roman" w:cs="Times New Roman"/>
                <w:sz w:val="16"/>
                <w:szCs w:val="16"/>
              </w:rPr>
              <w:t>2,8</w:t>
            </w:r>
          </w:p>
        </w:tc>
      </w:tr>
      <w:tr w:rsidR="00090FCF" w:rsidRPr="00292082" w:rsidTr="00090FCF">
        <w:trPr>
          <w:gridAfter w:val="1"/>
          <w:wAfter w:w="8" w:type="dxa"/>
          <w:trHeight w:val="226"/>
        </w:trPr>
        <w:tc>
          <w:tcPr>
            <w:tcW w:w="1504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CF" w:rsidRPr="00292082" w:rsidRDefault="00090FCF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208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Autres soldes</w:t>
            </w:r>
          </w:p>
        </w:tc>
      </w:tr>
      <w:tr w:rsidR="00EA4C22" w:rsidRPr="00090FCF" w:rsidTr="00090FCF">
        <w:trPr>
          <w:trHeight w:val="77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CF">
              <w:rPr>
                <w:rFonts w:ascii="Times New Roman" w:hAnsi="Times New Roman" w:cs="Times New Roman"/>
                <w:sz w:val="20"/>
                <w:szCs w:val="20"/>
              </w:rPr>
              <w:t>Evolution future des prix des produits alimentaires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-74,1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-77,7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-78,9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-49,7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-34,9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-33,5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-50,9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-47,9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-46,5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-56,8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-62,2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-70,2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-73,4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-58,8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-72,6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-73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-69,8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-71,5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-73,6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-70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292082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2082">
              <w:rPr>
                <w:rFonts w:ascii="Times New Roman" w:hAnsi="Times New Roman" w:cs="Times New Roman"/>
                <w:sz w:val="16"/>
                <w:szCs w:val="16"/>
              </w:rPr>
              <w:t>-76,1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292082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2082">
              <w:rPr>
                <w:rFonts w:ascii="Times New Roman" w:hAnsi="Times New Roman" w:cs="Times New Roman"/>
                <w:sz w:val="16"/>
                <w:szCs w:val="16"/>
              </w:rPr>
              <w:t>-73,4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EA4C22" w:rsidRDefault="00EA4C22" w:rsidP="00EA4C2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C22">
              <w:rPr>
                <w:rFonts w:ascii="Times New Roman" w:hAnsi="Times New Roman" w:cs="Times New Roman"/>
                <w:sz w:val="16"/>
                <w:szCs w:val="16"/>
              </w:rPr>
              <w:t>-76,0</w:t>
            </w:r>
          </w:p>
        </w:tc>
      </w:tr>
      <w:tr w:rsidR="00EA4C22" w:rsidRPr="00090FCF" w:rsidTr="00090FCF">
        <w:trPr>
          <w:trHeight w:val="77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CF">
              <w:rPr>
                <w:rFonts w:ascii="Times New Roman" w:hAnsi="Times New Roman" w:cs="Times New Roman"/>
                <w:sz w:val="20"/>
                <w:szCs w:val="20"/>
              </w:rPr>
              <w:t>Evolution  passée des prix des produits alimentaires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-93,6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-95,9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-98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-96,2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-94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-87,2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-85,7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-83,3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-79,5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-87,8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-89,7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-90,9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-95,5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-87,2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-89,9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-92,5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-91,6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-91,1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-91,7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090FCF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-90,6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292082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2082">
              <w:rPr>
                <w:rFonts w:ascii="Times New Roman" w:hAnsi="Times New Roman" w:cs="Times New Roman"/>
                <w:sz w:val="16"/>
                <w:szCs w:val="16"/>
              </w:rPr>
              <w:t>-91,6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292082" w:rsidRDefault="00EA4C22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2082">
              <w:rPr>
                <w:rFonts w:ascii="Times New Roman" w:hAnsi="Times New Roman" w:cs="Times New Roman"/>
                <w:sz w:val="16"/>
                <w:szCs w:val="16"/>
              </w:rPr>
              <w:t>-88,9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22" w:rsidRPr="00EA4C22" w:rsidRDefault="00EA4C22" w:rsidP="00EA4C2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C22">
              <w:rPr>
                <w:rFonts w:ascii="Times New Roman" w:hAnsi="Times New Roman" w:cs="Times New Roman"/>
                <w:sz w:val="16"/>
                <w:szCs w:val="16"/>
              </w:rPr>
              <w:t>-90,5</w:t>
            </w:r>
          </w:p>
        </w:tc>
      </w:tr>
      <w:tr w:rsidR="00090FCF" w:rsidRPr="00090FCF" w:rsidTr="00090FCF">
        <w:trPr>
          <w:trHeight w:val="226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FCF" w:rsidRPr="00090FCF" w:rsidRDefault="00090FCF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CF">
              <w:rPr>
                <w:rFonts w:ascii="Times New Roman" w:hAnsi="Times New Roman" w:cs="Times New Roman"/>
                <w:sz w:val="20"/>
                <w:szCs w:val="20"/>
              </w:rPr>
              <w:t>Capacité à épargner des ménages dans les mois à venir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CF" w:rsidRPr="00090FCF" w:rsidRDefault="00090FCF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-61,2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CF" w:rsidRPr="00090FCF" w:rsidRDefault="00090FCF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-61,3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CF" w:rsidRPr="00090FCF" w:rsidRDefault="00090FCF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-60,7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CF" w:rsidRPr="00090FCF" w:rsidRDefault="00090FCF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-56,7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CF" w:rsidRPr="00090FCF" w:rsidRDefault="00090FCF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-56,8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CF" w:rsidRPr="00090FCF" w:rsidRDefault="00090FCF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-57,1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CF" w:rsidRPr="00090FCF" w:rsidRDefault="00090FCF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-57,8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CF" w:rsidRPr="00090FCF" w:rsidRDefault="00090FCF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-58,5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CF" w:rsidRPr="00090FCF" w:rsidRDefault="00090FCF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-56,6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CF" w:rsidRPr="00090FCF" w:rsidRDefault="00090FCF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-61,1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CF" w:rsidRPr="00090FCF" w:rsidRDefault="00090FCF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-67,6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CF" w:rsidRPr="00090FCF" w:rsidRDefault="00090FCF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-66,6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CF" w:rsidRPr="00090FCF" w:rsidRDefault="00090FCF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-61,7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CF" w:rsidRPr="00090FCF" w:rsidRDefault="00090FCF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-63,3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CF" w:rsidRPr="00090FCF" w:rsidRDefault="00090FCF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-64,9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CF" w:rsidRPr="00090FCF" w:rsidRDefault="00090FCF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-64,7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CF" w:rsidRPr="00090FCF" w:rsidRDefault="00090FCF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-62,5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CF" w:rsidRPr="00090FCF" w:rsidRDefault="00090FCF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-63,5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CF" w:rsidRPr="00090FCF" w:rsidRDefault="00090FCF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-65,3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CF" w:rsidRPr="00090FCF" w:rsidRDefault="00090FCF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FCF">
              <w:rPr>
                <w:rFonts w:ascii="Times New Roman" w:hAnsi="Times New Roman" w:cs="Times New Roman"/>
                <w:sz w:val="16"/>
                <w:szCs w:val="16"/>
              </w:rPr>
              <w:t>-64,5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CF" w:rsidRPr="00292082" w:rsidRDefault="00090FCF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2082">
              <w:rPr>
                <w:rFonts w:ascii="Times New Roman" w:hAnsi="Times New Roman" w:cs="Times New Roman"/>
                <w:sz w:val="16"/>
                <w:szCs w:val="16"/>
              </w:rPr>
              <w:t>-67,0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CF" w:rsidRPr="00292082" w:rsidRDefault="00090FCF" w:rsidP="00090F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2082">
              <w:rPr>
                <w:rFonts w:ascii="Times New Roman" w:hAnsi="Times New Roman" w:cs="Times New Roman"/>
                <w:sz w:val="16"/>
                <w:szCs w:val="16"/>
              </w:rPr>
              <w:t>-70,3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0E" w:rsidRDefault="0038490E" w:rsidP="00384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4C22" w:rsidRPr="00EA4C22" w:rsidRDefault="00EA4C22" w:rsidP="003849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EA4C22">
              <w:rPr>
                <w:rFonts w:ascii="Times New Roman" w:hAnsi="Times New Roman" w:cs="Times New Roman"/>
                <w:sz w:val="16"/>
                <w:szCs w:val="16"/>
              </w:rPr>
              <w:t>-69,1</w:t>
            </w:r>
          </w:p>
          <w:p w:rsidR="00090FCF" w:rsidRPr="00292082" w:rsidRDefault="00090FCF" w:rsidP="00EA4C2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90FCF" w:rsidRDefault="00090FCF" w:rsidP="00C35BF2">
      <w:pPr>
        <w:spacing w:line="360" w:lineRule="auto"/>
        <w:ind w:left="-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D5B33" w:rsidRDefault="005D5B33" w:rsidP="00F04758">
      <w:pPr>
        <w:rPr>
          <w:rFonts w:ascii="Calibri" w:hAnsi="Calibri" w:cs="Times New Roman"/>
          <w:color w:val="000000"/>
          <w:szCs w:val="22"/>
        </w:rPr>
        <w:sectPr w:rsidR="005D5B33" w:rsidSect="005D5B33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W w:w="14759" w:type="dxa"/>
        <w:tblInd w:w="5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687"/>
        <w:gridCol w:w="867"/>
        <w:gridCol w:w="715"/>
        <w:gridCol w:w="710"/>
        <w:gridCol w:w="708"/>
        <w:gridCol w:w="709"/>
        <w:gridCol w:w="709"/>
        <w:gridCol w:w="662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624"/>
        <w:gridCol w:w="668"/>
      </w:tblGrid>
      <w:tr w:rsidR="004211F6" w:rsidRPr="00114522" w:rsidTr="005D5B33">
        <w:trPr>
          <w:trHeight w:val="300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1F6" w:rsidRPr="00114522" w:rsidRDefault="004211F6" w:rsidP="00F04758">
            <w:pPr>
              <w:rPr>
                <w:rFonts w:ascii="Calibri" w:hAnsi="Calibri" w:cs="Times New Roman"/>
                <w:color w:val="000000"/>
                <w:szCs w:val="2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1F6" w:rsidRPr="00114522" w:rsidRDefault="004211F6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1F6" w:rsidRPr="00114522" w:rsidRDefault="004211F6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1F6" w:rsidRPr="00114522" w:rsidRDefault="004211F6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1F6" w:rsidRPr="00114522" w:rsidRDefault="004211F6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1F6" w:rsidRPr="00114522" w:rsidRDefault="004211F6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1F6" w:rsidRPr="00114522" w:rsidRDefault="004211F6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1F6" w:rsidRPr="00114522" w:rsidRDefault="004211F6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1F6" w:rsidRPr="00114522" w:rsidRDefault="004211F6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1F6" w:rsidRPr="00114522" w:rsidRDefault="004211F6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1F6" w:rsidRPr="00114522" w:rsidRDefault="004211F6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1F6" w:rsidRPr="00114522" w:rsidRDefault="004211F6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1F6" w:rsidRPr="00114522" w:rsidRDefault="004211F6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1F6" w:rsidRPr="00114522" w:rsidRDefault="004211F6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1F6" w:rsidRPr="00114522" w:rsidRDefault="004211F6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1F6" w:rsidRPr="00114522" w:rsidRDefault="004211F6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1F6" w:rsidRPr="00114522" w:rsidRDefault="004211F6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1F6" w:rsidRPr="00114522" w:rsidRDefault="004211F6" w:rsidP="00F04758">
            <w:pPr>
              <w:rPr>
                <w:rFonts w:ascii="Calibri" w:hAnsi="Calibri" w:cs="Times New Roman"/>
                <w:color w:val="000000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1F6" w:rsidRPr="00114522" w:rsidRDefault="004211F6" w:rsidP="00F04758">
            <w:pPr>
              <w:rPr>
                <w:rFonts w:ascii="Calibri" w:hAnsi="Calibri" w:cs="Times New Roman"/>
                <w:color w:val="000000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211F6" w:rsidRPr="00114522" w:rsidRDefault="004211F6" w:rsidP="00F04758">
            <w:pPr>
              <w:rPr>
                <w:rFonts w:ascii="Calibri" w:hAnsi="Calibri" w:cs="Times New Roman"/>
                <w:color w:val="000000"/>
                <w:szCs w:val="22"/>
              </w:rPr>
            </w:pPr>
          </w:p>
        </w:tc>
      </w:tr>
      <w:tr w:rsidR="004211F6" w:rsidRPr="00114522" w:rsidTr="005D5B33">
        <w:trPr>
          <w:trHeight w:val="300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1F6" w:rsidRPr="00114522" w:rsidRDefault="004211F6" w:rsidP="00F04758">
            <w:pPr>
              <w:rPr>
                <w:rFonts w:ascii="Calibri" w:hAnsi="Calibri" w:cs="Times New Roman"/>
                <w:color w:val="000000"/>
                <w:szCs w:val="2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1F6" w:rsidRPr="00114522" w:rsidRDefault="004211F6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1F6" w:rsidRPr="00114522" w:rsidRDefault="004211F6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1F6" w:rsidRPr="00114522" w:rsidRDefault="004211F6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1F6" w:rsidRPr="00114522" w:rsidRDefault="004211F6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1F6" w:rsidRPr="00114522" w:rsidRDefault="004211F6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1F6" w:rsidRPr="00114522" w:rsidRDefault="004211F6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1F6" w:rsidRPr="00114522" w:rsidRDefault="004211F6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1F6" w:rsidRPr="00114522" w:rsidRDefault="004211F6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1F6" w:rsidRPr="00114522" w:rsidRDefault="004211F6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1F6" w:rsidRPr="00114522" w:rsidRDefault="004211F6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1F6" w:rsidRPr="00114522" w:rsidRDefault="004211F6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1F6" w:rsidRPr="00114522" w:rsidRDefault="004211F6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1F6" w:rsidRPr="00114522" w:rsidRDefault="004211F6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1F6" w:rsidRPr="00114522" w:rsidRDefault="004211F6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1F6" w:rsidRPr="00114522" w:rsidRDefault="004211F6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1F6" w:rsidRPr="00114522" w:rsidRDefault="004211F6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1F6" w:rsidRPr="00114522" w:rsidRDefault="004211F6" w:rsidP="00F04758">
            <w:pPr>
              <w:rPr>
                <w:rFonts w:ascii="Calibri" w:hAnsi="Calibri" w:cs="Times New Roman"/>
                <w:color w:val="000000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1F6" w:rsidRPr="00114522" w:rsidRDefault="004211F6" w:rsidP="00F04758">
            <w:pPr>
              <w:rPr>
                <w:rFonts w:ascii="Calibri" w:hAnsi="Calibri" w:cs="Times New Roman"/>
                <w:color w:val="000000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211F6" w:rsidRPr="00114522" w:rsidRDefault="004211F6" w:rsidP="00F04758">
            <w:pPr>
              <w:rPr>
                <w:rFonts w:ascii="Calibri" w:hAnsi="Calibri" w:cs="Times New Roman"/>
                <w:color w:val="000000"/>
                <w:szCs w:val="22"/>
              </w:rPr>
            </w:pPr>
          </w:p>
        </w:tc>
      </w:tr>
    </w:tbl>
    <w:p w:rsidR="00B10786" w:rsidRDefault="00B73B76" w:rsidP="00DB06E9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tbl>
      <w:tblPr>
        <w:tblpPr w:leftFromText="141" w:rightFromText="141" w:vertAnchor="text" w:horzAnchor="margin" w:tblpY="289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89"/>
      </w:tblGrid>
      <w:tr w:rsidR="008D7771" w:rsidRPr="00BD2D08" w:rsidTr="008D7771">
        <w:tc>
          <w:tcPr>
            <w:tcW w:w="9889" w:type="dxa"/>
          </w:tcPr>
          <w:p w:rsidR="008D7771" w:rsidRPr="00EC7956" w:rsidRDefault="008D7771" w:rsidP="008D7771">
            <w:pPr>
              <w:spacing w:line="276" w:lineRule="auto"/>
              <w:jc w:val="both"/>
              <w:rPr>
                <w:rFonts w:ascii="Book Antiqua" w:hAnsi="Book Antiqua" w:cs="Times New Roman"/>
                <w:sz w:val="20"/>
                <w:szCs w:val="20"/>
              </w:rPr>
            </w:pPr>
            <w:r w:rsidRPr="00EB68B6">
              <w:rPr>
                <w:rFonts w:ascii="Times New Roman" w:hAnsi="Times New Roman" w:cs="Times New Roman"/>
              </w:rPr>
              <w:br w:type="page"/>
            </w:r>
            <w:r w:rsidRPr="00EC7956">
              <w:rPr>
                <w:rFonts w:ascii="Book Antiqua" w:hAnsi="Book Antiqua" w:cs="Times New Roman"/>
                <w:sz w:val="20"/>
                <w:szCs w:val="20"/>
              </w:rPr>
              <w:t xml:space="preserve"> Rappelons que :</w:t>
            </w:r>
          </w:p>
          <w:p w:rsidR="008D7771" w:rsidRPr="00EC7956" w:rsidRDefault="008D7771" w:rsidP="008D7771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Book Antiqua" w:hAnsi="Book Antiqua" w:cs="Times New Roman"/>
                <w:sz w:val="20"/>
                <w:szCs w:val="20"/>
              </w:rPr>
            </w:pPr>
            <w:r w:rsidRPr="00EC7956">
              <w:rPr>
                <w:rFonts w:ascii="Book Antiqua" w:hAnsi="Book Antiqua" w:cs="Times New Roman"/>
                <w:sz w:val="20"/>
                <w:szCs w:val="20"/>
              </w:rPr>
              <w:t xml:space="preserve">les questions abordées sont qualitatives à 3 modalités (amélioration, stagnation, détérioration). Les  évolutions se réfèrent à une période de 12 mois. Les résultats sont présentés sous forme  de soldes (différence entre les pourcentages des réponses « amélioration » et  des réponses «détérioration»). Le niveau des soldes n’est pas directement interprétable, c’est leur évolution qui est analysée. </w:t>
            </w:r>
          </w:p>
          <w:p w:rsidR="008D7771" w:rsidRPr="00EC7956" w:rsidRDefault="008D7771" w:rsidP="008D7771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Book Antiqua" w:hAnsi="Book Antiqua" w:cs="Times New Roman"/>
                <w:sz w:val="20"/>
                <w:szCs w:val="20"/>
              </w:rPr>
            </w:pPr>
            <w:r w:rsidRPr="00EC7956">
              <w:rPr>
                <w:rFonts w:ascii="Book Antiqua" w:hAnsi="Book Antiqua" w:cs="Times New Roman"/>
                <w:sz w:val="20"/>
                <w:szCs w:val="20"/>
              </w:rPr>
              <w:t>L’Indice de Confiance des Ménages (ICM) est calculé sur la base de sept indicateurs, quatre relatifs à la situation générale et trois à la situation propre du ménage :</w:t>
            </w:r>
          </w:p>
          <w:p w:rsidR="008D7771" w:rsidRPr="00EC7956" w:rsidRDefault="008D7771" w:rsidP="008D7771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sz w:val="20"/>
                <w:szCs w:val="20"/>
              </w:rPr>
            </w:pPr>
            <w:r w:rsidRPr="00EC7956">
              <w:rPr>
                <w:rFonts w:ascii="Book Antiqua" w:hAnsi="Book Antiqua" w:cs="Times New Roman"/>
                <w:sz w:val="20"/>
                <w:szCs w:val="20"/>
              </w:rPr>
              <w:t>évolution  passée du niveau de vie ;</w:t>
            </w:r>
          </w:p>
          <w:p w:rsidR="008D7771" w:rsidRPr="00EC7956" w:rsidRDefault="008D7771" w:rsidP="008D7771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sz w:val="20"/>
                <w:szCs w:val="20"/>
              </w:rPr>
            </w:pPr>
            <w:r w:rsidRPr="00EC7956">
              <w:rPr>
                <w:rFonts w:ascii="Book Antiqua" w:hAnsi="Book Antiqua" w:cs="Times New Roman"/>
                <w:sz w:val="20"/>
                <w:szCs w:val="20"/>
              </w:rPr>
              <w:t>perspective d'évolution du niveau de vie ;</w:t>
            </w:r>
          </w:p>
          <w:p w:rsidR="008D7771" w:rsidRPr="00EC7956" w:rsidRDefault="008D7771" w:rsidP="008D7771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sz w:val="20"/>
                <w:szCs w:val="20"/>
              </w:rPr>
            </w:pPr>
            <w:r w:rsidRPr="00EC7956">
              <w:rPr>
                <w:rFonts w:ascii="Book Antiqua" w:hAnsi="Book Antiqua" w:cs="Times New Roman"/>
                <w:sz w:val="20"/>
                <w:szCs w:val="20"/>
              </w:rPr>
              <w:t>perspective d'évolution du nombre de chômeurs ;</w:t>
            </w:r>
          </w:p>
          <w:p w:rsidR="008D7771" w:rsidRPr="00EC7956" w:rsidRDefault="008D7771" w:rsidP="008D7771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sz w:val="20"/>
                <w:szCs w:val="20"/>
              </w:rPr>
            </w:pPr>
            <w:r w:rsidRPr="00EC7956">
              <w:rPr>
                <w:rFonts w:ascii="Book Antiqua" w:hAnsi="Book Antiqua" w:cs="Times New Roman"/>
                <w:sz w:val="20"/>
                <w:szCs w:val="20"/>
              </w:rPr>
              <w:t>opportunité d'achat de biens durables;</w:t>
            </w:r>
          </w:p>
          <w:p w:rsidR="008D7771" w:rsidRPr="00EC7956" w:rsidRDefault="008D7771" w:rsidP="008D7771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sz w:val="20"/>
                <w:szCs w:val="20"/>
              </w:rPr>
            </w:pPr>
            <w:r w:rsidRPr="00EC7956">
              <w:rPr>
                <w:rFonts w:ascii="Book Antiqua" w:hAnsi="Book Antiqua" w:cs="Times New Roman"/>
                <w:sz w:val="20"/>
                <w:szCs w:val="20"/>
              </w:rPr>
              <w:t>situation financière actuelle des ménages ;</w:t>
            </w:r>
          </w:p>
          <w:p w:rsidR="008D7771" w:rsidRPr="00EC7956" w:rsidRDefault="008D7771" w:rsidP="008D7771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sz w:val="20"/>
                <w:szCs w:val="20"/>
              </w:rPr>
            </w:pPr>
            <w:r w:rsidRPr="00EC7956">
              <w:rPr>
                <w:rFonts w:ascii="Book Antiqua" w:hAnsi="Book Antiqua" w:cs="Times New Roman"/>
                <w:sz w:val="20"/>
                <w:szCs w:val="20"/>
              </w:rPr>
              <w:t>évolution  passée de la situation financière des ménages ;</w:t>
            </w:r>
          </w:p>
          <w:p w:rsidR="008D7771" w:rsidRPr="00EC7956" w:rsidRDefault="008D7771" w:rsidP="008D7771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sz w:val="20"/>
                <w:szCs w:val="20"/>
              </w:rPr>
            </w:pPr>
            <w:r w:rsidRPr="00EC7956">
              <w:rPr>
                <w:rFonts w:ascii="Book Antiqua" w:hAnsi="Book Antiqua" w:cs="Times New Roman"/>
                <w:sz w:val="20"/>
                <w:szCs w:val="20"/>
              </w:rPr>
              <w:t>évolution  future de la situation financière des ménages.</w:t>
            </w:r>
          </w:p>
          <w:p w:rsidR="008D7771" w:rsidRPr="00EC7956" w:rsidRDefault="008D7771" w:rsidP="008D7771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Book Antiqua" w:hAnsi="Book Antiqua" w:cs="Times New Roman"/>
                <w:sz w:val="20"/>
                <w:szCs w:val="20"/>
              </w:rPr>
            </w:pPr>
            <w:r w:rsidRPr="00EC7956">
              <w:rPr>
                <w:rFonts w:ascii="Book Antiqua" w:hAnsi="Book Antiqua" w:cs="Times New Roman"/>
                <w:sz w:val="20"/>
                <w:szCs w:val="20"/>
              </w:rPr>
              <w:t>L’ICM est la  moyenne arithmétique simple des  soldes des 7 indicateurs, augmentée de 100, sa valeur varie ainsi de 0 à 200.</w:t>
            </w:r>
          </w:p>
          <w:p w:rsidR="008D7771" w:rsidRPr="00EC7956" w:rsidRDefault="008D7771" w:rsidP="008D7771">
            <w:pPr>
              <w:spacing w:line="276" w:lineRule="auto"/>
              <w:jc w:val="both"/>
              <w:rPr>
                <w:rFonts w:ascii="Book Antiqua" w:hAnsi="Book Antiqua" w:cs="Times New Roman"/>
                <w:b/>
                <w:bCs/>
                <w:color w:val="000000"/>
              </w:rPr>
            </w:pPr>
            <w:r w:rsidRPr="00EC7956">
              <w:rPr>
                <w:rFonts w:ascii="Book Antiqua" w:hAnsi="Book Antiqua" w:cs="Times New Roman"/>
                <w:sz w:val="20"/>
                <w:szCs w:val="20"/>
              </w:rPr>
              <w:t xml:space="preserve">Pour plus d’informations sur les aspects méthodologiques de cette enquête, consulter </w:t>
            </w:r>
            <w:r>
              <w:rPr>
                <w:rFonts w:ascii="Book Antiqua" w:hAnsi="Book Antiqua" w:cs="Times New Roman"/>
                <w:sz w:val="20"/>
                <w:szCs w:val="20"/>
              </w:rPr>
              <w:t xml:space="preserve">le site web du HCP au </w:t>
            </w:r>
            <w:r w:rsidRPr="00EC7956">
              <w:rPr>
                <w:rFonts w:ascii="Book Antiqua" w:hAnsi="Book Antiqua" w:cs="Times New Roman"/>
                <w:sz w:val="20"/>
                <w:szCs w:val="20"/>
              </w:rPr>
              <w:t xml:space="preserve"> </w:t>
            </w:r>
            <w:hyperlink r:id="rId16" w:history="1">
              <w:r w:rsidRPr="00EC7956">
                <w:rPr>
                  <w:rStyle w:val="Lienhypertexte"/>
                  <w:rFonts w:ascii="Book Antiqua" w:hAnsi="Book Antiqua" w:cs="Times New Roman"/>
                  <w:sz w:val="20"/>
                  <w:szCs w:val="20"/>
                </w:rPr>
                <w:t>www.hcp.ma</w:t>
              </w:r>
            </w:hyperlink>
            <w:r w:rsidRPr="00EC7956">
              <w:rPr>
                <w:rFonts w:ascii="Book Antiqua" w:hAnsi="Book Antiqua" w:cs="Times New Roman"/>
                <w:sz w:val="20"/>
                <w:szCs w:val="20"/>
              </w:rPr>
              <w:t xml:space="preserve"> </w:t>
            </w:r>
          </w:p>
        </w:tc>
      </w:tr>
    </w:tbl>
    <w:p w:rsidR="00B10786" w:rsidRDefault="00B10786" w:rsidP="00DB06E9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68173C" w:rsidRDefault="0068173C" w:rsidP="00DB06E9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68173C" w:rsidRDefault="0068173C" w:rsidP="00DB06E9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68173C" w:rsidRDefault="0068173C" w:rsidP="00DB06E9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A547C5" w:rsidRDefault="00A547C5" w:rsidP="00C476FD">
      <w:pPr>
        <w:widowControl/>
        <w:autoSpaceDE/>
        <w:autoSpaceDN/>
        <w:adjustRightInd/>
        <w:spacing w:before="100" w:beforeAutospacing="1" w:after="100" w:afterAutospacing="1" w:line="360" w:lineRule="auto"/>
        <w:ind w:left="360"/>
        <w:jc w:val="center"/>
        <w:rPr>
          <w:rFonts w:ascii="Times New Roman" w:hAnsi="Times New Roman" w:cs="Times New Roman"/>
          <w:b/>
          <w:bCs/>
        </w:rPr>
      </w:pPr>
    </w:p>
    <w:p w:rsidR="005D6C02" w:rsidRPr="00BD2D08" w:rsidRDefault="005D6C02" w:rsidP="00CF7444">
      <w:pPr>
        <w:widowControl/>
        <w:spacing w:line="276" w:lineRule="auto"/>
        <w:jc w:val="both"/>
        <w:rPr>
          <w:rFonts w:ascii="Book Antiqua" w:hAnsi="Book Antiqua" w:cs="Times New Roman"/>
          <w:b/>
          <w:bCs/>
          <w:color w:val="000000"/>
        </w:rPr>
      </w:pPr>
    </w:p>
    <w:p w:rsidR="005D6C02" w:rsidRPr="00BD2D08" w:rsidRDefault="005D6C02" w:rsidP="00CF7444">
      <w:pPr>
        <w:widowControl/>
        <w:spacing w:line="276" w:lineRule="auto"/>
        <w:jc w:val="both"/>
        <w:rPr>
          <w:rFonts w:ascii="Book Antiqua" w:hAnsi="Book Antiqua" w:cs="Times New Roman"/>
          <w:b/>
          <w:bCs/>
          <w:color w:val="000000"/>
        </w:rPr>
      </w:pPr>
    </w:p>
    <w:sectPr w:rsidR="005D6C02" w:rsidRPr="00BD2D08" w:rsidSect="00B879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A0D" w:rsidRDefault="00C23A0D" w:rsidP="00460705">
      <w:r>
        <w:separator/>
      </w:r>
    </w:p>
  </w:endnote>
  <w:endnote w:type="continuationSeparator" w:id="0">
    <w:p w:rsidR="00C23A0D" w:rsidRDefault="00C23A0D" w:rsidP="004607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41B" w:rsidRDefault="00F44276">
    <w:pPr>
      <w:pStyle w:val="Pieddepage"/>
      <w:jc w:val="right"/>
    </w:pPr>
    <w:fldSimple w:instr=" PAGE   \* MERGEFORMAT ">
      <w:r w:rsidR="00C23A0D">
        <w:rPr>
          <w:noProof/>
        </w:rPr>
        <w:t>1</w:t>
      </w:r>
    </w:fldSimple>
  </w:p>
  <w:p w:rsidR="000D341B" w:rsidRDefault="000D341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A0D" w:rsidRDefault="00C23A0D" w:rsidP="00460705">
      <w:r>
        <w:separator/>
      </w:r>
    </w:p>
  </w:footnote>
  <w:footnote w:type="continuationSeparator" w:id="0">
    <w:p w:rsidR="00C23A0D" w:rsidRDefault="00C23A0D" w:rsidP="004607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7A8E"/>
    <w:multiLevelType w:val="hybridMultilevel"/>
    <w:tmpl w:val="DEAAA6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122E6"/>
    <w:multiLevelType w:val="hybridMultilevel"/>
    <w:tmpl w:val="826865B6"/>
    <w:lvl w:ilvl="0" w:tplc="0616EC8E">
      <w:numFmt w:val="bullet"/>
      <w:lvlText w:val="-"/>
      <w:lvlJc w:val="left"/>
      <w:pPr>
        <w:ind w:left="1080" w:hanging="360"/>
      </w:pPr>
      <w:rPr>
        <w:rFonts w:ascii="Book Antiqua" w:eastAsia="Calibri" w:hAnsi="Book Antiqua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F9C3212"/>
    <w:multiLevelType w:val="hybridMultilevel"/>
    <w:tmpl w:val="30E2D8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28527B"/>
    <w:multiLevelType w:val="multilevel"/>
    <w:tmpl w:val="615095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3E6100A"/>
    <w:multiLevelType w:val="hybridMultilevel"/>
    <w:tmpl w:val="F000AF92"/>
    <w:lvl w:ilvl="0" w:tplc="040C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>
    <w:nsid w:val="498D60E8"/>
    <w:multiLevelType w:val="hybridMultilevel"/>
    <w:tmpl w:val="E83A85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355FAE"/>
    <w:multiLevelType w:val="hybridMultilevel"/>
    <w:tmpl w:val="5A8C44D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2DB559E"/>
    <w:multiLevelType w:val="hybridMultilevel"/>
    <w:tmpl w:val="C6182B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12704"/>
    <w:rsid w:val="000016A1"/>
    <w:rsid w:val="000023E0"/>
    <w:rsid w:val="00003F54"/>
    <w:rsid w:val="000069AE"/>
    <w:rsid w:val="00011A0E"/>
    <w:rsid w:val="00011F4E"/>
    <w:rsid w:val="0001754D"/>
    <w:rsid w:val="00022644"/>
    <w:rsid w:val="00024314"/>
    <w:rsid w:val="00024686"/>
    <w:rsid w:val="0002532B"/>
    <w:rsid w:val="00025F15"/>
    <w:rsid w:val="000315FD"/>
    <w:rsid w:val="00031CFB"/>
    <w:rsid w:val="000324B4"/>
    <w:rsid w:val="00032AF9"/>
    <w:rsid w:val="00032ECD"/>
    <w:rsid w:val="000370B6"/>
    <w:rsid w:val="00043430"/>
    <w:rsid w:val="00047B2B"/>
    <w:rsid w:val="00051534"/>
    <w:rsid w:val="00052C8E"/>
    <w:rsid w:val="0005628D"/>
    <w:rsid w:val="00056F4A"/>
    <w:rsid w:val="00057262"/>
    <w:rsid w:val="00057BC7"/>
    <w:rsid w:val="00057E1A"/>
    <w:rsid w:val="00061CA4"/>
    <w:rsid w:val="00062DD8"/>
    <w:rsid w:val="00064021"/>
    <w:rsid w:val="000646B0"/>
    <w:rsid w:val="000706EE"/>
    <w:rsid w:val="000720FD"/>
    <w:rsid w:val="00072F7C"/>
    <w:rsid w:val="00073079"/>
    <w:rsid w:val="000779C2"/>
    <w:rsid w:val="0008574A"/>
    <w:rsid w:val="000877E9"/>
    <w:rsid w:val="00087DA2"/>
    <w:rsid w:val="00090FCF"/>
    <w:rsid w:val="00090FEC"/>
    <w:rsid w:val="00091FB9"/>
    <w:rsid w:val="00097300"/>
    <w:rsid w:val="00097799"/>
    <w:rsid w:val="0009797C"/>
    <w:rsid w:val="000A158A"/>
    <w:rsid w:val="000A20DC"/>
    <w:rsid w:val="000A40C3"/>
    <w:rsid w:val="000B0844"/>
    <w:rsid w:val="000B09BA"/>
    <w:rsid w:val="000B1487"/>
    <w:rsid w:val="000C439F"/>
    <w:rsid w:val="000C56EA"/>
    <w:rsid w:val="000C7F17"/>
    <w:rsid w:val="000D24FA"/>
    <w:rsid w:val="000D341B"/>
    <w:rsid w:val="000D367A"/>
    <w:rsid w:val="000D4077"/>
    <w:rsid w:val="000D5638"/>
    <w:rsid w:val="000D5AB2"/>
    <w:rsid w:val="000D5B0A"/>
    <w:rsid w:val="000E10E0"/>
    <w:rsid w:val="000E17D9"/>
    <w:rsid w:val="000E49AE"/>
    <w:rsid w:val="000F0919"/>
    <w:rsid w:val="000F2945"/>
    <w:rsid w:val="000F6CE8"/>
    <w:rsid w:val="000F74C5"/>
    <w:rsid w:val="000F7A57"/>
    <w:rsid w:val="000F7C4F"/>
    <w:rsid w:val="001037B3"/>
    <w:rsid w:val="00104438"/>
    <w:rsid w:val="00104E44"/>
    <w:rsid w:val="001052BE"/>
    <w:rsid w:val="00105320"/>
    <w:rsid w:val="00106E19"/>
    <w:rsid w:val="00106FA4"/>
    <w:rsid w:val="00107534"/>
    <w:rsid w:val="001103D0"/>
    <w:rsid w:val="00110B90"/>
    <w:rsid w:val="001116C8"/>
    <w:rsid w:val="00115D48"/>
    <w:rsid w:val="001161C4"/>
    <w:rsid w:val="0011726A"/>
    <w:rsid w:val="00117A2F"/>
    <w:rsid w:val="00121CCC"/>
    <w:rsid w:val="00122941"/>
    <w:rsid w:val="00124827"/>
    <w:rsid w:val="00125161"/>
    <w:rsid w:val="00125543"/>
    <w:rsid w:val="00131E2D"/>
    <w:rsid w:val="00133860"/>
    <w:rsid w:val="00137D7D"/>
    <w:rsid w:val="001414F3"/>
    <w:rsid w:val="001438AB"/>
    <w:rsid w:val="0015212E"/>
    <w:rsid w:val="00152D59"/>
    <w:rsid w:val="00153ECF"/>
    <w:rsid w:val="001545AE"/>
    <w:rsid w:val="00161F45"/>
    <w:rsid w:val="0016596E"/>
    <w:rsid w:val="001672BD"/>
    <w:rsid w:val="00174542"/>
    <w:rsid w:val="00185207"/>
    <w:rsid w:val="00185ABC"/>
    <w:rsid w:val="00187EB7"/>
    <w:rsid w:val="00190672"/>
    <w:rsid w:val="00191E08"/>
    <w:rsid w:val="00191F62"/>
    <w:rsid w:val="00193B4D"/>
    <w:rsid w:val="0019435A"/>
    <w:rsid w:val="001956DC"/>
    <w:rsid w:val="00195D2E"/>
    <w:rsid w:val="001975D4"/>
    <w:rsid w:val="00197D9A"/>
    <w:rsid w:val="001A048A"/>
    <w:rsid w:val="001A0F65"/>
    <w:rsid w:val="001A4BB7"/>
    <w:rsid w:val="001A648B"/>
    <w:rsid w:val="001A69DD"/>
    <w:rsid w:val="001A6BB6"/>
    <w:rsid w:val="001B1130"/>
    <w:rsid w:val="001B3707"/>
    <w:rsid w:val="001B3CB2"/>
    <w:rsid w:val="001B50A1"/>
    <w:rsid w:val="001B561B"/>
    <w:rsid w:val="001B5B96"/>
    <w:rsid w:val="001B5F02"/>
    <w:rsid w:val="001B7322"/>
    <w:rsid w:val="001C0839"/>
    <w:rsid w:val="001C4D54"/>
    <w:rsid w:val="001C6846"/>
    <w:rsid w:val="001D0C73"/>
    <w:rsid w:val="001E0D0B"/>
    <w:rsid w:val="001E36D5"/>
    <w:rsid w:val="001E42CC"/>
    <w:rsid w:val="001E4F55"/>
    <w:rsid w:val="001F062E"/>
    <w:rsid w:val="001F14B0"/>
    <w:rsid w:val="001F20AF"/>
    <w:rsid w:val="001F4A3E"/>
    <w:rsid w:val="001F4FE4"/>
    <w:rsid w:val="001F59E2"/>
    <w:rsid w:val="001F5D34"/>
    <w:rsid w:val="001F626D"/>
    <w:rsid w:val="002021DE"/>
    <w:rsid w:val="002041E9"/>
    <w:rsid w:val="0020711A"/>
    <w:rsid w:val="00210A4B"/>
    <w:rsid w:val="0021180E"/>
    <w:rsid w:val="002163AF"/>
    <w:rsid w:val="002164DC"/>
    <w:rsid w:val="00221FC5"/>
    <w:rsid w:val="00222682"/>
    <w:rsid w:val="002226A1"/>
    <w:rsid w:val="00222815"/>
    <w:rsid w:val="00223178"/>
    <w:rsid w:val="00223808"/>
    <w:rsid w:val="0022467F"/>
    <w:rsid w:val="00225EB3"/>
    <w:rsid w:val="00226BE3"/>
    <w:rsid w:val="00227B1B"/>
    <w:rsid w:val="0023094A"/>
    <w:rsid w:val="00233531"/>
    <w:rsid w:val="0024028E"/>
    <w:rsid w:val="00243AE1"/>
    <w:rsid w:val="00246518"/>
    <w:rsid w:val="002478EF"/>
    <w:rsid w:val="00247A3B"/>
    <w:rsid w:val="00253166"/>
    <w:rsid w:val="00256FBC"/>
    <w:rsid w:val="00257385"/>
    <w:rsid w:val="00260D98"/>
    <w:rsid w:val="0026337D"/>
    <w:rsid w:val="00263D54"/>
    <w:rsid w:val="00264457"/>
    <w:rsid w:val="00265CFD"/>
    <w:rsid w:val="00267202"/>
    <w:rsid w:val="00267298"/>
    <w:rsid w:val="002672A0"/>
    <w:rsid w:val="00267B6E"/>
    <w:rsid w:val="00270AD9"/>
    <w:rsid w:val="0027263B"/>
    <w:rsid w:val="00272727"/>
    <w:rsid w:val="00272D28"/>
    <w:rsid w:val="002751C2"/>
    <w:rsid w:val="00275256"/>
    <w:rsid w:val="00276077"/>
    <w:rsid w:val="00280072"/>
    <w:rsid w:val="00287EC1"/>
    <w:rsid w:val="00290113"/>
    <w:rsid w:val="002915B7"/>
    <w:rsid w:val="00292082"/>
    <w:rsid w:val="00293863"/>
    <w:rsid w:val="002941A3"/>
    <w:rsid w:val="00295DF0"/>
    <w:rsid w:val="002A1C56"/>
    <w:rsid w:val="002A29D2"/>
    <w:rsid w:val="002A2E36"/>
    <w:rsid w:val="002A321D"/>
    <w:rsid w:val="002A53E5"/>
    <w:rsid w:val="002A7486"/>
    <w:rsid w:val="002B15A7"/>
    <w:rsid w:val="002B15E6"/>
    <w:rsid w:val="002B2EC5"/>
    <w:rsid w:val="002B3D5B"/>
    <w:rsid w:val="002B51C3"/>
    <w:rsid w:val="002B799E"/>
    <w:rsid w:val="002C03DA"/>
    <w:rsid w:val="002C0BC4"/>
    <w:rsid w:val="002C0E6A"/>
    <w:rsid w:val="002C10D7"/>
    <w:rsid w:val="002C18A0"/>
    <w:rsid w:val="002C3101"/>
    <w:rsid w:val="002C366D"/>
    <w:rsid w:val="002C5954"/>
    <w:rsid w:val="002C7EF2"/>
    <w:rsid w:val="002D2970"/>
    <w:rsid w:val="002D3C52"/>
    <w:rsid w:val="002D54C7"/>
    <w:rsid w:val="002D56C5"/>
    <w:rsid w:val="002D5AAA"/>
    <w:rsid w:val="002D6FC3"/>
    <w:rsid w:val="002E3AEC"/>
    <w:rsid w:val="002E5ABF"/>
    <w:rsid w:val="002E5BEC"/>
    <w:rsid w:val="002F08CD"/>
    <w:rsid w:val="002F56E4"/>
    <w:rsid w:val="002F5CBB"/>
    <w:rsid w:val="002F5E6A"/>
    <w:rsid w:val="002F61B2"/>
    <w:rsid w:val="002F7AAE"/>
    <w:rsid w:val="00302717"/>
    <w:rsid w:val="003043BE"/>
    <w:rsid w:val="00306F45"/>
    <w:rsid w:val="00307232"/>
    <w:rsid w:val="00311292"/>
    <w:rsid w:val="00312C75"/>
    <w:rsid w:val="00313590"/>
    <w:rsid w:val="00314363"/>
    <w:rsid w:val="0032393A"/>
    <w:rsid w:val="0032457C"/>
    <w:rsid w:val="00326439"/>
    <w:rsid w:val="003266B8"/>
    <w:rsid w:val="00326D4A"/>
    <w:rsid w:val="0033159D"/>
    <w:rsid w:val="003325C2"/>
    <w:rsid w:val="00333CD8"/>
    <w:rsid w:val="00335AA7"/>
    <w:rsid w:val="00336E6D"/>
    <w:rsid w:val="0034036C"/>
    <w:rsid w:val="00342196"/>
    <w:rsid w:val="00344737"/>
    <w:rsid w:val="00346706"/>
    <w:rsid w:val="00352106"/>
    <w:rsid w:val="0035217E"/>
    <w:rsid w:val="00353CB2"/>
    <w:rsid w:val="00354A18"/>
    <w:rsid w:val="00354E92"/>
    <w:rsid w:val="00360720"/>
    <w:rsid w:val="00362A0D"/>
    <w:rsid w:val="003670AA"/>
    <w:rsid w:val="00370A60"/>
    <w:rsid w:val="003724EE"/>
    <w:rsid w:val="00373C93"/>
    <w:rsid w:val="00381490"/>
    <w:rsid w:val="0038490E"/>
    <w:rsid w:val="00391350"/>
    <w:rsid w:val="003937BF"/>
    <w:rsid w:val="003960C1"/>
    <w:rsid w:val="003A32A5"/>
    <w:rsid w:val="003A35D3"/>
    <w:rsid w:val="003A5110"/>
    <w:rsid w:val="003A5245"/>
    <w:rsid w:val="003A52E9"/>
    <w:rsid w:val="003A5304"/>
    <w:rsid w:val="003A5AEB"/>
    <w:rsid w:val="003A6EC4"/>
    <w:rsid w:val="003A7ECC"/>
    <w:rsid w:val="003B092A"/>
    <w:rsid w:val="003B0EDF"/>
    <w:rsid w:val="003B330D"/>
    <w:rsid w:val="003B6E43"/>
    <w:rsid w:val="003C0E95"/>
    <w:rsid w:val="003C1028"/>
    <w:rsid w:val="003C2208"/>
    <w:rsid w:val="003C3114"/>
    <w:rsid w:val="003C4254"/>
    <w:rsid w:val="003C79A0"/>
    <w:rsid w:val="003D554F"/>
    <w:rsid w:val="003D6DF2"/>
    <w:rsid w:val="003E1044"/>
    <w:rsid w:val="003E22C4"/>
    <w:rsid w:val="003E4DD3"/>
    <w:rsid w:val="003F0597"/>
    <w:rsid w:val="003F18F7"/>
    <w:rsid w:val="003F362B"/>
    <w:rsid w:val="003F3B02"/>
    <w:rsid w:val="003F3BF4"/>
    <w:rsid w:val="00400110"/>
    <w:rsid w:val="00400983"/>
    <w:rsid w:val="0040459B"/>
    <w:rsid w:val="00404C21"/>
    <w:rsid w:val="00405940"/>
    <w:rsid w:val="004105E0"/>
    <w:rsid w:val="00412740"/>
    <w:rsid w:val="004158F0"/>
    <w:rsid w:val="00416870"/>
    <w:rsid w:val="0042017B"/>
    <w:rsid w:val="00420B43"/>
    <w:rsid w:val="00420D3C"/>
    <w:rsid w:val="004211F6"/>
    <w:rsid w:val="00423AF3"/>
    <w:rsid w:val="00424E25"/>
    <w:rsid w:val="0042529A"/>
    <w:rsid w:val="00426845"/>
    <w:rsid w:val="00427219"/>
    <w:rsid w:val="004274C1"/>
    <w:rsid w:val="00430234"/>
    <w:rsid w:val="0043296A"/>
    <w:rsid w:val="00434E44"/>
    <w:rsid w:val="00435631"/>
    <w:rsid w:val="0043688A"/>
    <w:rsid w:val="00440B2D"/>
    <w:rsid w:val="004421E3"/>
    <w:rsid w:val="004430BB"/>
    <w:rsid w:val="00445B5E"/>
    <w:rsid w:val="00446EA3"/>
    <w:rsid w:val="004476B2"/>
    <w:rsid w:val="00450950"/>
    <w:rsid w:val="00451104"/>
    <w:rsid w:val="00451534"/>
    <w:rsid w:val="00452F6C"/>
    <w:rsid w:val="0045422F"/>
    <w:rsid w:val="0045433C"/>
    <w:rsid w:val="00457115"/>
    <w:rsid w:val="00460705"/>
    <w:rsid w:val="00465799"/>
    <w:rsid w:val="0046586B"/>
    <w:rsid w:val="004660F5"/>
    <w:rsid w:val="0046675F"/>
    <w:rsid w:val="00467BF3"/>
    <w:rsid w:val="004702BB"/>
    <w:rsid w:val="004708C0"/>
    <w:rsid w:val="00471447"/>
    <w:rsid w:val="00471B70"/>
    <w:rsid w:val="00471D1D"/>
    <w:rsid w:val="0047220A"/>
    <w:rsid w:val="0047271F"/>
    <w:rsid w:val="00472EDA"/>
    <w:rsid w:val="004744E1"/>
    <w:rsid w:val="00474682"/>
    <w:rsid w:val="00475F4B"/>
    <w:rsid w:val="00477B88"/>
    <w:rsid w:val="004825A3"/>
    <w:rsid w:val="00484AD3"/>
    <w:rsid w:val="0048573D"/>
    <w:rsid w:val="00486BF3"/>
    <w:rsid w:val="00487AE4"/>
    <w:rsid w:val="00490B11"/>
    <w:rsid w:val="00490E21"/>
    <w:rsid w:val="00491AFA"/>
    <w:rsid w:val="00493412"/>
    <w:rsid w:val="00495348"/>
    <w:rsid w:val="0049640D"/>
    <w:rsid w:val="00497732"/>
    <w:rsid w:val="004A33E9"/>
    <w:rsid w:val="004A3ECA"/>
    <w:rsid w:val="004B04C6"/>
    <w:rsid w:val="004B4E32"/>
    <w:rsid w:val="004B5383"/>
    <w:rsid w:val="004B7076"/>
    <w:rsid w:val="004C26D2"/>
    <w:rsid w:val="004D07E5"/>
    <w:rsid w:val="004D2992"/>
    <w:rsid w:val="004D2C90"/>
    <w:rsid w:val="004D3202"/>
    <w:rsid w:val="004D469E"/>
    <w:rsid w:val="004D48A5"/>
    <w:rsid w:val="004D7FEA"/>
    <w:rsid w:val="004E2DFB"/>
    <w:rsid w:val="004E3D51"/>
    <w:rsid w:val="004E3F63"/>
    <w:rsid w:val="004E5131"/>
    <w:rsid w:val="004E5520"/>
    <w:rsid w:val="004E55BA"/>
    <w:rsid w:val="004E67DD"/>
    <w:rsid w:val="004F07EF"/>
    <w:rsid w:val="004F0AE6"/>
    <w:rsid w:val="004F3CFC"/>
    <w:rsid w:val="004F59BE"/>
    <w:rsid w:val="005016B0"/>
    <w:rsid w:val="00503F34"/>
    <w:rsid w:val="005041F1"/>
    <w:rsid w:val="00504C1B"/>
    <w:rsid w:val="0050642C"/>
    <w:rsid w:val="005076C2"/>
    <w:rsid w:val="00511C57"/>
    <w:rsid w:val="005128B6"/>
    <w:rsid w:val="00515560"/>
    <w:rsid w:val="00517831"/>
    <w:rsid w:val="005216FD"/>
    <w:rsid w:val="00522383"/>
    <w:rsid w:val="005228C3"/>
    <w:rsid w:val="005231BF"/>
    <w:rsid w:val="00525787"/>
    <w:rsid w:val="00530E86"/>
    <w:rsid w:val="00530E90"/>
    <w:rsid w:val="00531247"/>
    <w:rsid w:val="005314AC"/>
    <w:rsid w:val="00531A41"/>
    <w:rsid w:val="0054064D"/>
    <w:rsid w:val="00545A36"/>
    <w:rsid w:val="005465E0"/>
    <w:rsid w:val="005467EB"/>
    <w:rsid w:val="00546AA5"/>
    <w:rsid w:val="00547601"/>
    <w:rsid w:val="0055058D"/>
    <w:rsid w:val="00551FFF"/>
    <w:rsid w:val="00560C19"/>
    <w:rsid w:val="00562D36"/>
    <w:rsid w:val="00562E23"/>
    <w:rsid w:val="00563170"/>
    <w:rsid w:val="0056722B"/>
    <w:rsid w:val="00567CDC"/>
    <w:rsid w:val="00570BDD"/>
    <w:rsid w:val="0057388C"/>
    <w:rsid w:val="00576614"/>
    <w:rsid w:val="00576E52"/>
    <w:rsid w:val="00577957"/>
    <w:rsid w:val="00581D56"/>
    <w:rsid w:val="00582246"/>
    <w:rsid w:val="0058309C"/>
    <w:rsid w:val="00584093"/>
    <w:rsid w:val="00586FA1"/>
    <w:rsid w:val="005879B7"/>
    <w:rsid w:val="005926A9"/>
    <w:rsid w:val="005926FE"/>
    <w:rsid w:val="00593B3D"/>
    <w:rsid w:val="005950FE"/>
    <w:rsid w:val="00596CE0"/>
    <w:rsid w:val="005A3289"/>
    <w:rsid w:val="005A5697"/>
    <w:rsid w:val="005A5FB6"/>
    <w:rsid w:val="005A6B2B"/>
    <w:rsid w:val="005A7C0B"/>
    <w:rsid w:val="005B0A27"/>
    <w:rsid w:val="005B1014"/>
    <w:rsid w:val="005B1521"/>
    <w:rsid w:val="005B325E"/>
    <w:rsid w:val="005B33EC"/>
    <w:rsid w:val="005B6912"/>
    <w:rsid w:val="005B77A5"/>
    <w:rsid w:val="005C01F5"/>
    <w:rsid w:val="005C41EB"/>
    <w:rsid w:val="005C473B"/>
    <w:rsid w:val="005D0118"/>
    <w:rsid w:val="005D0483"/>
    <w:rsid w:val="005D07D9"/>
    <w:rsid w:val="005D238E"/>
    <w:rsid w:val="005D2895"/>
    <w:rsid w:val="005D3EA9"/>
    <w:rsid w:val="005D44DC"/>
    <w:rsid w:val="005D5B33"/>
    <w:rsid w:val="005D63D7"/>
    <w:rsid w:val="005D6464"/>
    <w:rsid w:val="005D6C02"/>
    <w:rsid w:val="005D733B"/>
    <w:rsid w:val="005E180C"/>
    <w:rsid w:val="005E1D4B"/>
    <w:rsid w:val="005E2815"/>
    <w:rsid w:val="005E2EB3"/>
    <w:rsid w:val="005E3E9B"/>
    <w:rsid w:val="005E5415"/>
    <w:rsid w:val="005E6632"/>
    <w:rsid w:val="005F0D2E"/>
    <w:rsid w:val="005F1FFC"/>
    <w:rsid w:val="005F2467"/>
    <w:rsid w:val="005F3E46"/>
    <w:rsid w:val="005F4616"/>
    <w:rsid w:val="00600D77"/>
    <w:rsid w:val="006078F5"/>
    <w:rsid w:val="00617A67"/>
    <w:rsid w:val="00617BEB"/>
    <w:rsid w:val="00622CF0"/>
    <w:rsid w:val="00625499"/>
    <w:rsid w:val="00626C37"/>
    <w:rsid w:val="00627948"/>
    <w:rsid w:val="006318E1"/>
    <w:rsid w:val="006332C7"/>
    <w:rsid w:val="00633DBA"/>
    <w:rsid w:val="00634856"/>
    <w:rsid w:val="00637056"/>
    <w:rsid w:val="00642021"/>
    <w:rsid w:val="0064218D"/>
    <w:rsid w:val="0064322F"/>
    <w:rsid w:val="00645377"/>
    <w:rsid w:val="0064643D"/>
    <w:rsid w:val="00646954"/>
    <w:rsid w:val="006473DB"/>
    <w:rsid w:val="006551E0"/>
    <w:rsid w:val="00655B47"/>
    <w:rsid w:val="00655B8C"/>
    <w:rsid w:val="006575AC"/>
    <w:rsid w:val="00660A7D"/>
    <w:rsid w:val="0066108F"/>
    <w:rsid w:val="006620AD"/>
    <w:rsid w:val="00663FAD"/>
    <w:rsid w:val="00665ECF"/>
    <w:rsid w:val="0066619E"/>
    <w:rsid w:val="00671777"/>
    <w:rsid w:val="00671ECF"/>
    <w:rsid w:val="00672A2B"/>
    <w:rsid w:val="00672FEF"/>
    <w:rsid w:val="0068033A"/>
    <w:rsid w:val="0068173C"/>
    <w:rsid w:val="006817AF"/>
    <w:rsid w:val="006820FF"/>
    <w:rsid w:val="00683796"/>
    <w:rsid w:val="0068542B"/>
    <w:rsid w:val="006864D5"/>
    <w:rsid w:val="00686596"/>
    <w:rsid w:val="00686868"/>
    <w:rsid w:val="00687307"/>
    <w:rsid w:val="0069013E"/>
    <w:rsid w:val="00691370"/>
    <w:rsid w:val="0069195E"/>
    <w:rsid w:val="00692444"/>
    <w:rsid w:val="006975E3"/>
    <w:rsid w:val="0069792B"/>
    <w:rsid w:val="00697E8F"/>
    <w:rsid w:val="006A0757"/>
    <w:rsid w:val="006A0913"/>
    <w:rsid w:val="006A2C9E"/>
    <w:rsid w:val="006A5708"/>
    <w:rsid w:val="006A7BD0"/>
    <w:rsid w:val="006B11E8"/>
    <w:rsid w:val="006B12D2"/>
    <w:rsid w:val="006B2094"/>
    <w:rsid w:val="006B6E07"/>
    <w:rsid w:val="006C0438"/>
    <w:rsid w:val="006C0465"/>
    <w:rsid w:val="006C0877"/>
    <w:rsid w:val="006C09E5"/>
    <w:rsid w:val="006C15D0"/>
    <w:rsid w:val="006C1ABB"/>
    <w:rsid w:val="006C2CF5"/>
    <w:rsid w:val="006C31B7"/>
    <w:rsid w:val="006C39DF"/>
    <w:rsid w:val="006C4C14"/>
    <w:rsid w:val="006C60A7"/>
    <w:rsid w:val="006C6BFF"/>
    <w:rsid w:val="006C7006"/>
    <w:rsid w:val="006D3119"/>
    <w:rsid w:val="006D3D35"/>
    <w:rsid w:val="006D5C60"/>
    <w:rsid w:val="006D7C72"/>
    <w:rsid w:val="006E15E3"/>
    <w:rsid w:val="006E54CD"/>
    <w:rsid w:val="006E743A"/>
    <w:rsid w:val="006F1D72"/>
    <w:rsid w:val="006F6A79"/>
    <w:rsid w:val="006F794A"/>
    <w:rsid w:val="0070068D"/>
    <w:rsid w:val="00700954"/>
    <w:rsid w:val="00705867"/>
    <w:rsid w:val="00706F3D"/>
    <w:rsid w:val="00707120"/>
    <w:rsid w:val="00707602"/>
    <w:rsid w:val="00710591"/>
    <w:rsid w:val="007122EA"/>
    <w:rsid w:val="007125AF"/>
    <w:rsid w:val="00714273"/>
    <w:rsid w:val="007143DA"/>
    <w:rsid w:val="00717305"/>
    <w:rsid w:val="00717A01"/>
    <w:rsid w:val="00720767"/>
    <w:rsid w:val="00722189"/>
    <w:rsid w:val="00724CEF"/>
    <w:rsid w:val="00725C97"/>
    <w:rsid w:val="007325A2"/>
    <w:rsid w:val="00732857"/>
    <w:rsid w:val="00732D99"/>
    <w:rsid w:val="0073492C"/>
    <w:rsid w:val="00735526"/>
    <w:rsid w:val="00740BD9"/>
    <w:rsid w:val="00742AC3"/>
    <w:rsid w:val="00742C5C"/>
    <w:rsid w:val="00743C10"/>
    <w:rsid w:val="00745483"/>
    <w:rsid w:val="00745AD8"/>
    <w:rsid w:val="00751D5F"/>
    <w:rsid w:val="007539E9"/>
    <w:rsid w:val="00753AB7"/>
    <w:rsid w:val="00754325"/>
    <w:rsid w:val="0075742A"/>
    <w:rsid w:val="00760F13"/>
    <w:rsid w:val="00761915"/>
    <w:rsid w:val="00761A82"/>
    <w:rsid w:val="00763124"/>
    <w:rsid w:val="007645FF"/>
    <w:rsid w:val="00766FB9"/>
    <w:rsid w:val="0076762A"/>
    <w:rsid w:val="0076780C"/>
    <w:rsid w:val="00772D6A"/>
    <w:rsid w:val="00774BE8"/>
    <w:rsid w:val="00774E22"/>
    <w:rsid w:val="0077630F"/>
    <w:rsid w:val="00780E61"/>
    <w:rsid w:val="00781DEE"/>
    <w:rsid w:val="00784FCF"/>
    <w:rsid w:val="00785D7F"/>
    <w:rsid w:val="007909B3"/>
    <w:rsid w:val="007A00D5"/>
    <w:rsid w:val="007A02DF"/>
    <w:rsid w:val="007A106F"/>
    <w:rsid w:val="007A2498"/>
    <w:rsid w:val="007A3C20"/>
    <w:rsid w:val="007A4238"/>
    <w:rsid w:val="007A430C"/>
    <w:rsid w:val="007B4778"/>
    <w:rsid w:val="007B5E59"/>
    <w:rsid w:val="007C17FC"/>
    <w:rsid w:val="007C2155"/>
    <w:rsid w:val="007C2C4A"/>
    <w:rsid w:val="007C32BD"/>
    <w:rsid w:val="007C58E4"/>
    <w:rsid w:val="007C7142"/>
    <w:rsid w:val="007C7AFB"/>
    <w:rsid w:val="007D01A0"/>
    <w:rsid w:val="007D04AD"/>
    <w:rsid w:val="007D4ED5"/>
    <w:rsid w:val="007D7349"/>
    <w:rsid w:val="007D76C4"/>
    <w:rsid w:val="007E0752"/>
    <w:rsid w:val="007E0D7B"/>
    <w:rsid w:val="007F2CA7"/>
    <w:rsid w:val="007F353D"/>
    <w:rsid w:val="007F3847"/>
    <w:rsid w:val="007F722E"/>
    <w:rsid w:val="008004F5"/>
    <w:rsid w:val="00800D8F"/>
    <w:rsid w:val="00801956"/>
    <w:rsid w:val="00802183"/>
    <w:rsid w:val="00802F87"/>
    <w:rsid w:val="00803155"/>
    <w:rsid w:val="00811DBB"/>
    <w:rsid w:val="00812210"/>
    <w:rsid w:val="00813336"/>
    <w:rsid w:val="00816354"/>
    <w:rsid w:val="00817EBC"/>
    <w:rsid w:val="00820C60"/>
    <w:rsid w:val="00823DE5"/>
    <w:rsid w:val="00823EFA"/>
    <w:rsid w:val="0082604B"/>
    <w:rsid w:val="0082661B"/>
    <w:rsid w:val="00827634"/>
    <w:rsid w:val="00827916"/>
    <w:rsid w:val="00827C0D"/>
    <w:rsid w:val="00833A84"/>
    <w:rsid w:val="008344F7"/>
    <w:rsid w:val="00834D94"/>
    <w:rsid w:val="00835309"/>
    <w:rsid w:val="0083547E"/>
    <w:rsid w:val="00835BBC"/>
    <w:rsid w:val="008379F4"/>
    <w:rsid w:val="008407EE"/>
    <w:rsid w:val="00842AB8"/>
    <w:rsid w:val="0084366E"/>
    <w:rsid w:val="00845B57"/>
    <w:rsid w:val="00846510"/>
    <w:rsid w:val="008473C5"/>
    <w:rsid w:val="00853079"/>
    <w:rsid w:val="00853CBC"/>
    <w:rsid w:val="00855149"/>
    <w:rsid w:val="00857F10"/>
    <w:rsid w:val="00860E74"/>
    <w:rsid w:val="00860E86"/>
    <w:rsid w:val="00862AF0"/>
    <w:rsid w:val="0086425D"/>
    <w:rsid w:val="008660BF"/>
    <w:rsid w:val="00866C9F"/>
    <w:rsid w:val="008704DD"/>
    <w:rsid w:val="008735A9"/>
    <w:rsid w:val="0087393D"/>
    <w:rsid w:val="008750A7"/>
    <w:rsid w:val="00876C88"/>
    <w:rsid w:val="008770F6"/>
    <w:rsid w:val="00881FD0"/>
    <w:rsid w:val="00882754"/>
    <w:rsid w:val="008840E8"/>
    <w:rsid w:val="00884DDB"/>
    <w:rsid w:val="00886365"/>
    <w:rsid w:val="008870BF"/>
    <w:rsid w:val="00887F4C"/>
    <w:rsid w:val="00892EE4"/>
    <w:rsid w:val="00894425"/>
    <w:rsid w:val="008944F4"/>
    <w:rsid w:val="00894BC8"/>
    <w:rsid w:val="008A184F"/>
    <w:rsid w:val="008A448E"/>
    <w:rsid w:val="008A4DF1"/>
    <w:rsid w:val="008A6651"/>
    <w:rsid w:val="008A6CD6"/>
    <w:rsid w:val="008B4AC5"/>
    <w:rsid w:val="008B4FD3"/>
    <w:rsid w:val="008B595A"/>
    <w:rsid w:val="008C02D0"/>
    <w:rsid w:val="008C0A72"/>
    <w:rsid w:val="008C154C"/>
    <w:rsid w:val="008C2130"/>
    <w:rsid w:val="008C239F"/>
    <w:rsid w:val="008D1AAF"/>
    <w:rsid w:val="008D27B7"/>
    <w:rsid w:val="008D2E6F"/>
    <w:rsid w:val="008D37EC"/>
    <w:rsid w:val="008D449D"/>
    <w:rsid w:val="008D51E7"/>
    <w:rsid w:val="008D7771"/>
    <w:rsid w:val="008E143D"/>
    <w:rsid w:val="008E2CA1"/>
    <w:rsid w:val="008E2FF5"/>
    <w:rsid w:val="008E6069"/>
    <w:rsid w:val="008E6733"/>
    <w:rsid w:val="008E6F7E"/>
    <w:rsid w:val="008F01C0"/>
    <w:rsid w:val="008F2722"/>
    <w:rsid w:val="008F3C1D"/>
    <w:rsid w:val="008F4F52"/>
    <w:rsid w:val="008F617D"/>
    <w:rsid w:val="00900152"/>
    <w:rsid w:val="00902516"/>
    <w:rsid w:val="00902EFF"/>
    <w:rsid w:val="00904392"/>
    <w:rsid w:val="00905DCF"/>
    <w:rsid w:val="0090637D"/>
    <w:rsid w:val="0090769B"/>
    <w:rsid w:val="00907B6A"/>
    <w:rsid w:val="00911F1B"/>
    <w:rsid w:val="00912704"/>
    <w:rsid w:val="009130EC"/>
    <w:rsid w:val="00913D87"/>
    <w:rsid w:val="00917757"/>
    <w:rsid w:val="00921216"/>
    <w:rsid w:val="009251D3"/>
    <w:rsid w:val="00925C4D"/>
    <w:rsid w:val="0092631F"/>
    <w:rsid w:val="0092695A"/>
    <w:rsid w:val="00930FD8"/>
    <w:rsid w:val="009314EC"/>
    <w:rsid w:val="009316D8"/>
    <w:rsid w:val="00943EDF"/>
    <w:rsid w:val="00945AD3"/>
    <w:rsid w:val="00946866"/>
    <w:rsid w:val="00950B72"/>
    <w:rsid w:val="00950CC4"/>
    <w:rsid w:val="00951B74"/>
    <w:rsid w:val="0095365D"/>
    <w:rsid w:val="00953D66"/>
    <w:rsid w:val="00954235"/>
    <w:rsid w:val="00954845"/>
    <w:rsid w:val="009559E4"/>
    <w:rsid w:val="009576E4"/>
    <w:rsid w:val="00960BF0"/>
    <w:rsid w:val="0096486F"/>
    <w:rsid w:val="009711D2"/>
    <w:rsid w:val="00976C98"/>
    <w:rsid w:val="00985AB3"/>
    <w:rsid w:val="0098660E"/>
    <w:rsid w:val="009874E6"/>
    <w:rsid w:val="00987987"/>
    <w:rsid w:val="00991EC1"/>
    <w:rsid w:val="009921AC"/>
    <w:rsid w:val="00996593"/>
    <w:rsid w:val="00997F9E"/>
    <w:rsid w:val="009A19F3"/>
    <w:rsid w:val="009A2085"/>
    <w:rsid w:val="009A3696"/>
    <w:rsid w:val="009B04AF"/>
    <w:rsid w:val="009B31E6"/>
    <w:rsid w:val="009B4A71"/>
    <w:rsid w:val="009B4BFB"/>
    <w:rsid w:val="009B4C6F"/>
    <w:rsid w:val="009B5D6E"/>
    <w:rsid w:val="009B764C"/>
    <w:rsid w:val="009B7955"/>
    <w:rsid w:val="009C09FE"/>
    <w:rsid w:val="009C2B2F"/>
    <w:rsid w:val="009C5A25"/>
    <w:rsid w:val="009C6033"/>
    <w:rsid w:val="009C6D75"/>
    <w:rsid w:val="009C76E3"/>
    <w:rsid w:val="009D209A"/>
    <w:rsid w:val="009D40CA"/>
    <w:rsid w:val="009D577D"/>
    <w:rsid w:val="009D5A45"/>
    <w:rsid w:val="009D5CA0"/>
    <w:rsid w:val="009D60C2"/>
    <w:rsid w:val="009D614B"/>
    <w:rsid w:val="009D68B9"/>
    <w:rsid w:val="009D7551"/>
    <w:rsid w:val="009D788B"/>
    <w:rsid w:val="009E2A58"/>
    <w:rsid w:val="009E3156"/>
    <w:rsid w:val="009E682C"/>
    <w:rsid w:val="00A00639"/>
    <w:rsid w:val="00A0221A"/>
    <w:rsid w:val="00A04837"/>
    <w:rsid w:val="00A104FC"/>
    <w:rsid w:val="00A124D9"/>
    <w:rsid w:val="00A129F3"/>
    <w:rsid w:val="00A13982"/>
    <w:rsid w:val="00A147DB"/>
    <w:rsid w:val="00A16EFD"/>
    <w:rsid w:val="00A172C7"/>
    <w:rsid w:val="00A20BC5"/>
    <w:rsid w:val="00A21054"/>
    <w:rsid w:val="00A231DE"/>
    <w:rsid w:val="00A24DA0"/>
    <w:rsid w:val="00A26209"/>
    <w:rsid w:val="00A271B5"/>
    <w:rsid w:val="00A276D8"/>
    <w:rsid w:val="00A27CEB"/>
    <w:rsid w:val="00A3041C"/>
    <w:rsid w:val="00A41973"/>
    <w:rsid w:val="00A43410"/>
    <w:rsid w:val="00A44630"/>
    <w:rsid w:val="00A44E07"/>
    <w:rsid w:val="00A45128"/>
    <w:rsid w:val="00A502E5"/>
    <w:rsid w:val="00A5077D"/>
    <w:rsid w:val="00A51B13"/>
    <w:rsid w:val="00A51DC1"/>
    <w:rsid w:val="00A521F4"/>
    <w:rsid w:val="00A5313B"/>
    <w:rsid w:val="00A53B08"/>
    <w:rsid w:val="00A547C5"/>
    <w:rsid w:val="00A604A4"/>
    <w:rsid w:val="00A6296B"/>
    <w:rsid w:val="00A644C5"/>
    <w:rsid w:val="00A654CA"/>
    <w:rsid w:val="00A67EC1"/>
    <w:rsid w:val="00A70962"/>
    <w:rsid w:val="00A70B4A"/>
    <w:rsid w:val="00A71B9D"/>
    <w:rsid w:val="00A7325E"/>
    <w:rsid w:val="00A7345B"/>
    <w:rsid w:val="00A7352E"/>
    <w:rsid w:val="00A76613"/>
    <w:rsid w:val="00A77DC2"/>
    <w:rsid w:val="00A83E10"/>
    <w:rsid w:val="00A8649F"/>
    <w:rsid w:val="00A90165"/>
    <w:rsid w:val="00A90C4D"/>
    <w:rsid w:val="00A948E9"/>
    <w:rsid w:val="00A978EA"/>
    <w:rsid w:val="00A97CAB"/>
    <w:rsid w:val="00AA2C91"/>
    <w:rsid w:val="00AA42D6"/>
    <w:rsid w:val="00AA4B9B"/>
    <w:rsid w:val="00AA7979"/>
    <w:rsid w:val="00AB4418"/>
    <w:rsid w:val="00AB4E95"/>
    <w:rsid w:val="00AB5E04"/>
    <w:rsid w:val="00AC18C7"/>
    <w:rsid w:val="00AC22CF"/>
    <w:rsid w:val="00AC3986"/>
    <w:rsid w:val="00AC66D2"/>
    <w:rsid w:val="00AD2999"/>
    <w:rsid w:val="00AD4F26"/>
    <w:rsid w:val="00AD5BB6"/>
    <w:rsid w:val="00AD6880"/>
    <w:rsid w:val="00AD7CF1"/>
    <w:rsid w:val="00AE068C"/>
    <w:rsid w:val="00AE0D89"/>
    <w:rsid w:val="00AE1C32"/>
    <w:rsid w:val="00AE27A6"/>
    <w:rsid w:val="00AE3F60"/>
    <w:rsid w:val="00AE553B"/>
    <w:rsid w:val="00AE5E67"/>
    <w:rsid w:val="00AE779F"/>
    <w:rsid w:val="00AF09F9"/>
    <w:rsid w:val="00AF162A"/>
    <w:rsid w:val="00AF3096"/>
    <w:rsid w:val="00AF4665"/>
    <w:rsid w:val="00AF5E0B"/>
    <w:rsid w:val="00AF6C57"/>
    <w:rsid w:val="00AF6EFE"/>
    <w:rsid w:val="00B01809"/>
    <w:rsid w:val="00B01E6B"/>
    <w:rsid w:val="00B033F4"/>
    <w:rsid w:val="00B04FEC"/>
    <w:rsid w:val="00B0688B"/>
    <w:rsid w:val="00B10786"/>
    <w:rsid w:val="00B10909"/>
    <w:rsid w:val="00B10F10"/>
    <w:rsid w:val="00B11331"/>
    <w:rsid w:val="00B14433"/>
    <w:rsid w:val="00B16D1D"/>
    <w:rsid w:val="00B20494"/>
    <w:rsid w:val="00B226CD"/>
    <w:rsid w:val="00B2336A"/>
    <w:rsid w:val="00B234AD"/>
    <w:rsid w:val="00B36132"/>
    <w:rsid w:val="00B3617A"/>
    <w:rsid w:val="00B36214"/>
    <w:rsid w:val="00B36E89"/>
    <w:rsid w:val="00B44ADE"/>
    <w:rsid w:val="00B453A5"/>
    <w:rsid w:val="00B45A8F"/>
    <w:rsid w:val="00B50EDD"/>
    <w:rsid w:val="00B531DA"/>
    <w:rsid w:val="00B55B9F"/>
    <w:rsid w:val="00B61B79"/>
    <w:rsid w:val="00B61D96"/>
    <w:rsid w:val="00B61F69"/>
    <w:rsid w:val="00B623D5"/>
    <w:rsid w:val="00B62A94"/>
    <w:rsid w:val="00B62B0B"/>
    <w:rsid w:val="00B6354C"/>
    <w:rsid w:val="00B635C0"/>
    <w:rsid w:val="00B639AE"/>
    <w:rsid w:val="00B63BC5"/>
    <w:rsid w:val="00B70FEA"/>
    <w:rsid w:val="00B73B76"/>
    <w:rsid w:val="00B73F50"/>
    <w:rsid w:val="00B73F56"/>
    <w:rsid w:val="00B74770"/>
    <w:rsid w:val="00B7692B"/>
    <w:rsid w:val="00B772A4"/>
    <w:rsid w:val="00B80B06"/>
    <w:rsid w:val="00B82E10"/>
    <w:rsid w:val="00B85C21"/>
    <w:rsid w:val="00B85F87"/>
    <w:rsid w:val="00B86C71"/>
    <w:rsid w:val="00B87925"/>
    <w:rsid w:val="00B87C77"/>
    <w:rsid w:val="00BA1CE0"/>
    <w:rsid w:val="00BB1F54"/>
    <w:rsid w:val="00BB3C65"/>
    <w:rsid w:val="00BB47D6"/>
    <w:rsid w:val="00BB4BB2"/>
    <w:rsid w:val="00BB5A8B"/>
    <w:rsid w:val="00BC0290"/>
    <w:rsid w:val="00BC0E63"/>
    <w:rsid w:val="00BC1675"/>
    <w:rsid w:val="00BC1AA8"/>
    <w:rsid w:val="00BC3558"/>
    <w:rsid w:val="00BC427A"/>
    <w:rsid w:val="00BC4D62"/>
    <w:rsid w:val="00BC5D13"/>
    <w:rsid w:val="00BC7770"/>
    <w:rsid w:val="00BD2328"/>
    <w:rsid w:val="00BD275A"/>
    <w:rsid w:val="00BD2D08"/>
    <w:rsid w:val="00BD2DA1"/>
    <w:rsid w:val="00BD46C6"/>
    <w:rsid w:val="00BD4F67"/>
    <w:rsid w:val="00BD5B10"/>
    <w:rsid w:val="00BD6F03"/>
    <w:rsid w:val="00BE052F"/>
    <w:rsid w:val="00BE0F84"/>
    <w:rsid w:val="00BE269D"/>
    <w:rsid w:val="00BE2C7E"/>
    <w:rsid w:val="00BE4D50"/>
    <w:rsid w:val="00BE681E"/>
    <w:rsid w:val="00BF011D"/>
    <w:rsid w:val="00BF0E04"/>
    <w:rsid w:val="00BF0F38"/>
    <w:rsid w:val="00BF14F4"/>
    <w:rsid w:val="00BF1D74"/>
    <w:rsid w:val="00BF28A9"/>
    <w:rsid w:val="00BF332E"/>
    <w:rsid w:val="00BF3780"/>
    <w:rsid w:val="00BF3E41"/>
    <w:rsid w:val="00BF54EF"/>
    <w:rsid w:val="00C00EC9"/>
    <w:rsid w:val="00C01CCF"/>
    <w:rsid w:val="00C02059"/>
    <w:rsid w:val="00C0250F"/>
    <w:rsid w:val="00C049EB"/>
    <w:rsid w:val="00C0692C"/>
    <w:rsid w:val="00C070B3"/>
    <w:rsid w:val="00C077F1"/>
    <w:rsid w:val="00C10118"/>
    <w:rsid w:val="00C13086"/>
    <w:rsid w:val="00C166F9"/>
    <w:rsid w:val="00C17A37"/>
    <w:rsid w:val="00C21058"/>
    <w:rsid w:val="00C21104"/>
    <w:rsid w:val="00C23A0D"/>
    <w:rsid w:val="00C2764E"/>
    <w:rsid w:val="00C30E83"/>
    <w:rsid w:val="00C334F9"/>
    <w:rsid w:val="00C35BF2"/>
    <w:rsid w:val="00C374B5"/>
    <w:rsid w:val="00C374C9"/>
    <w:rsid w:val="00C37D45"/>
    <w:rsid w:val="00C40D94"/>
    <w:rsid w:val="00C429E3"/>
    <w:rsid w:val="00C42A4D"/>
    <w:rsid w:val="00C476FD"/>
    <w:rsid w:val="00C51C29"/>
    <w:rsid w:val="00C5433E"/>
    <w:rsid w:val="00C54C3D"/>
    <w:rsid w:val="00C55103"/>
    <w:rsid w:val="00C553B5"/>
    <w:rsid w:val="00C57B05"/>
    <w:rsid w:val="00C60EE9"/>
    <w:rsid w:val="00C62F85"/>
    <w:rsid w:val="00C6435B"/>
    <w:rsid w:val="00C64827"/>
    <w:rsid w:val="00C65929"/>
    <w:rsid w:val="00C67698"/>
    <w:rsid w:val="00C701B3"/>
    <w:rsid w:val="00C71138"/>
    <w:rsid w:val="00C72080"/>
    <w:rsid w:val="00C72318"/>
    <w:rsid w:val="00C744C3"/>
    <w:rsid w:val="00C76249"/>
    <w:rsid w:val="00C77FF2"/>
    <w:rsid w:val="00C80E65"/>
    <w:rsid w:val="00C82FA2"/>
    <w:rsid w:val="00C91677"/>
    <w:rsid w:val="00C93FD8"/>
    <w:rsid w:val="00C94E38"/>
    <w:rsid w:val="00C976F1"/>
    <w:rsid w:val="00CA49CC"/>
    <w:rsid w:val="00CA6364"/>
    <w:rsid w:val="00CA6F5A"/>
    <w:rsid w:val="00CA71DA"/>
    <w:rsid w:val="00CB1696"/>
    <w:rsid w:val="00CB2C1A"/>
    <w:rsid w:val="00CB45B8"/>
    <w:rsid w:val="00CB592A"/>
    <w:rsid w:val="00CB5D61"/>
    <w:rsid w:val="00CB6356"/>
    <w:rsid w:val="00CC30D7"/>
    <w:rsid w:val="00CC3DB6"/>
    <w:rsid w:val="00CC4490"/>
    <w:rsid w:val="00CC5917"/>
    <w:rsid w:val="00CC665B"/>
    <w:rsid w:val="00CC77E4"/>
    <w:rsid w:val="00CD00FA"/>
    <w:rsid w:val="00CD1E97"/>
    <w:rsid w:val="00CD259B"/>
    <w:rsid w:val="00CD7B38"/>
    <w:rsid w:val="00CE0A3F"/>
    <w:rsid w:val="00CE555C"/>
    <w:rsid w:val="00CF0163"/>
    <w:rsid w:val="00CF09A5"/>
    <w:rsid w:val="00CF3541"/>
    <w:rsid w:val="00CF38B5"/>
    <w:rsid w:val="00CF3C18"/>
    <w:rsid w:val="00CF490A"/>
    <w:rsid w:val="00CF5E47"/>
    <w:rsid w:val="00CF6BB4"/>
    <w:rsid w:val="00CF6E6C"/>
    <w:rsid w:val="00CF7444"/>
    <w:rsid w:val="00D002B7"/>
    <w:rsid w:val="00D00FB0"/>
    <w:rsid w:val="00D035C0"/>
    <w:rsid w:val="00D039E6"/>
    <w:rsid w:val="00D03E2E"/>
    <w:rsid w:val="00D05527"/>
    <w:rsid w:val="00D0784E"/>
    <w:rsid w:val="00D1034E"/>
    <w:rsid w:val="00D1059C"/>
    <w:rsid w:val="00D10EF1"/>
    <w:rsid w:val="00D113DE"/>
    <w:rsid w:val="00D11FA6"/>
    <w:rsid w:val="00D12F92"/>
    <w:rsid w:val="00D138F5"/>
    <w:rsid w:val="00D13B8F"/>
    <w:rsid w:val="00D17130"/>
    <w:rsid w:val="00D21428"/>
    <w:rsid w:val="00D23F6C"/>
    <w:rsid w:val="00D268A1"/>
    <w:rsid w:val="00D302B4"/>
    <w:rsid w:val="00D31987"/>
    <w:rsid w:val="00D33B2C"/>
    <w:rsid w:val="00D33BC0"/>
    <w:rsid w:val="00D35B9B"/>
    <w:rsid w:val="00D37DFB"/>
    <w:rsid w:val="00D40078"/>
    <w:rsid w:val="00D4022D"/>
    <w:rsid w:val="00D414F5"/>
    <w:rsid w:val="00D454E7"/>
    <w:rsid w:val="00D53275"/>
    <w:rsid w:val="00D54358"/>
    <w:rsid w:val="00D5577E"/>
    <w:rsid w:val="00D604DA"/>
    <w:rsid w:val="00D62B1A"/>
    <w:rsid w:val="00D63E9A"/>
    <w:rsid w:val="00D66AE3"/>
    <w:rsid w:val="00D67390"/>
    <w:rsid w:val="00D673AA"/>
    <w:rsid w:val="00D7152A"/>
    <w:rsid w:val="00D7233D"/>
    <w:rsid w:val="00D7524D"/>
    <w:rsid w:val="00D76CA5"/>
    <w:rsid w:val="00D77DC1"/>
    <w:rsid w:val="00D80A2B"/>
    <w:rsid w:val="00D84084"/>
    <w:rsid w:val="00D851B0"/>
    <w:rsid w:val="00D90594"/>
    <w:rsid w:val="00D90AA2"/>
    <w:rsid w:val="00D93334"/>
    <w:rsid w:val="00D93A63"/>
    <w:rsid w:val="00D9452B"/>
    <w:rsid w:val="00DA3198"/>
    <w:rsid w:val="00DA3E9A"/>
    <w:rsid w:val="00DA7137"/>
    <w:rsid w:val="00DA7D1B"/>
    <w:rsid w:val="00DB03ED"/>
    <w:rsid w:val="00DB06E9"/>
    <w:rsid w:val="00DB181D"/>
    <w:rsid w:val="00DB1B17"/>
    <w:rsid w:val="00DB1EDB"/>
    <w:rsid w:val="00DB210F"/>
    <w:rsid w:val="00DB220A"/>
    <w:rsid w:val="00DB5B40"/>
    <w:rsid w:val="00DC1302"/>
    <w:rsid w:val="00DC13E1"/>
    <w:rsid w:val="00DC4B35"/>
    <w:rsid w:val="00DC676B"/>
    <w:rsid w:val="00DC73E3"/>
    <w:rsid w:val="00DD79E3"/>
    <w:rsid w:val="00DE215D"/>
    <w:rsid w:val="00DE5A78"/>
    <w:rsid w:val="00DE7FFC"/>
    <w:rsid w:val="00DF0119"/>
    <w:rsid w:val="00DF171F"/>
    <w:rsid w:val="00DF1AB3"/>
    <w:rsid w:val="00DF1AB5"/>
    <w:rsid w:val="00E00CDF"/>
    <w:rsid w:val="00E01521"/>
    <w:rsid w:val="00E016C4"/>
    <w:rsid w:val="00E0246A"/>
    <w:rsid w:val="00E02A34"/>
    <w:rsid w:val="00E040F3"/>
    <w:rsid w:val="00E0420B"/>
    <w:rsid w:val="00E0719F"/>
    <w:rsid w:val="00E11BB7"/>
    <w:rsid w:val="00E11EBD"/>
    <w:rsid w:val="00E1447C"/>
    <w:rsid w:val="00E1484A"/>
    <w:rsid w:val="00E14DE9"/>
    <w:rsid w:val="00E16EEC"/>
    <w:rsid w:val="00E1715A"/>
    <w:rsid w:val="00E234D4"/>
    <w:rsid w:val="00E25030"/>
    <w:rsid w:val="00E265E4"/>
    <w:rsid w:val="00E3029E"/>
    <w:rsid w:val="00E33A89"/>
    <w:rsid w:val="00E34506"/>
    <w:rsid w:val="00E345E9"/>
    <w:rsid w:val="00E36F48"/>
    <w:rsid w:val="00E41784"/>
    <w:rsid w:val="00E41E05"/>
    <w:rsid w:val="00E41E0C"/>
    <w:rsid w:val="00E42A8D"/>
    <w:rsid w:val="00E44128"/>
    <w:rsid w:val="00E45315"/>
    <w:rsid w:val="00E461FA"/>
    <w:rsid w:val="00E477A6"/>
    <w:rsid w:val="00E47D6F"/>
    <w:rsid w:val="00E50D58"/>
    <w:rsid w:val="00E5224B"/>
    <w:rsid w:val="00E55C95"/>
    <w:rsid w:val="00E57400"/>
    <w:rsid w:val="00E60F25"/>
    <w:rsid w:val="00E61B27"/>
    <w:rsid w:val="00E640FA"/>
    <w:rsid w:val="00E66872"/>
    <w:rsid w:val="00E729D8"/>
    <w:rsid w:val="00E85462"/>
    <w:rsid w:val="00E85929"/>
    <w:rsid w:val="00E870DB"/>
    <w:rsid w:val="00E87D24"/>
    <w:rsid w:val="00E905BD"/>
    <w:rsid w:val="00E9062C"/>
    <w:rsid w:val="00E92275"/>
    <w:rsid w:val="00E92BE9"/>
    <w:rsid w:val="00E92F9F"/>
    <w:rsid w:val="00E9473C"/>
    <w:rsid w:val="00E94AC2"/>
    <w:rsid w:val="00E96060"/>
    <w:rsid w:val="00E9702D"/>
    <w:rsid w:val="00E974FA"/>
    <w:rsid w:val="00EA1EEC"/>
    <w:rsid w:val="00EA205A"/>
    <w:rsid w:val="00EA3C3C"/>
    <w:rsid w:val="00EA4C22"/>
    <w:rsid w:val="00EA57D0"/>
    <w:rsid w:val="00EB078A"/>
    <w:rsid w:val="00EB284E"/>
    <w:rsid w:val="00EB2FF9"/>
    <w:rsid w:val="00EB3D82"/>
    <w:rsid w:val="00EB5E7C"/>
    <w:rsid w:val="00EB676E"/>
    <w:rsid w:val="00EB68B6"/>
    <w:rsid w:val="00EB6BE8"/>
    <w:rsid w:val="00EB6C77"/>
    <w:rsid w:val="00EC42FA"/>
    <w:rsid w:val="00EC5534"/>
    <w:rsid w:val="00EC578A"/>
    <w:rsid w:val="00EC6555"/>
    <w:rsid w:val="00EC75B2"/>
    <w:rsid w:val="00EC7956"/>
    <w:rsid w:val="00ED0791"/>
    <w:rsid w:val="00ED0ED5"/>
    <w:rsid w:val="00ED2CEA"/>
    <w:rsid w:val="00ED3373"/>
    <w:rsid w:val="00ED602D"/>
    <w:rsid w:val="00EE0397"/>
    <w:rsid w:val="00EE0655"/>
    <w:rsid w:val="00EE1923"/>
    <w:rsid w:val="00EE3490"/>
    <w:rsid w:val="00EE7955"/>
    <w:rsid w:val="00EF0475"/>
    <w:rsid w:val="00EF24E6"/>
    <w:rsid w:val="00EF3BCC"/>
    <w:rsid w:val="00EF772F"/>
    <w:rsid w:val="00F04758"/>
    <w:rsid w:val="00F06A6A"/>
    <w:rsid w:val="00F06B39"/>
    <w:rsid w:val="00F06F28"/>
    <w:rsid w:val="00F07166"/>
    <w:rsid w:val="00F078CD"/>
    <w:rsid w:val="00F10829"/>
    <w:rsid w:val="00F109BA"/>
    <w:rsid w:val="00F11462"/>
    <w:rsid w:val="00F119B5"/>
    <w:rsid w:val="00F20E5B"/>
    <w:rsid w:val="00F21FD0"/>
    <w:rsid w:val="00F23039"/>
    <w:rsid w:val="00F24E95"/>
    <w:rsid w:val="00F35575"/>
    <w:rsid w:val="00F37422"/>
    <w:rsid w:val="00F409B1"/>
    <w:rsid w:val="00F40FCE"/>
    <w:rsid w:val="00F40FEE"/>
    <w:rsid w:val="00F44276"/>
    <w:rsid w:val="00F44BD0"/>
    <w:rsid w:val="00F4574D"/>
    <w:rsid w:val="00F50003"/>
    <w:rsid w:val="00F625E1"/>
    <w:rsid w:val="00F65398"/>
    <w:rsid w:val="00F654BE"/>
    <w:rsid w:val="00F65F85"/>
    <w:rsid w:val="00F65FAF"/>
    <w:rsid w:val="00F66E42"/>
    <w:rsid w:val="00F71ED3"/>
    <w:rsid w:val="00F733C9"/>
    <w:rsid w:val="00F752D4"/>
    <w:rsid w:val="00F80F35"/>
    <w:rsid w:val="00F81337"/>
    <w:rsid w:val="00F83EC5"/>
    <w:rsid w:val="00F8477B"/>
    <w:rsid w:val="00F86A23"/>
    <w:rsid w:val="00F90C09"/>
    <w:rsid w:val="00F90E31"/>
    <w:rsid w:val="00F93158"/>
    <w:rsid w:val="00F9424E"/>
    <w:rsid w:val="00F95AB9"/>
    <w:rsid w:val="00F96227"/>
    <w:rsid w:val="00FA12E0"/>
    <w:rsid w:val="00FA1489"/>
    <w:rsid w:val="00FA174F"/>
    <w:rsid w:val="00FA2E00"/>
    <w:rsid w:val="00FA5F0F"/>
    <w:rsid w:val="00FB444E"/>
    <w:rsid w:val="00FB52FD"/>
    <w:rsid w:val="00FB5856"/>
    <w:rsid w:val="00FB74C5"/>
    <w:rsid w:val="00FB7CD3"/>
    <w:rsid w:val="00FC12D6"/>
    <w:rsid w:val="00FC2160"/>
    <w:rsid w:val="00FC2BA0"/>
    <w:rsid w:val="00FC336F"/>
    <w:rsid w:val="00FC4BB0"/>
    <w:rsid w:val="00FC4E57"/>
    <w:rsid w:val="00FC7126"/>
    <w:rsid w:val="00FC7143"/>
    <w:rsid w:val="00FD2441"/>
    <w:rsid w:val="00FD3616"/>
    <w:rsid w:val="00FD44AB"/>
    <w:rsid w:val="00FD4A4B"/>
    <w:rsid w:val="00FD511B"/>
    <w:rsid w:val="00FD5C41"/>
    <w:rsid w:val="00FD5E2D"/>
    <w:rsid w:val="00FD7AD8"/>
    <w:rsid w:val="00FD7BFC"/>
    <w:rsid w:val="00FD7CAB"/>
    <w:rsid w:val="00FE1AEA"/>
    <w:rsid w:val="00FE20AE"/>
    <w:rsid w:val="00FE3CBE"/>
    <w:rsid w:val="00FE4BDD"/>
    <w:rsid w:val="00FE639A"/>
    <w:rsid w:val="00FE6B1B"/>
    <w:rsid w:val="00FF1F1D"/>
    <w:rsid w:val="00FF31FB"/>
    <w:rsid w:val="00FF3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EC5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F83EC5"/>
    <w:pPr>
      <w:keepNext/>
      <w:spacing w:before="240" w:after="60"/>
      <w:outlineLvl w:val="0"/>
    </w:pPr>
    <w:rPr>
      <w:rFonts w:ascii="Times New Roman" w:hAnsi="Times New Roman" w:cs="Times New Roman"/>
      <w:b/>
      <w:bCs/>
      <w:kern w:val="32"/>
      <w:sz w:val="2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83EC5"/>
    <w:rPr>
      <w:b/>
      <w:bCs/>
      <w:kern w:val="32"/>
      <w:sz w:val="28"/>
      <w:szCs w:val="32"/>
    </w:rPr>
  </w:style>
  <w:style w:type="paragraph" w:styleId="TM1">
    <w:name w:val="toc 1"/>
    <w:basedOn w:val="Normal"/>
    <w:next w:val="Normal"/>
    <w:autoRedefine/>
    <w:uiPriority w:val="39"/>
    <w:qFormat/>
    <w:rsid w:val="00F83EC5"/>
    <w:pPr>
      <w:spacing w:before="120"/>
    </w:pPr>
    <w:rPr>
      <w:rFonts w:ascii="Calibri" w:hAnsi="Calibri" w:cs="Times New Roman"/>
      <w:b/>
      <w:bCs/>
      <w:i/>
      <w:iCs/>
      <w:szCs w:val="28"/>
    </w:rPr>
  </w:style>
  <w:style w:type="paragraph" w:styleId="TM2">
    <w:name w:val="toc 2"/>
    <w:basedOn w:val="Normal"/>
    <w:next w:val="Normal"/>
    <w:autoRedefine/>
    <w:uiPriority w:val="39"/>
    <w:semiHidden/>
    <w:qFormat/>
    <w:rsid w:val="00F83EC5"/>
    <w:pPr>
      <w:spacing w:before="120"/>
      <w:ind w:left="240"/>
    </w:pPr>
    <w:rPr>
      <w:rFonts w:ascii="Calibri" w:hAnsi="Calibri" w:cs="Times New Roman"/>
      <w:b/>
      <w:bCs/>
      <w:sz w:val="22"/>
      <w:szCs w:val="26"/>
    </w:rPr>
  </w:style>
  <w:style w:type="paragraph" w:styleId="TM3">
    <w:name w:val="toc 3"/>
    <w:basedOn w:val="Normal"/>
    <w:next w:val="Normal"/>
    <w:autoRedefine/>
    <w:uiPriority w:val="39"/>
    <w:semiHidden/>
    <w:qFormat/>
    <w:rsid w:val="00F83EC5"/>
    <w:pPr>
      <w:ind w:left="480"/>
    </w:pPr>
    <w:rPr>
      <w:rFonts w:ascii="Calibri" w:hAnsi="Calibri" w:cs="Times New Roman"/>
      <w:sz w:val="20"/>
    </w:rPr>
  </w:style>
  <w:style w:type="paragraph" w:styleId="Lgende">
    <w:name w:val="caption"/>
    <w:aliases w:val="Titre1+Rouge"/>
    <w:basedOn w:val="Normal"/>
    <w:next w:val="Normal"/>
    <w:qFormat/>
    <w:rsid w:val="00F83EC5"/>
    <w:rPr>
      <w:rFonts w:cs="Times New Roman"/>
    </w:rPr>
  </w:style>
  <w:style w:type="paragraph" w:styleId="Sansinterligne">
    <w:name w:val="No Spacing"/>
    <w:link w:val="SansinterligneCar"/>
    <w:uiPriority w:val="1"/>
    <w:qFormat/>
    <w:rsid w:val="00F83EC5"/>
    <w:rPr>
      <w:rFonts w:ascii="Calibri" w:hAnsi="Calibri" w:cs="Arial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83EC5"/>
    <w:rPr>
      <w:rFonts w:ascii="Calibri" w:hAnsi="Calibri" w:cs="Arial"/>
      <w:sz w:val="22"/>
      <w:szCs w:val="22"/>
      <w:lang w:val="fr-FR" w:eastAsia="en-US" w:bidi="ar-SA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83EC5"/>
    <w:pPr>
      <w:keepLines/>
      <w:widowControl/>
      <w:autoSpaceDE/>
      <w:autoSpaceDN/>
      <w:adjustRightInd/>
      <w:spacing w:before="480" w:after="0" w:line="276" w:lineRule="auto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customStyle="1" w:styleId="titre2">
    <w:name w:val="titre2"/>
    <w:basedOn w:val="Normal"/>
    <w:qFormat/>
    <w:rsid w:val="00F83EC5"/>
    <w:pPr>
      <w:tabs>
        <w:tab w:val="left" w:pos="-720"/>
      </w:tabs>
      <w:spacing w:line="300" w:lineRule="atLeast"/>
      <w:jc w:val="both"/>
    </w:pPr>
    <w:rPr>
      <w:rFonts w:ascii="Univers" w:hAnsi="Univers" w:cs="Univers"/>
      <w:b/>
      <w:bCs/>
      <w:spacing w:val="-3"/>
    </w:rPr>
  </w:style>
  <w:style w:type="paragraph" w:customStyle="1" w:styleId="titre3">
    <w:name w:val="titre3"/>
    <w:basedOn w:val="Normal"/>
    <w:qFormat/>
    <w:rsid w:val="00F83EC5"/>
    <w:pPr>
      <w:tabs>
        <w:tab w:val="left" w:pos="-720"/>
      </w:tabs>
      <w:spacing w:line="300" w:lineRule="atLeast"/>
      <w:jc w:val="both"/>
    </w:pPr>
    <w:rPr>
      <w:rFonts w:ascii="Univers" w:hAnsi="Univers" w:cs="Univers"/>
      <w:b/>
      <w:bCs/>
      <w:spacing w:val="-3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9452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452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D6C0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5D6C02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5D6C0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centuation">
    <w:name w:val="Emphasis"/>
    <w:basedOn w:val="Policepardfaut"/>
    <w:uiPriority w:val="20"/>
    <w:qFormat/>
    <w:rsid w:val="00E9062C"/>
    <w:rPr>
      <w:i/>
      <w:iCs/>
    </w:rPr>
  </w:style>
  <w:style w:type="paragraph" w:styleId="En-tte">
    <w:name w:val="header"/>
    <w:basedOn w:val="Normal"/>
    <w:link w:val="En-tteCar"/>
    <w:uiPriority w:val="99"/>
    <w:semiHidden/>
    <w:unhideWhenUsed/>
    <w:rsid w:val="0046070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60705"/>
    <w:rPr>
      <w:rFonts w:ascii="Courier New" w:hAnsi="Courier New" w:cs="Courier New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4607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0705"/>
    <w:rPr>
      <w:rFonts w:ascii="Courier New" w:hAnsi="Courier New" w:cs="Courier New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E265E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265E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265E4"/>
    <w:rPr>
      <w:rFonts w:ascii="Courier New" w:hAnsi="Courier New" w:cs="Courier New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265E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265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hcp.m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drissi\Bureau\Enquete%20de%20conjoncture%20menages\2013\resultats\resultatseECM(trim1-08-trim3-2013)f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drissi\Bureau\Enquete%20de%20conjoncture%20menages\2013\resultats\resultatseECM(trim1-08-trim3-2013)f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drissi\Bureau\Enquete%20de%20conjoncture%20menages\2013\resultats\resultatseECM(trim1-08-trim3-2013)f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drissi\Bureau\Enquete%20de%20conjoncture%20menages\2013\resultats\resultatseECM(trim1-08-trim3-2013)f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drissi\Bureau\Enquete%20de%20conjoncture%20menages\2013\resultats\resultatseECM(trim1-08-trim3-2013)f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drissi\Bureau\Enquete%20de%20conjoncture%20menages\2013\resultats\resultatseECM(trim1-08-trim3-2013)f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drissi\Bureau\Enquete%20de%20conjoncture%20menages\2013\resultats\resultatseECM(trim1-08-trim3-2013)f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 sz="1300"/>
            </a:pPr>
            <a:r>
              <a:rPr lang="en-US" sz="1300" b="1" i="0" baseline="0"/>
              <a:t>Evolution de l'Indice de Confiance des Ménages</a:t>
            </a:r>
            <a:endParaRPr lang="fr-FR" sz="1300" b="1" i="0" baseline="0"/>
          </a:p>
        </c:rich>
      </c:tx>
      <c:layout/>
    </c:title>
    <c:plotArea>
      <c:layout>
        <c:manualLayout>
          <c:layoutTarget val="inner"/>
          <c:xMode val="edge"/>
          <c:yMode val="edge"/>
          <c:x val="2.306305870032704E-2"/>
          <c:y val="0.15031942512688301"/>
          <c:w val="0.95771772571606251"/>
          <c:h val="0.76176714796456124"/>
        </c:manualLayout>
      </c:layout>
      <c:barChart>
        <c:barDir val="col"/>
        <c:grouping val="clustered"/>
        <c:ser>
          <c:idx val="0"/>
          <c:order val="0"/>
          <c:tx>
            <c:strRef>
              <c:f>'graphe fr'!$A$18</c:f>
              <c:strCache>
                <c:ptCount val="1"/>
                <c:pt idx="0">
                  <c:v>ICM</c:v>
                </c:pt>
              </c:strCache>
            </c:strRef>
          </c:tx>
          <c:dLbls>
            <c:dLbl>
              <c:idx val="21"/>
              <c:layout/>
              <c:tx>
                <c:rich>
                  <a:bodyPr/>
                  <a:lstStyle/>
                  <a:p>
                    <a:r>
                      <a:rPr lang="en-US"/>
                      <a:t>74,2</a:t>
                    </a:r>
                  </a:p>
                </c:rich>
              </c:tx>
              <c:showVal val="1"/>
            </c:dLbl>
            <c:showVal val="1"/>
          </c:dLbls>
          <c:cat>
            <c:strRef>
              <c:f>'graphe fr'!$B$9:$X$9</c:f>
              <c:strCache>
                <c:ptCount val="23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</c:strCache>
            </c:strRef>
          </c:cat>
          <c:val>
            <c:numRef>
              <c:f>'graphe fr'!$B$18:$X$18</c:f>
              <c:numCache>
                <c:formatCode>#,##0.0</c:formatCode>
                <c:ptCount val="23"/>
                <c:pt idx="0">
                  <c:v>85.866502294191648</c:v>
                </c:pt>
                <c:pt idx="1">
                  <c:v>77.678707955852659</c:v>
                </c:pt>
                <c:pt idx="2">
                  <c:v>75.552480635756098</c:v>
                </c:pt>
                <c:pt idx="3">
                  <c:v>80.136884034904242</c:v>
                </c:pt>
                <c:pt idx="4">
                  <c:v>76.902419880745626</c:v>
                </c:pt>
                <c:pt idx="5">
                  <c:v>77.636131881705708</c:v>
                </c:pt>
                <c:pt idx="6">
                  <c:v>79.135624759962667</c:v>
                </c:pt>
                <c:pt idx="7">
                  <c:v>79.463913413558046</c:v>
                </c:pt>
                <c:pt idx="8">
                  <c:v>80.136086093618928</c:v>
                </c:pt>
                <c:pt idx="9">
                  <c:v>78.833388330573754</c:v>
                </c:pt>
                <c:pt idx="10">
                  <c:v>78.629956901853419</c:v>
                </c:pt>
                <c:pt idx="11">
                  <c:v>74.744893710814793</c:v>
                </c:pt>
                <c:pt idx="12">
                  <c:v>78.406406130604438</c:v>
                </c:pt>
                <c:pt idx="13">
                  <c:v>85.789532632532342</c:v>
                </c:pt>
                <c:pt idx="14">
                  <c:v>86.506225251482533</c:v>
                </c:pt>
                <c:pt idx="15">
                  <c:v>84.47721469487756</c:v>
                </c:pt>
                <c:pt idx="16">
                  <c:v>82.880478542821052</c:v>
                </c:pt>
                <c:pt idx="17">
                  <c:v>80.673652783725359</c:v>
                </c:pt>
                <c:pt idx="18">
                  <c:v>77.553867036568988</c:v>
                </c:pt>
                <c:pt idx="19">
                  <c:v>78.403353681349969</c:v>
                </c:pt>
                <c:pt idx="20">
                  <c:v>75.830193123476278</c:v>
                </c:pt>
                <c:pt idx="21">
                  <c:v>74.26831493920966</c:v>
                </c:pt>
                <c:pt idx="22">
                  <c:v>75.40113716912164</c:v>
                </c:pt>
              </c:numCache>
            </c:numRef>
          </c:val>
        </c:ser>
        <c:axId val="64590976"/>
        <c:axId val="64592512"/>
      </c:barChart>
      <c:catAx>
        <c:axId val="64590976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/>
            </a:pPr>
            <a:endParaRPr lang="fr-FR"/>
          </a:p>
        </c:txPr>
        <c:crossAx val="64592512"/>
        <c:crosses val="autoZero"/>
        <c:auto val="1"/>
        <c:lblAlgn val="ctr"/>
        <c:lblOffset val="100"/>
      </c:catAx>
      <c:valAx>
        <c:axId val="64592512"/>
        <c:scaling>
          <c:orientation val="minMax"/>
        </c:scaling>
        <c:delete val="1"/>
        <c:axPos val="l"/>
        <c:numFmt formatCode="#,##0.0" sourceLinked="1"/>
        <c:tickLblPos val="none"/>
        <c:crossAx val="64590976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 sz="1300"/>
            </a:pPr>
            <a:r>
              <a:rPr lang="fr-FR" sz="1300" b="1" i="0" u="none" strike="noStrike" baseline="0"/>
              <a:t>Perception de l'é</a:t>
            </a:r>
            <a:r>
              <a:rPr lang="fr-FR" sz="1300" b="1" i="0" baseline="0"/>
              <a:t>volution du niveau de vie </a:t>
            </a:r>
          </a:p>
          <a:p>
            <a:pPr>
              <a:defRPr sz="1300"/>
            </a:pPr>
            <a:r>
              <a:rPr lang="fr-FR" sz="1300" b="0" i="0" baseline="0"/>
              <a:t>(soldes d'opinion) </a:t>
            </a:r>
          </a:p>
        </c:rich>
      </c:tx>
      <c:layout>
        <c:manualLayout>
          <c:xMode val="edge"/>
          <c:yMode val="edge"/>
          <c:x val="0.17391786795881284"/>
          <c:y val="4.3956043956043994E-2"/>
        </c:manualLayout>
      </c:layout>
    </c:title>
    <c:plotArea>
      <c:layout>
        <c:manualLayout>
          <c:layoutTarget val="inner"/>
          <c:xMode val="edge"/>
          <c:yMode val="edge"/>
          <c:x val="6.4106911853694895E-2"/>
          <c:y val="0.23500007953551261"/>
          <c:w val="0.91482785695124735"/>
          <c:h val="0.61879615048119818"/>
        </c:manualLayout>
      </c:layout>
      <c:lineChart>
        <c:grouping val="standard"/>
        <c:ser>
          <c:idx val="1"/>
          <c:order val="0"/>
          <c:tx>
            <c:strRef>
              <c:f>'graphe fr'!$A$11</c:f>
              <c:strCache>
                <c:ptCount val="1"/>
                <c:pt idx="0">
                  <c:v>Evolution  passée du niveau de vie</c:v>
                </c:pt>
              </c:strCache>
            </c:strRef>
          </c:tx>
          <c:marker>
            <c:symbol val="none"/>
          </c:marker>
          <c:cat>
            <c:strRef>
              <c:f>'graphe fr'!$B$9:$X$9</c:f>
              <c:strCache>
                <c:ptCount val="23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</c:strCache>
            </c:strRef>
          </c:cat>
          <c:val>
            <c:numRef>
              <c:f>'graphe fr'!$B$11:$X$11</c:f>
              <c:numCache>
                <c:formatCode>#,##0.0</c:formatCode>
                <c:ptCount val="23"/>
                <c:pt idx="0">
                  <c:v>-10.399945582052929</c:v>
                </c:pt>
                <c:pt idx="1">
                  <c:v>-25.15337945599229</c:v>
                </c:pt>
                <c:pt idx="2">
                  <c:v>-31.141291421499794</c:v>
                </c:pt>
                <c:pt idx="3">
                  <c:v>-29.393844818665286</c:v>
                </c:pt>
                <c:pt idx="4">
                  <c:v>-36.652789359955584</c:v>
                </c:pt>
                <c:pt idx="5">
                  <c:v>-29.108394514506987</c:v>
                </c:pt>
                <c:pt idx="6">
                  <c:v>-25.702364309825629</c:v>
                </c:pt>
                <c:pt idx="7">
                  <c:v>-26.546435956901789</c:v>
                </c:pt>
                <c:pt idx="8">
                  <c:v>-25.723634629572953</c:v>
                </c:pt>
                <c:pt idx="9">
                  <c:v>-28.56499551903989</c:v>
                </c:pt>
                <c:pt idx="10">
                  <c:v>-27.930454212484364</c:v>
                </c:pt>
                <c:pt idx="11">
                  <c:v>-37.236760344983516</c:v>
                </c:pt>
                <c:pt idx="12">
                  <c:v>-26.050959167650163</c:v>
                </c:pt>
                <c:pt idx="13">
                  <c:v>-16.961438303130816</c:v>
                </c:pt>
                <c:pt idx="14">
                  <c:v>-13.439142519852041</c:v>
                </c:pt>
                <c:pt idx="15">
                  <c:v>-20.224270151200944</c:v>
                </c:pt>
                <c:pt idx="16">
                  <c:v>-26.170201326733839</c:v>
                </c:pt>
                <c:pt idx="17">
                  <c:v>-21.816848529134631</c:v>
                </c:pt>
                <c:pt idx="18">
                  <c:v>-27.85707555673623</c:v>
                </c:pt>
                <c:pt idx="19">
                  <c:v>-28.088708351168609</c:v>
                </c:pt>
                <c:pt idx="20">
                  <c:v>-29.212341127418195</c:v>
                </c:pt>
                <c:pt idx="21">
                  <c:v>-23.10286448398212</c:v>
                </c:pt>
                <c:pt idx="22">
                  <c:v>-21.158266803557588</c:v>
                </c:pt>
              </c:numCache>
            </c:numRef>
          </c:val>
        </c:ser>
        <c:ser>
          <c:idx val="0"/>
          <c:order val="1"/>
          <c:tx>
            <c:strRef>
              <c:f>'graphe fr'!$A$12</c:f>
              <c:strCache>
                <c:ptCount val="1"/>
                <c:pt idx="0">
                  <c:v>Perspective d'évolution du niveau de vie</c:v>
                </c:pt>
              </c:strCache>
            </c:strRef>
          </c:tx>
          <c:marker>
            <c:symbol val="none"/>
          </c:marker>
          <c:cat>
            <c:strRef>
              <c:f>'graphe fr'!$B$9:$X$9</c:f>
              <c:strCache>
                <c:ptCount val="23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</c:strCache>
            </c:strRef>
          </c:cat>
          <c:val>
            <c:numRef>
              <c:f>'graphe fr'!$B$12:$X$12</c:f>
              <c:numCache>
                <c:formatCode>#,##0.0</c:formatCode>
                <c:ptCount val="23"/>
                <c:pt idx="0">
                  <c:v>14.440493946063453</c:v>
                </c:pt>
                <c:pt idx="1">
                  <c:v>-11.52673084245559</c:v>
                </c:pt>
                <c:pt idx="2">
                  <c:v>-21.380291437825413</c:v>
                </c:pt>
                <c:pt idx="3">
                  <c:v>-3.4692228168248267</c:v>
                </c:pt>
                <c:pt idx="4">
                  <c:v>-9.3118753956095954</c:v>
                </c:pt>
                <c:pt idx="5">
                  <c:v>-3.5223109272796771</c:v>
                </c:pt>
                <c:pt idx="6">
                  <c:v>8.4334302751113296E-2</c:v>
                </c:pt>
                <c:pt idx="7">
                  <c:v>2.1853913991610052</c:v>
                </c:pt>
                <c:pt idx="8">
                  <c:v>0.39154986438085859</c:v>
                </c:pt>
                <c:pt idx="9">
                  <c:v>2.7314646872285109</c:v>
                </c:pt>
                <c:pt idx="10">
                  <c:v>0.19418325799955072</c:v>
                </c:pt>
                <c:pt idx="11">
                  <c:v>-11.371112777150765</c:v>
                </c:pt>
                <c:pt idx="12">
                  <c:v>-1.8875512037963609</c:v>
                </c:pt>
                <c:pt idx="13">
                  <c:v>18.132139936578749</c:v>
                </c:pt>
                <c:pt idx="14">
                  <c:v>11.870106120928323</c:v>
                </c:pt>
                <c:pt idx="15">
                  <c:v>13.146309479543481</c:v>
                </c:pt>
                <c:pt idx="16">
                  <c:v>11.211772002164619</c:v>
                </c:pt>
                <c:pt idx="17">
                  <c:v>8.9776180181468028</c:v>
                </c:pt>
                <c:pt idx="18">
                  <c:v>-3.2327838268829292</c:v>
                </c:pt>
                <c:pt idx="19">
                  <c:v>-1.2159862376115478</c:v>
                </c:pt>
                <c:pt idx="20">
                  <c:v>-5.0957647237932591</c:v>
                </c:pt>
                <c:pt idx="21">
                  <c:v>-4.2068608448306524</c:v>
                </c:pt>
                <c:pt idx="22">
                  <c:v>-3.0973555754801207</c:v>
                </c:pt>
              </c:numCache>
            </c:numRef>
          </c:val>
        </c:ser>
        <c:marker val="1"/>
        <c:axId val="77436416"/>
        <c:axId val="77437952"/>
      </c:lineChart>
      <c:catAx>
        <c:axId val="77436416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900"/>
            </a:pPr>
            <a:endParaRPr lang="fr-FR"/>
          </a:p>
        </c:txPr>
        <c:crossAx val="77437952"/>
        <c:crosses val="autoZero"/>
        <c:auto val="1"/>
        <c:lblAlgn val="ctr"/>
        <c:lblOffset val="100"/>
      </c:catAx>
      <c:valAx>
        <c:axId val="77437952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crossAx val="77436416"/>
        <c:crosses val="autoZero"/>
        <c:crossBetween val="between"/>
      </c:valAx>
    </c:plotArea>
    <c:legend>
      <c:legendPos val="b"/>
      <c:txPr>
        <a:bodyPr/>
        <a:lstStyle/>
        <a:p>
          <a:pPr>
            <a:defRPr b="1"/>
          </a:pPr>
          <a:endParaRPr lang="fr-FR"/>
        </a:p>
      </c:txPr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3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fr-FR" sz="1300"/>
              <a:t>P</a:t>
            </a:r>
            <a:r>
              <a:rPr lang="fr-FR" sz="1300" b="1" i="0" u="none" strike="noStrike" baseline="0"/>
              <a:t>erception de l</a:t>
            </a:r>
            <a:r>
              <a:rPr lang="fr-FR" sz="1300"/>
              <a:t>'évolution du nombre de chômeur 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3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fr-FR" sz="1300" b="0" i="0" baseline="0"/>
              <a:t>(soldes d'opinion) </a:t>
            </a:r>
            <a:endParaRPr lang="fr-FR" sz="1300"/>
          </a:p>
        </c:rich>
      </c:tx>
      <c:layout>
        <c:manualLayout>
          <c:xMode val="edge"/>
          <c:yMode val="edge"/>
          <c:x val="0.18481358308472323"/>
          <c:y val="1.9478938397857332E-2"/>
        </c:manualLayout>
      </c:layout>
    </c:title>
    <c:plotArea>
      <c:layout>
        <c:manualLayout>
          <c:layoutTarget val="inner"/>
          <c:xMode val="edge"/>
          <c:yMode val="edge"/>
          <c:x val="6.3210902984952966E-2"/>
          <c:y val="0.17404431458485523"/>
          <c:w val="0.91401476989289343"/>
          <c:h val="0.77238860482103733"/>
        </c:manualLayout>
      </c:layout>
      <c:lineChart>
        <c:grouping val="standard"/>
        <c:ser>
          <c:idx val="0"/>
          <c:order val="0"/>
          <c:tx>
            <c:strRef>
              <c:f>'graphe fr'!$A$10</c:f>
              <c:strCache>
                <c:ptCount val="1"/>
                <c:pt idx="0">
                  <c:v>Perspective d'évolution du nombre de chômeur</c:v>
                </c:pt>
              </c:strCache>
            </c:strRef>
          </c:tx>
          <c:marker>
            <c:symbol val="none"/>
          </c:marker>
          <c:cat>
            <c:strRef>
              <c:f>'graphe fr'!$B$9:$X$9</c:f>
              <c:strCache>
                <c:ptCount val="23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</c:strCache>
            </c:strRef>
          </c:cat>
          <c:val>
            <c:numRef>
              <c:f>'graphe fr'!$B$10:$X$10</c:f>
              <c:numCache>
                <c:formatCode>#,##0.0</c:formatCode>
                <c:ptCount val="23"/>
                <c:pt idx="0">
                  <c:v>-52.095692279179346</c:v>
                </c:pt>
                <c:pt idx="1">
                  <c:v>-56.601297669293018</c:v>
                </c:pt>
                <c:pt idx="2">
                  <c:v>-51.593765595534528</c:v>
                </c:pt>
                <c:pt idx="3">
                  <c:v>-51.137343653505525</c:v>
                </c:pt>
                <c:pt idx="4">
                  <c:v>-50.999102607130283</c:v>
                </c:pt>
                <c:pt idx="5">
                  <c:v>-59.135165785990033</c:v>
                </c:pt>
                <c:pt idx="6">
                  <c:v>-57.930600458568364</c:v>
                </c:pt>
                <c:pt idx="7">
                  <c:v>-57.517749523976391</c:v>
                </c:pt>
                <c:pt idx="8">
                  <c:v>-59.239397454073007</c:v>
                </c:pt>
                <c:pt idx="9">
                  <c:v>-61.048152851769579</c:v>
                </c:pt>
                <c:pt idx="10">
                  <c:v>-56.106436371502731</c:v>
                </c:pt>
                <c:pt idx="11">
                  <c:v>-52.335316844022564</c:v>
                </c:pt>
                <c:pt idx="12">
                  <c:v>-52.408437207990296</c:v>
                </c:pt>
                <c:pt idx="13">
                  <c:v>-45.982278486233334</c:v>
                </c:pt>
                <c:pt idx="14">
                  <c:v>-40.986479794930496</c:v>
                </c:pt>
                <c:pt idx="15">
                  <c:v>-41.619683700101234</c:v>
                </c:pt>
                <c:pt idx="16">
                  <c:v>-44.058495214148614</c:v>
                </c:pt>
                <c:pt idx="17">
                  <c:v>-48.557155794606146</c:v>
                </c:pt>
                <c:pt idx="18">
                  <c:v>-56.657119953107134</c:v>
                </c:pt>
                <c:pt idx="19">
                  <c:v>-58.054676707354794</c:v>
                </c:pt>
                <c:pt idx="20">
                  <c:v>-61.683132655398175</c:v>
                </c:pt>
                <c:pt idx="21">
                  <c:v>-67.848891093145681</c:v>
                </c:pt>
                <c:pt idx="22">
                  <c:v>-69.816287861188869</c:v>
                </c:pt>
              </c:numCache>
            </c:numRef>
          </c:val>
        </c:ser>
        <c:marker val="1"/>
        <c:axId val="82738560"/>
        <c:axId val="85075072"/>
      </c:lineChart>
      <c:catAx>
        <c:axId val="82738560"/>
        <c:scaling>
          <c:orientation val="minMax"/>
        </c:scaling>
        <c:axPos val="b"/>
        <c:numFmt formatCode="#,##0" sourceLinked="1"/>
        <c:tickLblPos val="nextTo"/>
        <c:txPr>
          <a:bodyPr/>
          <a:lstStyle/>
          <a:p>
            <a:pPr>
              <a:defRPr sz="800"/>
            </a:pPr>
            <a:endParaRPr lang="fr-FR"/>
          </a:p>
        </c:txPr>
        <c:crossAx val="85075072"/>
        <c:crosses val="autoZero"/>
        <c:auto val="1"/>
        <c:lblAlgn val="ctr"/>
        <c:lblOffset val="100"/>
      </c:catAx>
      <c:valAx>
        <c:axId val="85075072"/>
        <c:scaling>
          <c:orientation val="minMax"/>
        </c:scaling>
        <c:axPos val="l"/>
        <c:majorGridlines/>
        <c:numFmt formatCode="#,##0.0" sourceLinked="1"/>
        <c:tickLblPos val="nextTo"/>
        <c:txPr>
          <a:bodyPr/>
          <a:lstStyle/>
          <a:p>
            <a:pPr>
              <a:defRPr sz="800"/>
            </a:pPr>
            <a:endParaRPr lang="fr-FR"/>
          </a:p>
        </c:txPr>
        <c:crossAx val="82738560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3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fr-FR" sz="1300"/>
              <a:t>Perception par les ménages de l'opportunité d'achat de biens durables </a:t>
            </a:r>
            <a:r>
              <a:rPr lang="fr-FR" sz="1300" b="0" i="0" baseline="0"/>
              <a:t>(soldes d'opinion)</a:t>
            </a:r>
            <a:endParaRPr lang="fr-FR" sz="1300"/>
          </a:p>
        </c:rich>
      </c:tx>
      <c:layout>
        <c:manualLayout>
          <c:xMode val="edge"/>
          <c:yMode val="edge"/>
          <c:x val="0.14888217522658612"/>
          <c:y val="0"/>
        </c:manualLayout>
      </c:layout>
    </c:title>
    <c:plotArea>
      <c:layout/>
      <c:lineChart>
        <c:grouping val="standard"/>
        <c:ser>
          <c:idx val="0"/>
          <c:order val="0"/>
          <c:tx>
            <c:strRef>
              <c:f>'graphe fr'!$A$13</c:f>
              <c:strCache>
                <c:ptCount val="1"/>
                <c:pt idx="0">
                  <c:v>Opportunité d'achat</c:v>
                </c:pt>
              </c:strCache>
            </c:strRef>
          </c:tx>
          <c:marker>
            <c:symbol val="none"/>
          </c:marker>
          <c:cat>
            <c:strRef>
              <c:f>'graphe fr'!$B$9:$X$9</c:f>
              <c:strCache>
                <c:ptCount val="23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</c:strCache>
            </c:strRef>
          </c:cat>
          <c:val>
            <c:numRef>
              <c:f>'graphe fr'!$B$13:$X$13</c:f>
              <c:numCache>
                <c:formatCode>#,##0.0</c:formatCode>
                <c:ptCount val="23"/>
                <c:pt idx="0">
                  <c:v>-30.018449770831719</c:v>
                </c:pt>
                <c:pt idx="1">
                  <c:v>-34.254528080670752</c:v>
                </c:pt>
                <c:pt idx="2">
                  <c:v>-37.471777984571169</c:v>
                </c:pt>
                <c:pt idx="3">
                  <c:v>-39.103064640682895</c:v>
                </c:pt>
                <c:pt idx="4">
                  <c:v>-41.765350509034043</c:v>
                </c:pt>
                <c:pt idx="5">
                  <c:v>-46.542730671354157</c:v>
                </c:pt>
                <c:pt idx="6">
                  <c:v>-43.408027388108131</c:v>
                </c:pt>
                <c:pt idx="7">
                  <c:v>-42.642623532569331</c:v>
                </c:pt>
                <c:pt idx="8">
                  <c:v>-34.756506471721544</c:v>
                </c:pt>
                <c:pt idx="9">
                  <c:v>-37.532519098272012</c:v>
                </c:pt>
                <c:pt idx="10">
                  <c:v>-36.012077907569903</c:v>
                </c:pt>
                <c:pt idx="11">
                  <c:v>-44.335673139521013</c:v>
                </c:pt>
                <c:pt idx="12">
                  <c:v>-39.860076277616542</c:v>
                </c:pt>
                <c:pt idx="13">
                  <c:v>-39.017818744674372</c:v>
                </c:pt>
                <c:pt idx="14">
                  <c:v>-36.350911088685244</c:v>
                </c:pt>
                <c:pt idx="15">
                  <c:v>-38.491211120248494</c:v>
                </c:pt>
                <c:pt idx="16">
                  <c:v>-32.485234146306901</c:v>
                </c:pt>
                <c:pt idx="17">
                  <c:v>-37.388587169100347</c:v>
                </c:pt>
                <c:pt idx="18">
                  <c:v>-29.521996232881474</c:v>
                </c:pt>
                <c:pt idx="19">
                  <c:v>-29.332441443088875</c:v>
                </c:pt>
                <c:pt idx="20">
                  <c:v>-28.348240299081645</c:v>
                </c:pt>
                <c:pt idx="21">
                  <c:v>-31.722199742496027</c:v>
                </c:pt>
                <c:pt idx="22">
                  <c:v>-29.53704552622213</c:v>
                </c:pt>
              </c:numCache>
            </c:numRef>
          </c:val>
        </c:ser>
        <c:marker val="1"/>
        <c:axId val="85164800"/>
        <c:axId val="85166336"/>
      </c:lineChart>
      <c:catAx>
        <c:axId val="85164800"/>
        <c:scaling>
          <c:orientation val="minMax"/>
        </c:scaling>
        <c:axPos val="b"/>
        <c:numFmt formatCode="#,##0.0" sourceLinked="1"/>
        <c:tickLblPos val="nextTo"/>
        <c:crossAx val="85166336"/>
        <c:crosses val="autoZero"/>
        <c:auto val="1"/>
        <c:lblAlgn val="ctr"/>
        <c:lblOffset val="100"/>
      </c:catAx>
      <c:valAx>
        <c:axId val="85166336"/>
        <c:scaling>
          <c:orientation val="minMax"/>
        </c:scaling>
        <c:axPos val="l"/>
        <c:majorGridlines/>
        <c:numFmt formatCode="#,##0.0" sourceLinked="1"/>
        <c:tickLblPos val="nextTo"/>
        <c:crossAx val="85164800"/>
        <c:crosses val="autoZero"/>
        <c:crossBetween val="between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 sz="1300"/>
            </a:pPr>
            <a:r>
              <a:rPr lang="fr-FR" sz="1300" b="1" i="0" baseline="0"/>
              <a:t>Perceptions  par les ménages de l'èvolution de leurs situations financières</a:t>
            </a:r>
            <a:endParaRPr lang="fr-FR" sz="1300"/>
          </a:p>
          <a:p>
            <a:pPr>
              <a:defRPr sz="1300"/>
            </a:pPr>
            <a:r>
              <a:rPr lang="fr-FR" sz="1300" b="0" i="0" baseline="0"/>
              <a:t>(soldes d'opinion) </a:t>
            </a:r>
            <a:endParaRPr lang="fr-FR" sz="1300"/>
          </a:p>
        </c:rich>
      </c:tx>
      <c:layout>
        <c:manualLayout>
          <c:xMode val="edge"/>
          <c:yMode val="edge"/>
          <c:x val="0.13086580086580091"/>
          <c:y val="0"/>
        </c:manualLayout>
      </c:layout>
    </c:title>
    <c:plotArea>
      <c:layout>
        <c:manualLayout>
          <c:layoutTarget val="inner"/>
          <c:xMode val="edge"/>
          <c:yMode val="edge"/>
          <c:x val="7.0043080568376451E-2"/>
          <c:y val="0.19875072724038387"/>
          <c:w val="0.91118358546758449"/>
          <c:h val="0.63944613183611854"/>
        </c:manualLayout>
      </c:layout>
      <c:lineChart>
        <c:grouping val="standard"/>
        <c:ser>
          <c:idx val="0"/>
          <c:order val="0"/>
          <c:tx>
            <c:strRef>
              <c:f>'graphe fr'!$A$14</c:f>
              <c:strCache>
                <c:ptCount val="1"/>
                <c:pt idx="0">
                  <c:v>Situation  actuelle</c:v>
                </c:pt>
              </c:strCache>
            </c:strRef>
          </c:tx>
          <c:marker>
            <c:symbol val="none"/>
          </c:marker>
          <c:cat>
            <c:strRef>
              <c:f>'graphe fr'!$B$9:$X$9</c:f>
              <c:strCache>
                <c:ptCount val="23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</c:strCache>
            </c:strRef>
          </c:cat>
          <c:val>
            <c:numRef>
              <c:f>'graphe fr'!$B$14:$X$14</c:f>
              <c:numCache>
                <c:formatCode>#,##0.0</c:formatCode>
                <c:ptCount val="23"/>
                <c:pt idx="0">
                  <c:v>-33.000396349797541</c:v>
                </c:pt>
                <c:pt idx="1">
                  <c:v>-32.92085732825101</c:v>
                </c:pt>
                <c:pt idx="2">
                  <c:v>-34.418326375664194</c:v>
                </c:pt>
                <c:pt idx="3">
                  <c:v>-33.119220631579381</c:v>
                </c:pt>
                <c:pt idx="4">
                  <c:v>-31.284887127595891</c:v>
                </c:pt>
                <c:pt idx="5">
                  <c:v>-26.871936633729426</c:v>
                </c:pt>
                <c:pt idx="6">
                  <c:v>-28.286909450889887</c:v>
                </c:pt>
                <c:pt idx="7">
                  <c:v>-25.297554133135563</c:v>
                </c:pt>
                <c:pt idx="8">
                  <c:v>-27.535808431365773</c:v>
                </c:pt>
                <c:pt idx="9">
                  <c:v>-27.628417792744592</c:v>
                </c:pt>
                <c:pt idx="10">
                  <c:v>-29.997502753451052</c:v>
                </c:pt>
                <c:pt idx="11">
                  <c:v>-28.06262489249626</c:v>
                </c:pt>
                <c:pt idx="12">
                  <c:v>-30.645498931903678</c:v>
                </c:pt>
                <c:pt idx="13">
                  <c:v>-27.092549889444228</c:v>
                </c:pt>
                <c:pt idx="14">
                  <c:v>-24.28899054728441</c:v>
                </c:pt>
                <c:pt idx="15">
                  <c:v>-25.669712181349674</c:v>
                </c:pt>
                <c:pt idx="16">
                  <c:v>-25.435462945688826</c:v>
                </c:pt>
                <c:pt idx="17">
                  <c:v>-31.040689498948886</c:v>
                </c:pt>
                <c:pt idx="18">
                  <c:v>-30.846093343724149</c:v>
                </c:pt>
                <c:pt idx="19">
                  <c:v>-29.426966691861214</c:v>
                </c:pt>
                <c:pt idx="20">
                  <c:v>-29.764200665198015</c:v>
                </c:pt>
                <c:pt idx="21">
                  <c:v>-30.168616451396016</c:v>
                </c:pt>
                <c:pt idx="22">
                  <c:v>-29.484131282651159</c:v>
                </c:pt>
              </c:numCache>
            </c:numRef>
          </c:val>
        </c:ser>
        <c:ser>
          <c:idx val="1"/>
          <c:order val="1"/>
          <c:tx>
            <c:strRef>
              <c:f>'graphe fr'!$A$15</c:f>
              <c:strCache>
                <c:ptCount val="1"/>
                <c:pt idx="0">
                  <c:v>Evolution  passée </c:v>
                </c:pt>
              </c:strCache>
            </c:strRef>
          </c:tx>
          <c:marker>
            <c:symbol val="none"/>
          </c:marker>
          <c:cat>
            <c:strRef>
              <c:f>'graphe fr'!$B$9:$X$9</c:f>
              <c:strCache>
                <c:ptCount val="23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</c:strCache>
            </c:strRef>
          </c:cat>
          <c:val>
            <c:numRef>
              <c:f>'graphe fr'!$B$15:$X$15</c:f>
              <c:numCache>
                <c:formatCode>#,##0.0</c:formatCode>
                <c:ptCount val="23"/>
                <c:pt idx="0">
                  <c:v>-11.760493904860514</c:v>
                </c:pt>
                <c:pt idx="1">
                  <c:v>-11.376439540974218</c:v>
                </c:pt>
                <c:pt idx="2">
                  <c:v>-11.707546774199256</c:v>
                </c:pt>
                <c:pt idx="3">
                  <c:v>-9.5250570435126427</c:v>
                </c:pt>
                <c:pt idx="4">
                  <c:v>-18.438210074457299</c:v>
                </c:pt>
                <c:pt idx="5">
                  <c:v>-13.353492384896791</c:v>
                </c:pt>
                <c:pt idx="6">
                  <c:v>-8.3398771422969418</c:v>
                </c:pt>
                <c:pt idx="7">
                  <c:v>-11.02764060888175</c:v>
                </c:pt>
                <c:pt idx="8">
                  <c:v>-9.9712946623485852</c:v>
                </c:pt>
                <c:pt idx="9">
                  <c:v>-7.900036816111526</c:v>
                </c:pt>
                <c:pt idx="10">
                  <c:v>-7.5448517126855705</c:v>
                </c:pt>
                <c:pt idx="11">
                  <c:v>-12.80990794833837</c:v>
                </c:pt>
                <c:pt idx="12">
                  <c:v>-10.526395373972909</c:v>
                </c:pt>
                <c:pt idx="13">
                  <c:v>-8.9058745431594577</c:v>
                </c:pt>
                <c:pt idx="14">
                  <c:v>-6.3663328535796895</c:v>
                </c:pt>
                <c:pt idx="15">
                  <c:v>-9.800434969018438</c:v>
                </c:pt>
                <c:pt idx="16">
                  <c:v>-14.12986220998387</c:v>
                </c:pt>
                <c:pt idx="17">
                  <c:v>-16.595107957258964</c:v>
                </c:pt>
                <c:pt idx="18">
                  <c:v>-16.673706990082124</c:v>
                </c:pt>
                <c:pt idx="19">
                  <c:v>-15.707035536653336</c:v>
                </c:pt>
                <c:pt idx="20">
                  <c:v>-19.633449783694058</c:v>
                </c:pt>
                <c:pt idx="21">
                  <c:v>-23.788807201688929</c:v>
                </c:pt>
                <c:pt idx="22">
                  <c:v>-21.891965579068561</c:v>
                </c:pt>
              </c:numCache>
            </c:numRef>
          </c:val>
        </c:ser>
        <c:ser>
          <c:idx val="2"/>
          <c:order val="2"/>
          <c:tx>
            <c:strRef>
              <c:f>'graphe fr'!$A$16</c:f>
              <c:strCache>
                <c:ptCount val="1"/>
                <c:pt idx="0">
                  <c:v>Evolution  future</c:v>
                </c:pt>
              </c:strCache>
            </c:strRef>
          </c:tx>
          <c:marker>
            <c:symbol val="none"/>
          </c:marker>
          <c:cat>
            <c:strRef>
              <c:f>'graphe fr'!$B$9:$X$9</c:f>
              <c:strCache>
                <c:ptCount val="23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</c:strCache>
            </c:strRef>
          </c:cat>
          <c:val>
            <c:numRef>
              <c:f>'graphe fr'!$B$16:$X$16</c:f>
              <c:numCache>
                <c:formatCode>#,##0.0</c:formatCode>
                <c:ptCount val="23"/>
                <c:pt idx="0">
                  <c:v>23.9</c:v>
                </c:pt>
                <c:pt idx="1">
                  <c:v>15.58418860861071</c:v>
                </c:pt>
                <c:pt idx="2">
                  <c:v>16.580364039590329</c:v>
                </c:pt>
                <c:pt idx="3">
                  <c:v>26.70594184910312</c:v>
                </c:pt>
                <c:pt idx="4">
                  <c:v>26.769154239001889</c:v>
                </c:pt>
                <c:pt idx="5">
                  <c:v>21.986954089697061</c:v>
                </c:pt>
                <c:pt idx="6">
                  <c:v>17.532817766676558</c:v>
                </c:pt>
                <c:pt idx="7">
                  <c:v>17.09400625121032</c:v>
                </c:pt>
                <c:pt idx="8">
                  <c:v>17.787694440036187</c:v>
                </c:pt>
                <c:pt idx="9">
                  <c:v>11.776375704730455</c:v>
                </c:pt>
                <c:pt idx="10">
                  <c:v>7.8068380126684715</c:v>
                </c:pt>
                <c:pt idx="11">
                  <c:v>9.3656519222157506</c:v>
                </c:pt>
                <c:pt idx="12">
                  <c:v>10.223761077165181</c:v>
                </c:pt>
                <c:pt idx="13">
                  <c:v>20.354548457792731</c:v>
                </c:pt>
                <c:pt idx="14">
                  <c:v>15.105327443781253</c:v>
                </c:pt>
                <c:pt idx="15">
                  <c:v>13.999505506513676</c:v>
                </c:pt>
                <c:pt idx="16">
                  <c:v>11.230833640450301</c:v>
                </c:pt>
                <c:pt idx="17">
                  <c:v>11.136340416980383</c:v>
                </c:pt>
                <c:pt idx="18">
                  <c:v>7.6658451594012798</c:v>
                </c:pt>
                <c:pt idx="19">
                  <c:v>10.649290737183625</c:v>
                </c:pt>
                <c:pt idx="20">
                  <c:v>4.5484811189173895</c:v>
                </c:pt>
                <c:pt idx="21">
                  <c:v>0.71644439200690369</c:v>
                </c:pt>
                <c:pt idx="22">
                  <c:v>2.7930128120198785</c:v>
                </c:pt>
              </c:numCache>
            </c:numRef>
          </c:val>
        </c:ser>
        <c:marker val="1"/>
        <c:axId val="87453696"/>
        <c:axId val="87455232"/>
      </c:lineChart>
      <c:catAx>
        <c:axId val="87453696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800"/>
            </a:pPr>
            <a:endParaRPr lang="fr-FR"/>
          </a:p>
        </c:txPr>
        <c:crossAx val="87455232"/>
        <c:crosses val="autoZero"/>
        <c:auto val="1"/>
        <c:lblAlgn val="ctr"/>
        <c:lblOffset val="100"/>
      </c:catAx>
      <c:valAx>
        <c:axId val="87455232"/>
        <c:scaling>
          <c:orientation val="minMax"/>
        </c:scaling>
        <c:axPos val="l"/>
        <c:majorGridlines/>
        <c:numFmt formatCode="#,##0.0" sourceLinked="1"/>
        <c:majorTickMark val="none"/>
        <c:tickLblPos val="nextTo"/>
        <c:crossAx val="8745369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5.3968563873812082E-2"/>
          <c:y val="0.89683860975364549"/>
          <c:w val="0.8734777404780667"/>
          <c:h val="5.6250378936908409E-2"/>
        </c:manualLayout>
      </c:layout>
      <c:txPr>
        <a:bodyPr/>
        <a:lstStyle/>
        <a:p>
          <a:pPr>
            <a:defRPr sz="900" b="1"/>
          </a:pPr>
          <a:endParaRPr lang="fr-FR"/>
        </a:p>
      </c:txPr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 sz="1200"/>
            </a:pPr>
            <a:r>
              <a:rPr lang="fr-FR" sz="1200" b="1" i="0" u="none" strike="noStrike" baseline="0"/>
              <a:t>Evolution future (en %)</a:t>
            </a:r>
            <a:endParaRPr lang="fr-FR" sz="1200"/>
          </a:p>
        </c:rich>
      </c:tx>
      <c:layout>
        <c:manualLayout>
          <c:xMode val="edge"/>
          <c:yMode val="edge"/>
          <c:x val="0.12182633420822422"/>
          <c:y val="2.7826092037173431E-2"/>
        </c:manualLayout>
      </c:layout>
    </c:title>
    <c:plotArea>
      <c:layout>
        <c:manualLayout>
          <c:layoutTarget val="inner"/>
          <c:xMode val="edge"/>
          <c:yMode val="edge"/>
          <c:x val="3.6696038534441172E-2"/>
          <c:y val="0.22556979305200794"/>
          <c:w val="0.93888888888889577"/>
          <c:h val="0.61584598171877525"/>
        </c:manualLayout>
      </c:layout>
      <c:barChart>
        <c:barDir val="col"/>
        <c:grouping val="clustered"/>
        <c:ser>
          <c:idx val="0"/>
          <c:order val="0"/>
          <c:tx>
            <c:strRef>
              <c:f>'graphe fr'!$Q$110</c:f>
              <c:strCache>
                <c:ptCount val="1"/>
                <c:pt idx="0">
                  <c:v>augmentation</c:v>
                </c:pt>
              </c:strCache>
            </c:strRef>
          </c:tx>
          <c:dLbls>
            <c:showVal val="1"/>
          </c:dLbls>
          <c:cat>
            <c:strRef>
              <c:f>'graphe fr'!$R$109:$T$109</c:f>
              <c:strCache>
                <c:ptCount val="3"/>
                <c:pt idx="0">
                  <c:v>T3/12</c:v>
                </c:pt>
                <c:pt idx="1">
                  <c:v>T2/13</c:v>
                </c:pt>
                <c:pt idx="2">
                  <c:v>T3/13</c:v>
                </c:pt>
              </c:strCache>
            </c:strRef>
          </c:cat>
          <c:val>
            <c:numRef>
              <c:f>'graphe fr'!$R$110:$T$110</c:f>
              <c:numCache>
                <c:formatCode>#,##0.0%</c:formatCode>
                <c:ptCount val="3"/>
                <c:pt idx="0">
                  <c:v>0.75516565900177568</c:v>
                </c:pt>
                <c:pt idx="1">
                  <c:v>0.75298621548061362</c:v>
                </c:pt>
                <c:pt idx="2">
                  <c:v>0.76683781813050256</c:v>
                </c:pt>
              </c:numCache>
            </c:numRef>
          </c:val>
        </c:ser>
        <c:ser>
          <c:idx val="1"/>
          <c:order val="1"/>
          <c:tx>
            <c:strRef>
              <c:f>'graphe fr'!$Q$111</c:f>
              <c:strCache>
                <c:ptCount val="1"/>
                <c:pt idx="0">
                  <c:v>stagnation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22,</a:t>
                    </a:r>
                    <a:r>
                      <a:rPr lang="ar-MA" sz="800"/>
                      <a:t>6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000"/>
                      <a:t>22,</a:t>
                    </a:r>
                    <a:r>
                      <a:rPr lang="ar-MA" sz="800"/>
                      <a:t>8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showVal val="1"/>
          </c:dLbls>
          <c:cat>
            <c:strRef>
              <c:f>'graphe fr'!$R$109:$T$109</c:f>
              <c:strCache>
                <c:ptCount val="3"/>
                <c:pt idx="0">
                  <c:v>T3/12</c:v>
                </c:pt>
                <c:pt idx="1">
                  <c:v>T2/13</c:v>
                </c:pt>
                <c:pt idx="2">
                  <c:v>T3/13</c:v>
                </c:pt>
              </c:strCache>
            </c:strRef>
          </c:cat>
          <c:val>
            <c:numRef>
              <c:f>'graphe fr'!$R$111:$T$111</c:f>
              <c:numCache>
                <c:formatCode>#,##0.0%</c:formatCode>
                <c:ptCount val="3"/>
                <c:pt idx="0">
                  <c:v>0.2254523966607867</c:v>
                </c:pt>
                <c:pt idx="1">
                  <c:v>0.22700000000000001</c:v>
                </c:pt>
                <c:pt idx="2">
                  <c:v>0.22639892300025333</c:v>
                </c:pt>
              </c:numCache>
            </c:numRef>
          </c:val>
        </c:ser>
        <c:ser>
          <c:idx val="2"/>
          <c:order val="2"/>
          <c:tx>
            <c:strRef>
              <c:f>'graphe fr'!$Q$112</c:f>
              <c:strCache>
                <c:ptCount val="1"/>
                <c:pt idx="0">
                  <c:v>diminution</c:v>
                </c:pt>
              </c:strCache>
            </c:strRef>
          </c:tx>
          <c:dLbls>
            <c:showVal val="1"/>
          </c:dLbls>
          <c:cat>
            <c:strRef>
              <c:f>'graphe fr'!$R$109:$T$109</c:f>
              <c:strCache>
                <c:ptCount val="3"/>
                <c:pt idx="0">
                  <c:v>T3/12</c:v>
                </c:pt>
                <c:pt idx="1">
                  <c:v>T2/13</c:v>
                </c:pt>
                <c:pt idx="2">
                  <c:v>T3/13</c:v>
                </c:pt>
              </c:strCache>
            </c:strRef>
          </c:cat>
          <c:val>
            <c:numRef>
              <c:f>'graphe fr'!$R$112:$T$112</c:f>
              <c:numCache>
                <c:formatCode>#,##0.0%</c:formatCode>
                <c:ptCount val="3"/>
                <c:pt idx="0">
                  <c:v>1.9381944337437205E-2</c:v>
                </c:pt>
                <c:pt idx="1">
                  <c:v>1.9436501443296682E-2</c:v>
                </c:pt>
                <c:pt idx="2">
                  <c:v>6.7632588692425931E-3</c:v>
                </c:pt>
              </c:numCache>
            </c:numRef>
          </c:val>
        </c:ser>
        <c:gapWidth val="75"/>
        <c:overlap val="-25"/>
        <c:axId val="87636992"/>
        <c:axId val="97982336"/>
      </c:barChart>
      <c:catAx>
        <c:axId val="87636992"/>
        <c:scaling>
          <c:orientation val="minMax"/>
        </c:scaling>
        <c:axPos val="b"/>
        <c:majorTickMark val="none"/>
        <c:tickLblPos val="nextTo"/>
        <c:crossAx val="97982336"/>
        <c:crosses val="autoZero"/>
        <c:auto val="1"/>
        <c:lblAlgn val="ctr"/>
        <c:lblOffset val="100"/>
      </c:catAx>
      <c:valAx>
        <c:axId val="97982336"/>
        <c:scaling>
          <c:orientation val="minMax"/>
        </c:scaling>
        <c:delete val="1"/>
        <c:axPos val="l"/>
        <c:numFmt formatCode="#,##0.0%" sourceLinked="1"/>
        <c:majorTickMark val="none"/>
        <c:tickLblPos val="none"/>
        <c:crossAx val="87636992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fr-FR" sz="1200" b="1" i="0" baseline="0"/>
              <a:t>Evolution passée (en %)</a:t>
            </a:r>
            <a:endParaRPr lang="fr-FR" sz="1200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fr-FR" sz="1200"/>
              <a:t> </a:t>
            </a:r>
          </a:p>
        </c:rich>
      </c:tx>
    </c:title>
    <c:plotArea>
      <c:layout>
        <c:manualLayout>
          <c:layoutTarget val="inner"/>
          <c:xMode val="edge"/>
          <c:yMode val="edge"/>
          <c:x val="4.7008547008547022E-2"/>
          <c:y val="0.15227882037533524"/>
          <c:w val="0.90598290598290232"/>
          <c:h val="0.68842259328843969"/>
        </c:manualLayout>
      </c:layout>
      <c:barChart>
        <c:barDir val="col"/>
        <c:grouping val="clustered"/>
        <c:ser>
          <c:idx val="0"/>
          <c:order val="0"/>
          <c:tx>
            <c:strRef>
              <c:f>'graphe fr'!$Q$114</c:f>
              <c:strCache>
                <c:ptCount val="1"/>
                <c:pt idx="0">
                  <c:v>augmentation</c:v>
                </c:pt>
              </c:strCache>
            </c:strRef>
          </c:tx>
          <c:dLbls>
            <c:showVal val="1"/>
          </c:dLbls>
          <c:cat>
            <c:strRef>
              <c:f>'graphe fr'!$R$109:$T$109</c:f>
              <c:strCache>
                <c:ptCount val="3"/>
                <c:pt idx="0">
                  <c:v>T3/12</c:v>
                </c:pt>
                <c:pt idx="1">
                  <c:v>T2/13</c:v>
                </c:pt>
                <c:pt idx="2">
                  <c:v>T3/13</c:v>
                </c:pt>
              </c:strCache>
            </c:strRef>
          </c:cat>
          <c:val>
            <c:numRef>
              <c:f>'graphe fr'!$R$114:$T$114</c:f>
              <c:numCache>
                <c:formatCode>#,##0.0%</c:formatCode>
                <c:ptCount val="3"/>
                <c:pt idx="0">
                  <c:v>0.9224075505494197</c:v>
                </c:pt>
                <c:pt idx="1">
                  <c:v>0.8996799224194143</c:v>
                </c:pt>
                <c:pt idx="2">
                  <c:v>0.91438433149499432</c:v>
                </c:pt>
              </c:numCache>
            </c:numRef>
          </c:val>
        </c:ser>
        <c:ser>
          <c:idx val="1"/>
          <c:order val="1"/>
          <c:tx>
            <c:strRef>
              <c:f>'graphe fr'!$Q$115</c:f>
              <c:strCache>
                <c:ptCount val="1"/>
                <c:pt idx="0">
                  <c:v>stagnation</c:v>
                </c:pt>
              </c:strCache>
            </c:strRef>
          </c:tx>
          <c:dLbls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7,</a:t>
                    </a:r>
                    <a:r>
                      <a:rPr lang="ar-MA" sz="800"/>
                      <a:t>7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showVal val="1"/>
          </c:dLbls>
          <c:cat>
            <c:strRef>
              <c:f>'graphe fr'!$R$109:$T$109</c:f>
              <c:strCache>
                <c:ptCount val="3"/>
                <c:pt idx="0">
                  <c:v>T3/12</c:v>
                </c:pt>
                <c:pt idx="1">
                  <c:v>T2/13</c:v>
                </c:pt>
                <c:pt idx="2">
                  <c:v>T3/13</c:v>
                </c:pt>
              </c:strCache>
            </c:strRef>
          </c:cat>
          <c:val>
            <c:numRef>
              <c:f>'graphe fr'!$R$115:$T$115</c:f>
              <c:numCache>
                <c:formatCode>#,##0.0%</c:formatCode>
                <c:ptCount val="3"/>
                <c:pt idx="0">
                  <c:v>7.1721381787496916E-2</c:v>
                </c:pt>
                <c:pt idx="1">
                  <c:v>9.0277946086739225E-2</c:v>
                </c:pt>
                <c:pt idx="2">
                  <c:v>7.6311149928791414E-2</c:v>
                </c:pt>
              </c:numCache>
            </c:numRef>
          </c:val>
        </c:ser>
        <c:ser>
          <c:idx val="2"/>
          <c:order val="2"/>
          <c:tx>
            <c:strRef>
              <c:f>'graphe fr'!$Q$116</c:f>
              <c:strCache>
                <c:ptCount val="1"/>
                <c:pt idx="0">
                  <c:v>diminution</c:v>
                </c:pt>
              </c:strCache>
            </c:strRef>
          </c:tx>
          <c:dLbls>
            <c:showVal val="1"/>
          </c:dLbls>
          <c:cat>
            <c:strRef>
              <c:f>'graphe fr'!$R$109:$T$109</c:f>
              <c:strCache>
                <c:ptCount val="3"/>
                <c:pt idx="0">
                  <c:v>T3/12</c:v>
                </c:pt>
                <c:pt idx="1">
                  <c:v>T2/13</c:v>
                </c:pt>
                <c:pt idx="2">
                  <c:v>T3/13</c:v>
                </c:pt>
              </c:strCache>
            </c:strRef>
          </c:cat>
          <c:val>
            <c:numRef>
              <c:f>'graphe fr'!$R$116:$T$116</c:f>
              <c:numCache>
                <c:formatCode>#,##0.0%</c:formatCode>
                <c:ptCount val="3"/>
                <c:pt idx="0">
                  <c:v>5.871067663083312E-3</c:v>
                </c:pt>
                <c:pt idx="1">
                  <c:v>1.004213149384707E-2</c:v>
                </c:pt>
                <c:pt idx="2">
                  <c:v>9.3045185762115866E-3</c:v>
                </c:pt>
              </c:numCache>
            </c:numRef>
          </c:val>
        </c:ser>
        <c:gapWidth val="75"/>
        <c:overlap val="-25"/>
        <c:axId val="106617088"/>
        <c:axId val="106757120"/>
      </c:barChart>
      <c:catAx>
        <c:axId val="106617088"/>
        <c:scaling>
          <c:orientation val="minMax"/>
        </c:scaling>
        <c:axPos val="b"/>
        <c:majorTickMark val="none"/>
        <c:tickLblPos val="nextTo"/>
        <c:crossAx val="106757120"/>
        <c:crosses val="autoZero"/>
        <c:auto val="1"/>
        <c:lblAlgn val="ctr"/>
        <c:lblOffset val="100"/>
      </c:catAx>
      <c:valAx>
        <c:axId val="106757120"/>
        <c:scaling>
          <c:orientation val="minMax"/>
        </c:scaling>
        <c:delete val="1"/>
        <c:axPos val="l"/>
        <c:numFmt formatCode="#,##0.0%" sourceLinked="1"/>
        <c:majorTickMark val="none"/>
        <c:tickLblPos val="none"/>
        <c:crossAx val="106617088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5CFFE-D0F5-46D1-8D02-0B136A4BB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1337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8675</CharactersWithSpaces>
  <SharedDoc>false</SharedDoc>
  <HLinks>
    <vt:vector size="6" baseType="variant">
      <vt:variant>
        <vt:i4>7405692</vt:i4>
      </vt:variant>
      <vt:variant>
        <vt:i4>0</vt:i4>
      </vt:variant>
      <vt:variant>
        <vt:i4>0</vt:i4>
      </vt:variant>
      <vt:variant>
        <vt:i4>5</vt:i4>
      </vt:variant>
      <vt:variant>
        <vt:lpwstr>http://www.hcp.ma/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user</cp:lastModifiedBy>
  <cp:revision>4</cp:revision>
  <cp:lastPrinted>2013-11-15T14:39:00Z</cp:lastPrinted>
  <dcterms:created xsi:type="dcterms:W3CDTF">2013-11-15T18:31:00Z</dcterms:created>
  <dcterms:modified xsi:type="dcterms:W3CDTF">2013-11-15T18:36:00Z</dcterms:modified>
</cp:coreProperties>
</file>