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B5154" w:rsidRPr="00305222" w:rsidRDefault="003C6FDB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الثالث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من سنة 2013</w:t>
      </w:r>
    </w:p>
    <w:p w:rsidR="00FB5154" w:rsidRPr="00892060" w:rsidRDefault="00FB5154" w:rsidP="00FB5154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FB5154" w:rsidRPr="000F5040" w:rsidRDefault="00FB5154" w:rsidP="00854788">
      <w:pPr>
        <w:bidi/>
        <w:spacing w:before="240" w:line="36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للتخطيط، أن مؤشر ثقة الأسر قد سجل خلال </w:t>
      </w:r>
      <w:r w:rsidR="003C6FD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الثالث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 2013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25AD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تحسنا طفيفا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قدر ب </w:t>
      </w:r>
      <w:r w:rsidR="00105F6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1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225AD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</w:t>
      </w:r>
      <w:r w:rsidRPr="000F5040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نقط</w:t>
      </w:r>
      <w:r w:rsidR="00506AE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ة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مقارنة مع </w:t>
      </w:r>
      <w:r w:rsidR="003C6FD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الثاني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105F6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A508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25AD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تدهورا قدر ب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25AD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2,2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نقاط </w:t>
      </w:r>
      <w:r w:rsidRPr="00E32A8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نفس الفصل من سنة </w:t>
      </w:r>
      <w:r w:rsidR="008A508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2012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9569BA" w:rsidRDefault="00933226" w:rsidP="00854788">
      <w:pPr>
        <w:bidi/>
        <w:spacing w:before="240" w:line="36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هكذا، استقر</w:t>
      </w:r>
      <w:r w:rsidR="00052202"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052202"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52202"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52202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(غير معالج من التأثيرات الموسمية)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3C6FD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2013، في 7</w:t>
      </w:r>
      <w:r w:rsidR="00E64B0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B515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64B0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مقابل 7</w:t>
      </w:r>
      <w:r w:rsidR="00E64B0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64B0A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FB515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السابق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E64B0A">
        <w:rPr>
          <w:rFonts w:ascii="Times New Roman" w:hAnsi="Times New Roman" w:cs="Simplified Arabic" w:hint="cs"/>
          <w:sz w:val="28"/>
          <w:szCs w:val="28"/>
          <w:rtl/>
          <w:lang w:bidi="ar-MA"/>
        </w:rPr>
        <w:t>77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64B0A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B5154" w:rsidRPr="009907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السابقة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9569BA" w:rsidRDefault="009569BA" w:rsidP="009569BA">
      <w:pPr>
        <w:bidi/>
        <w:jc w:val="both"/>
        <w:rPr>
          <w:rFonts w:cs="Simplified Arabic"/>
          <w:rtl/>
          <w:lang w:bidi="ar-MA"/>
        </w:rPr>
      </w:pPr>
    </w:p>
    <w:p w:rsidR="00FB5154" w:rsidRDefault="00951643" w:rsidP="00854788">
      <w:pPr>
        <w:bidi/>
        <w:spacing w:line="276" w:lineRule="auto"/>
        <w:jc w:val="center"/>
        <w:rPr>
          <w:rFonts w:cs="Simplified Arabic"/>
          <w:noProof/>
          <w:rtl/>
          <w:lang w:bidi="ar-MA"/>
        </w:rPr>
      </w:pPr>
      <w:r w:rsidRPr="00951643">
        <w:rPr>
          <w:rFonts w:cs="Simplified Arabic"/>
          <w:noProof/>
          <w:rtl/>
        </w:rPr>
        <w:drawing>
          <wp:inline distT="0" distB="0" distL="0" distR="0">
            <wp:extent cx="5355206" cy="2778712"/>
            <wp:effectExtent l="19050" t="0" r="16894" b="2588"/>
            <wp:docPr id="8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5154" w:rsidRDefault="00FB5154" w:rsidP="00FB5154">
      <w:pPr>
        <w:bidi/>
        <w:jc w:val="both"/>
        <w:rPr>
          <w:rFonts w:cs="Simplified Arabic"/>
          <w:noProof/>
          <w:rtl/>
        </w:rPr>
      </w:pPr>
    </w:p>
    <w:p w:rsidR="00BF5CFA" w:rsidRDefault="00A214E5" w:rsidP="00437A53">
      <w:pPr>
        <w:bidi/>
        <w:spacing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يرجع تطور مؤشر الثقة  للتطورات المتباينة لمختلف مكوناته.</w:t>
      </w:r>
    </w:p>
    <w:p w:rsidR="00FB5154" w:rsidRDefault="00FB5154" w:rsidP="00437A53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تطور مكون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ات </w:t>
      </w: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مؤشر الثقة</w:t>
      </w:r>
    </w:p>
    <w:p w:rsidR="00FB5154" w:rsidRPr="003E265E" w:rsidRDefault="00FB5154" w:rsidP="00437A53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</w:t>
      </w:r>
      <w:r w:rsidR="001D288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="001D288C"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لمعيشة</w:t>
      </w:r>
      <w:r w:rsidR="001D288C">
        <w:rPr>
          <w:rFonts w:ascii="Times New Roman" w:hAnsi="Times New Roman" w:cs="Simplified Arabic"/>
          <w:b/>
          <w:bCs/>
          <w:sz w:val="30"/>
          <w:szCs w:val="30"/>
          <w:lang w:bidi="ar-MA"/>
        </w:rPr>
        <w:t>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E862E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ارتفاع طفيف لثقة الأسر</w:t>
      </w:r>
    </w:p>
    <w:p w:rsidR="00561537" w:rsidRDefault="00D212C6" w:rsidP="00854788">
      <w:pPr>
        <w:widowControl/>
        <w:autoSpaceDE/>
        <w:autoSpaceDN/>
        <w:bidi/>
        <w:adjustRightInd/>
        <w:spacing w:after="200" w:line="36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عرفت آراء الأسر فيما يخص التطور السابق لمستوى المعيشة بالمغرب</w:t>
      </w:r>
      <w:r w:rsidR="001D288C" w:rsidRP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الثالث من سنة 2013 سواء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بالمقارنة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مع نفس الفترة من 2012 حيث ارتفع رصيد هذا المؤشر ب 1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و ب 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هاتين الفترتين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التوالي.</w:t>
      </w:r>
    </w:p>
    <w:p w:rsidR="00267C04" w:rsidRDefault="001604B1" w:rsidP="00854788">
      <w:pPr>
        <w:widowControl/>
        <w:autoSpaceDE/>
        <w:autoSpaceDN/>
        <w:bidi/>
        <w:adjustRightInd/>
        <w:spacing w:after="200" w:line="36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lastRenderedPageBreak/>
        <w:t>وقد سجل رصيد الآراء المتعلقة بالتطور المستقبل</w:t>
      </w:r>
      <w:r w:rsidR="00D03997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P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لمستوى المعيشة ك</w:t>
      </w:r>
      <w:r w:rsidR="002D59E5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تحسنا قدر ب </w:t>
      </w:r>
      <w:r w:rsidR="00096DF6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096DF6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096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D44881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 و شبه استقرار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0,1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بالمقارنة مع نفس الفترة من 2012</w:t>
      </w:r>
      <w:r w:rsidR="00267C0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951643" w:rsidP="00FB5154">
      <w:pPr>
        <w:widowControl/>
        <w:autoSpaceDE/>
        <w:autoSpaceDN/>
        <w:bidi/>
        <w:adjustRightInd/>
        <w:spacing w:after="200" w:line="276" w:lineRule="auto"/>
        <w:jc w:val="center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951643">
        <w:rPr>
          <w:rFonts w:ascii="Times New Roman" w:hAnsi="Times New Roman" w:cs="Simplified Arabic"/>
          <w:b/>
          <w:bCs/>
          <w:noProof/>
          <w:sz w:val="30"/>
          <w:szCs w:val="30"/>
          <w:rtl/>
        </w:rPr>
        <w:drawing>
          <wp:inline distT="0" distB="0" distL="0" distR="0">
            <wp:extent cx="5320701" cy="2478693"/>
            <wp:effectExtent l="19050" t="0" r="13299" b="0"/>
            <wp:docPr id="9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542A" w:rsidRPr="000C542A" w:rsidRDefault="000C542A" w:rsidP="000C542A">
      <w:pPr>
        <w:pStyle w:val="Paragraphedeliste"/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Pr="00DC2D0E" w:rsidRDefault="00D03997" w:rsidP="00437A53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6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تطور </w:t>
      </w:r>
      <w:r w:rsidR="00FB515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</w:t>
      </w:r>
      <w:r w:rsidR="00FB5154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 w:rsidR="00FB515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D554A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</w:t>
      </w:r>
      <w:r w:rsidR="00FB515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ارتفاع</w:t>
      </w:r>
      <w:r w:rsidR="00944BCB">
        <w:rPr>
          <w:rFonts w:ascii="Times New Roman" w:hAnsi="Times New Roman" w:cs="Simplified Arabic"/>
          <w:b/>
          <w:bCs/>
          <w:sz w:val="30"/>
          <w:szCs w:val="30"/>
          <w:lang w:bidi="ar-MA"/>
        </w:rPr>
        <w:t xml:space="preserve"> </w:t>
      </w:r>
      <w:r w:rsidR="00C41EE9" w:rsidRPr="00C41EE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في عدد العاطلين</w:t>
      </w:r>
    </w:p>
    <w:p w:rsidR="00FB5154" w:rsidRDefault="003E2DE1" w:rsidP="00437A53">
      <w:pPr>
        <w:widowControl/>
        <w:autoSpaceDE/>
        <w:autoSpaceDN/>
        <w:bidi/>
        <w:adjustRightInd/>
        <w:spacing w:after="200" w:line="36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C6FD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2013،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تتوقع 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533E6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33E6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41EE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C41EE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6</w:t>
      </w:r>
      <w:r w:rsidR="00533E6F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33E6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 من قبل. </w:t>
      </w:r>
      <w:r w:rsidR="003639B6"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 </w:t>
      </w:r>
      <w:r w:rsidR="003F1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سلبي يقدر 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F325B2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69</w:t>
      </w:r>
      <w:r w:rsidR="003F16A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5717B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متابعا ب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منحاه التناقصي ليصل </w:t>
      </w:r>
      <w:r w:rsidR="0085717B">
        <w:rPr>
          <w:rFonts w:ascii="Times New Roman" w:hAnsi="Times New Roman" w:cs="Simplified Arabic" w:hint="cs"/>
          <w:sz w:val="28"/>
          <w:szCs w:val="28"/>
          <w:rtl/>
          <w:lang w:bidi="ar-MA"/>
        </w:rPr>
        <w:t>إلى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أقل مستوى له منذ بداية البحث</w:t>
      </w:r>
      <w:r w:rsidR="00533E6F">
        <w:rPr>
          <w:rFonts w:ascii="Times New Roman" w:hAnsi="Times New Roman" w:cs="Simplified Arabic" w:hint="cs"/>
          <w:sz w:val="28"/>
          <w:szCs w:val="28"/>
          <w:rtl/>
          <w:lang w:bidi="ar-MA"/>
        </w:rPr>
        <w:t>. و هك</w:t>
      </w:r>
      <w:r w:rsidR="002D59E5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533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ا،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سجل </w:t>
      </w:r>
      <w:r w:rsidR="00533E6F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</w:t>
      </w:r>
      <w:r w:rsidR="002D59E5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533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المؤشر </w:t>
      </w:r>
      <w:r w:rsidR="007C11A7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تدهورا</w:t>
      </w:r>
      <w:r w:rsidR="00533E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قدر بنقطتين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 و ب 1</w:t>
      </w:r>
      <w:r w:rsidR="00533E6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5717B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مقارنة مع نفس الفصل من 201</w:t>
      </w:r>
      <w:r w:rsidR="00AB4028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2E5376" w:rsidP="00FB5154">
      <w:pPr>
        <w:rPr>
          <w:rtl/>
          <w:lang w:bidi="ar-MA"/>
        </w:rPr>
      </w:pPr>
      <w:r w:rsidRPr="002E5376">
        <w:rPr>
          <w:noProof/>
        </w:rPr>
        <w:drawing>
          <wp:inline distT="0" distB="0" distL="0" distR="0">
            <wp:extent cx="5372460" cy="2809036"/>
            <wp:effectExtent l="19050" t="0" r="18690" b="0"/>
            <wp:docPr id="10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5376" w:rsidRDefault="002E5376" w:rsidP="002E5376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2E5376" w:rsidRDefault="002E5376" w:rsidP="002E5376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C55871" w:rsidRDefault="00C55871" w:rsidP="00C55871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FB5154" w:rsidRDefault="00695597" w:rsidP="00AC16BF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/>
          <w:b/>
          <w:bCs/>
          <w:sz w:val="28"/>
          <w:szCs w:val="28"/>
          <w:lang w:bidi="ar-MA"/>
        </w:rPr>
        <w:t> 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ظرف</w:t>
      </w:r>
      <w:r w:rsidR="00AC16B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ية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غير ملائمة للقيام بشراء السلع المستديمة</w:t>
      </w:r>
    </w:p>
    <w:p w:rsidR="00B60126" w:rsidRDefault="000E0292" w:rsidP="00C41EE9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الثالث من سنة 2013،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اعتبر أكثر من 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مستديمة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أن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 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 و</w:t>
      </w:r>
      <w:r w:rsidR="00C41EE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رغم أن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41EE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استقر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مستواه المسجل خلال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ترة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2012 </w:t>
      </w:r>
      <w:r w:rsidR="00C41EE9">
        <w:rPr>
          <w:rFonts w:ascii="Times New Roman" w:hAnsi="Times New Roman" w:cs="Simplified Arabic"/>
          <w:sz w:val="28"/>
          <w:szCs w:val="28"/>
          <w:lang w:bidi="ar-MA"/>
        </w:rPr>
        <w:t>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29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C41EE9">
        <w:rPr>
          <w:rFonts w:ascii="Times New Roman" w:hAnsi="Times New Roman" w:cs="Simplified Arabic"/>
          <w:sz w:val="28"/>
          <w:szCs w:val="28"/>
          <w:lang w:bidi="ar-MA"/>
        </w:rPr>
        <w:t>(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41EE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إلا أنه </w:t>
      </w:r>
      <w:r w:rsidR="0024601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عرف تحسنا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04405A" w:rsidP="00FB5154">
      <w:pPr>
        <w:rPr>
          <w:rtl/>
        </w:rPr>
      </w:pPr>
      <w:r w:rsidRPr="0004405A">
        <w:rPr>
          <w:noProof/>
        </w:rPr>
        <w:t xml:space="preserve"> </w:t>
      </w:r>
      <w:r w:rsidRPr="0004405A">
        <w:rPr>
          <w:noProof/>
        </w:rPr>
        <w:drawing>
          <wp:inline distT="0" distB="0" distL="0" distR="0">
            <wp:extent cx="5297362" cy="2363638"/>
            <wp:effectExtent l="19050" t="0" r="17588" b="0"/>
            <wp:docPr id="11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52A5" w:rsidRPr="007E52A5" w:rsidRDefault="007E52A5" w:rsidP="007E52A5">
      <w:pPr>
        <w:pStyle w:val="Paragraphedeliste"/>
        <w:widowControl/>
        <w:autoSpaceDE/>
        <w:autoSpaceDN/>
        <w:bidi/>
        <w:adjustRightInd/>
        <w:spacing w:after="200" w:line="380" w:lineRule="exact"/>
        <w:ind w:left="50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Pr="007E52A5" w:rsidRDefault="00AC16BF" w:rsidP="00437A53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6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 لتحسن طفيف</w:t>
      </w:r>
      <w:r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26219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وضعية</w:t>
      </w:r>
      <w:r w:rsidR="0003741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26219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مالية</w:t>
      </w:r>
      <w:r w:rsidR="0026219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للأسر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B5154" w:rsidRDefault="00FB5154" w:rsidP="00437A53">
      <w:pPr>
        <w:widowControl/>
        <w:autoSpaceDE/>
        <w:autoSpaceDN/>
        <w:bidi/>
        <w:adjustRightInd/>
        <w:spacing w:after="200" w:line="360" w:lineRule="exact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بالنسبة ل</w:t>
      </w:r>
      <w:r w:rsidR="004744D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96626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4744D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66260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الأسر، فإن مداخيلها  تغطي  مصاريفها في حين 3</w:t>
      </w:r>
      <w:r w:rsidR="004744D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66260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تستنزف من مدخراتها أو </w:t>
      </w:r>
      <w:r w:rsidR="00A83C1A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الاستدان.  </w:t>
      </w:r>
      <w:r w:rsidR="001A0B0C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>سوى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6626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66260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صرحت بتمكنها من ادخار جزء من مدخولها. وهكذا استقر رصيد مؤشر </w:t>
      </w:r>
      <w:r w:rsidR="002124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الوضعية المالية الحالية للأسر في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قدر ب </w:t>
      </w:r>
      <w:r w:rsidR="008B3A54">
        <w:rPr>
          <w:rFonts w:ascii="Times New Roman" w:hAnsi="Times New Roman" w:cs="Simplified Arabic" w:hint="cs"/>
          <w:sz w:val="28"/>
          <w:szCs w:val="28"/>
          <w:rtl/>
          <w:lang w:bidi="ar-MA"/>
        </w:rPr>
        <w:t>29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B3A54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مسجلا بذلك 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ارتفاعا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قدر ب</w:t>
      </w:r>
      <w:r w:rsidR="008B3A5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B3A5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سنة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</w:t>
      </w:r>
      <w:r w:rsidR="002B56E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C940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B56E7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B3A54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040872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2447B7" w:rsidRDefault="00FB5154" w:rsidP="00437A53">
      <w:pPr>
        <w:widowControl/>
        <w:autoSpaceDE/>
        <w:autoSpaceDN/>
        <w:bidi/>
        <w:adjustRightInd/>
        <w:spacing w:after="200" w:line="360" w:lineRule="exact"/>
        <w:ind w:left="283" w:hanging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بالنسبة للتطور الساب</w:t>
      </w:r>
      <w:r w:rsidR="00B35F0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ق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المستقبلي 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2C315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فقد عرفت آراء الأسر 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حسنا </w:t>
      </w:r>
      <w:r w:rsidR="006813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قدر ب 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ة و ب 2,1 نقاط </w:t>
      </w:r>
      <w:r w:rsidR="002C315C"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التوالي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</w:t>
      </w:r>
      <w:r w:rsidR="00B35F0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فصل من قبل 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حين انخفض</w:t>
      </w:r>
      <w:r w:rsidR="002C315C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,2 </w:t>
      </w:r>
      <w:r w:rsidR="000708E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نقاط 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4,9 نقاط 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6A64D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 2012.</w:t>
      </w:r>
    </w:p>
    <w:p w:rsidR="00FB5154" w:rsidRDefault="00897A03" w:rsidP="00FB5154">
      <w:pPr>
        <w:rPr>
          <w:rtl/>
          <w:lang w:bidi="ar-MA"/>
        </w:rPr>
      </w:pPr>
      <w:r w:rsidRPr="00897A03">
        <w:rPr>
          <w:noProof/>
        </w:rPr>
        <w:drawing>
          <wp:inline distT="0" distB="0" distL="0" distR="0">
            <wp:extent cx="5260316" cy="2586020"/>
            <wp:effectExtent l="19050" t="0" r="16534" b="4780"/>
            <wp:docPr id="12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5154" w:rsidRPr="00A343E7" w:rsidRDefault="00FB5154" w:rsidP="00C55871">
      <w:pPr>
        <w:widowControl/>
        <w:autoSpaceDE/>
        <w:autoSpaceDN/>
        <w:bidi/>
        <w:adjustRightInd/>
        <w:spacing w:before="240" w:after="200" w:line="36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2. تطور مؤشرات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أخرى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آراء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</w:t>
      </w:r>
    </w:p>
    <w:p w:rsidR="00FB5154" w:rsidRDefault="00FB5154" w:rsidP="00C55871">
      <w:pPr>
        <w:widowControl/>
        <w:autoSpaceDE/>
        <w:autoSpaceDN/>
        <w:bidi/>
        <w:adjustRightInd/>
        <w:spacing w:after="200" w:line="36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بالإضافة إلى المؤشرات السبع المكونة لمؤشر الثقة للأسر، يوفر البحث معطيات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مجالات أخرى.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يتعلق الأمر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 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أثمنة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5693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المواد الغذائية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على الخصوص.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C1247B" w:rsidRPr="00C1247B" w:rsidRDefault="006A1177" w:rsidP="00C55871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6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قدر</w:t>
      </w:r>
      <w:r w:rsidR="00FA0F2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 على الادخار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0D79A1" w:rsidRPr="00C1247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تشاؤم </w:t>
      </w:r>
      <w:r w:rsidR="00AC16B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ثابت</w:t>
      </w:r>
    </w:p>
    <w:p w:rsidR="001C4A0B" w:rsidRDefault="007B2624" w:rsidP="00C55871">
      <w:pPr>
        <w:widowControl/>
        <w:autoSpaceDE/>
        <w:autoSpaceDN/>
        <w:bidi/>
        <w:adjustRightInd/>
        <w:spacing w:after="200" w:line="360" w:lineRule="exact"/>
        <w:ind w:left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عبرت الأسر، خلال </w:t>
      </w:r>
      <w:r w:rsidR="003C6FD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2013، عن آراء أكثر تشاؤما فيما يخص قدرتها على الادخار خلال الشه</w:t>
      </w:r>
      <w:r w:rsidR="00313D8D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ر القادمة. ف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أكثر من ثماني أسر من كل عشرة (8</w:t>
      </w:r>
      <w:r w:rsidR="00CB504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B504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B5154" w:rsidRPr="00C1247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 ب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عدم قدرتها على </w:t>
      </w:r>
      <w:r w:rsidR="001C4A0B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12 شهرا المقبلة مقابل 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CB504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B504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C1247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</w:t>
      </w:r>
      <w:r w:rsidR="007B278D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لك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996A25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لك استق</w:t>
      </w:r>
      <w:r w:rsidR="00C062A5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ر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سلبي يقدر </w:t>
      </w:r>
      <w:r w:rsidR="00C062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CB504D">
        <w:rPr>
          <w:rFonts w:ascii="Times New Roman" w:hAnsi="Times New Roman" w:cs="Simplified Arabic" w:hint="cs"/>
          <w:sz w:val="28"/>
          <w:szCs w:val="28"/>
          <w:rtl/>
          <w:lang w:bidi="ar-MA"/>
        </w:rPr>
        <w:t>69</w:t>
      </w:r>
      <w:r w:rsidR="007D761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B504D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DC038B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013F2C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013F2C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13F2C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013F2C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مقارنة مع الفصل السابق وب </w:t>
      </w:r>
      <w:r w:rsidR="00013F2C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0595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DC038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1C4A0B">
        <w:rPr>
          <w:rFonts w:ascii="Times New Roman" w:hAnsi="Times New Roman" w:cs="Simplified Arabic" w:hint="cs"/>
          <w:sz w:val="28"/>
          <w:szCs w:val="28"/>
          <w:rtl/>
          <w:lang w:bidi="ar-MA"/>
        </w:rPr>
        <w:t>ط مقارنة مع نفس الفصل من 2012.</w:t>
      </w:r>
      <w:r w:rsidR="001C4A0B"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FB5154" w:rsidRDefault="00FB5154" w:rsidP="00C55871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60" w:lineRule="exact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أثمنة المواد الغذائية</w:t>
      </w:r>
      <w:r w:rsidR="003A5AEE" w:rsidRPr="002610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</w:t>
      </w:r>
      <w:r w:rsidR="002610C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AC16B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 ل</w:t>
      </w:r>
      <w:r w:rsidR="002610CC" w:rsidRPr="002610CC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>تحسن طفيف</w:t>
      </w:r>
      <w:r w:rsidR="003A5AE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 </w:t>
      </w:r>
    </w:p>
    <w:p w:rsidR="00FF6791" w:rsidRPr="0077123D" w:rsidRDefault="00FF6791" w:rsidP="00C55871">
      <w:pPr>
        <w:pStyle w:val="Paragraphedeliste"/>
        <w:widowControl/>
        <w:autoSpaceDE/>
        <w:autoSpaceDN/>
        <w:bidi/>
        <w:adjustRightInd/>
        <w:spacing w:after="200" w:line="360" w:lineRule="exact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D80851" w:rsidRPr="00D80851" w:rsidRDefault="00D80851" w:rsidP="00C55871">
      <w:pPr>
        <w:pStyle w:val="Paragraphedeliste"/>
        <w:widowControl/>
        <w:autoSpaceDE/>
        <w:autoSpaceDN/>
        <w:bidi/>
        <w:adjustRightInd/>
        <w:spacing w:line="360" w:lineRule="exact"/>
        <w:ind w:left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3C6FD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2013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03926">
        <w:rPr>
          <w:rFonts w:ascii="Times New Roman" w:hAnsi="Times New Roman" w:cs="Simplified Arabic" w:hint="cs"/>
          <w:sz w:val="28"/>
          <w:szCs w:val="28"/>
          <w:rtl/>
          <w:lang w:bidi="ar-MA"/>
        </w:rPr>
        <w:t>تمثل ل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أزيد من </w:t>
      </w:r>
      <w:r w:rsidR="003915CF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8A2D3E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A2D3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أثمنة المواد الغذائية  عرفت ارتفاعا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السابق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 9</w:t>
      </w:r>
      <w:r w:rsidR="008A2D3E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فصل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من قبل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8A2D3E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A2D3E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472F8A">
        <w:rPr>
          <w:rFonts w:ascii="Times New Roman" w:hAnsi="Times New Roman" w:cs="Simplified Arabic" w:hint="cs"/>
          <w:sz w:val="28"/>
          <w:szCs w:val="28"/>
          <w:rtl/>
          <w:lang w:bidi="ar-MA"/>
        </w:rPr>
        <w:t>من قبل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5E30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بالرغم من مستواه السلبي، فقد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 رصيد ه</w:t>
      </w:r>
      <w:r w:rsidR="00346369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المؤشر 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طفيفا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قدر ب 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نفس الفصل من 2012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تدهورا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 w:rsidR="00294A82" w:rsidRP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</w:t>
      </w:r>
      <w:r w:rsidR="00294A82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0A1AFF" w:rsidP="00C55871">
      <w:pPr>
        <w:pStyle w:val="Paragraphedeliste"/>
        <w:widowControl/>
        <w:autoSpaceDE/>
        <w:autoSpaceDN/>
        <w:bidi/>
        <w:adjustRightInd/>
        <w:spacing w:after="240" w:line="360" w:lineRule="exact"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التصورات المستقبلية لتطور أثمنة المواد الغدائية، ف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يتوقع أكثر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ثلاث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أسر من كل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أربعة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22BBD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22BB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ارتفاعها في المستقبل مقابل </w:t>
      </w:r>
      <w:r w:rsidR="00122BBD">
        <w:rPr>
          <w:rFonts w:ascii="Times New Roman" w:hAnsi="Times New Roman" w:cs="Simplified Arabic" w:hint="cs"/>
          <w:sz w:val="28"/>
          <w:szCs w:val="28"/>
          <w:rtl/>
          <w:lang w:bidi="ar-MA"/>
        </w:rPr>
        <w:t>75,3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3C6FD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الثاني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2013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122BB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22BB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3C6FD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2012. أما 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الرصيد الخاص بالتطور 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مستقبلي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لأثمنة المواد 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فقد ا</w:t>
      </w:r>
      <w:r w:rsidR="00591390">
        <w:rPr>
          <w:rFonts w:ascii="Times New Roman" w:hAnsi="Times New Roman" w:cs="Simplified Arabic" w:hint="cs"/>
          <w:sz w:val="28"/>
          <w:szCs w:val="28"/>
          <w:rtl/>
          <w:lang w:bidi="ar-MA"/>
        </w:rPr>
        <w:t>نخفض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2,</w:t>
      </w:r>
      <w:r w:rsidR="0059139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</w:t>
      </w:r>
      <w:r w:rsidR="003C6FD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591390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 و ب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9139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9139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591390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 </w:t>
      </w:r>
      <w:r w:rsidR="0030566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الفترة من 2012.</w:t>
      </w:r>
    </w:p>
    <w:p w:rsidR="00AC16BF" w:rsidRDefault="00AC16BF" w:rsidP="00AC16BF">
      <w:pPr>
        <w:pStyle w:val="Paragraphedeliste"/>
        <w:widowControl/>
        <w:autoSpaceDE/>
        <w:autoSpaceDN/>
        <w:bidi/>
        <w:adjustRightInd/>
        <w:spacing w:after="240" w:line="380" w:lineRule="exact"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AC16BF" w:rsidRPr="00AC16BF" w:rsidRDefault="00AC16BF" w:rsidP="00AC16BF">
      <w:pPr>
        <w:pStyle w:val="Paragraphedeliste"/>
        <w:spacing w:after="240" w:line="380" w:lineRule="exact"/>
        <w:jc w:val="center"/>
        <w:rPr>
          <w:rFonts w:ascii="Times New Roman" w:hAnsi="Times New Roman" w:cs="Simplified Arabic"/>
          <w:sz w:val="32"/>
          <w:szCs w:val="32"/>
          <w:rtl/>
          <w:lang w:bidi="ar-MA"/>
        </w:rPr>
      </w:pPr>
      <w:r w:rsidRPr="00AC16BF">
        <w:rPr>
          <w:rFonts w:ascii="Times New Roman" w:hAnsi="Times New Roman" w:cs="Simplified Arabic"/>
          <w:b/>
          <w:bCs/>
          <w:sz w:val="32"/>
          <w:szCs w:val="32"/>
          <w:rtl/>
          <w:lang w:bidi="ar-MA"/>
        </w:rPr>
        <w:t>الت</w:t>
      </w:r>
      <w:r w:rsidRPr="00AC16BF">
        <w:rPr>
          <w:rFonts w:ascii="Times New Roman" w:hAnsi="Times New Roman" w:cs="Simplified Arabic" w:hint="cs"/>
          <w:b/>
          <w:bCs/>
          <w:sz w:val="32"/>
          <w:szCs w:val="32"/>
          <w:rtl/>
          <w:lang w:bidi="ar-MA"/>
        </w:rPr>
        <w:t>ص</w:t>
      </w:r>
      <w:r w:rsidRPr="00AC16BF">
        <w:rPr>
          <w:rFonts w:ascii="Times New Roman" w:hAnsi="Times New Roman" w:cs="Simplified Arabic"/>
          <w:b/>
          <w:bCs/>
          <w:sz w:val="32"/>
          <w:szCs w:val="32"/>
          <w:rtl/>
          <w:lang w:bidi="ar-MA"/>
        </w:rPr>
        <w:t>ور</w:t>
      </w:r>
      <w:r w:rsidRPr="00AC16BF">
        <w:rPr>
          <w:b/>
          <w:bCs/>
          <w:sz w:val="32"/>
          <w:szCs w:val="32"/>
          <w:rtl/>
          <w:lang w:bidi="ar-MA"/>
        </w:rPr>
        <w:t xml:space="preserve"> </w:t>
      </w:r>
      <w:r w:rsidRPr="00AC16BF">
        <w:rPr>
          <w:rFonts w:ascii="Times New Roman" w:hAnsi="Times New Roman" w:cs="Simplified Arabic"/>
          <w:b/>
          <w:bCs/>
          <w:sz w:val="32"/>
          <w:szCs w:val="32"/>
          <w:rtl/>
          <w:lang w:bidi="ar-MA"/>
        </w:rPr>
        <w:t>لتطور أثمنة المواد الغذائية</w:t>
      </w:r>
    </w:p>
    <w:p w:rsidR="00FB5154" w:rsidRDefault="00FB5154">
      <w:pPr>
        <w:rPr>
          <w:noProof/>
        </w:rPr>
      </w:pPr>
      <w:r w:rsidRPr="00FB5154">
        <w:rPr>
          <w:noProof/>
        </w:rPr>
        <w:t xml:space="preserve"> </w:t>
      </w:r>
      <w:r w:rsidR="00B156E3" w:rsidRPr="00B156E3">
        <w:rPr>
          <w:noProof/>
        </w:rPr>
        <w:drawing>
          <wp:inline distT="0" distB="0" distL="0" distR="0">
            <wp:extent cx="2728068" cy="2898476"/>
            <wp:effectExtent l="19050" t="0" r="15132" b="0"/>
            <wp:docPr id="14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4408BA">
        <w:rPr>
          <w:noProof/>
        </w:rPr>
        <w:t xml:space="preserve"> </w:t>
      </w:r>
      <w:r w:rsidR="005B1C7E" w:rsidRPr="005B1C7E">
        <w:rPr>
          <w:noProof/>
        </w:rPr>
        <w:drawing>
          <wp:inline distT="0" distB="0" distL="0" distR="0">
            <wp:extent cx="2703195" cy="2889849"/>
            <wp:effectExtent l="19050" t="0" r="20955" b="5751"/>
            <wp:docPr id="1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51E40" w:rsidRDefault="00B51E40">
      <w:pPr>
        <w:rPr>
          <w:noProof/>
        </w:rPr>
      </w:pPr>
    </w:p>
    <w:p w:rsidR="00B51E40" w:rsidRDefault="00B51E40" w:rsidP="00B51E40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B51E40" w:rsidRDefault="00B51E40" w:rsidP="00B51E40">
      <w:pPr>
        <w:widowControl/>
        <w:autoSpaceDE/>
        <w:autoSpaceDN/>
        <w:adjustRightInd/>
        <w:rPr>
          <w:rFonts w:ascii="Times New Roman" w:hAnsi="Times New Roman" w:cs="Simplified Arabic"/>
          <w:sz w:val="28"/>
          <w:szCs w:val="28"/>
          <w:lang w:bidi="ar-MA"/>
        </w:rPr>
        <w:sectPr w:rsidR="00B51E40" w:rsidSect="00C55871">
          <w:footerReference w:type="default" r:id="rId15"/>
          <w:pgSz w:w="11906" w:h="16838"/>
          <w:pgMar w:top="1135" w:right="1417" w:bottom="1276" w:left="1417" w:header="708" w:footer="567" w:gutter="0"/>
          <w:cols w:space="708"/>
          <w:docGrid w:linePitch="360"/>
        </w:sectPr>
      </w:pPr>
    </w:p>
    <w:p w:rsidR="00B51E40" w:rsidRDefault="00B51E40" w:rsidP="00B51E40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5533" w:type="dxa"/>
        <w:tblInd w:w="-484" w:type="dxa"/>
        <w:tblCellMar>
          <w:left w:w="70" w:type="dxa"/>
          <w:right w:w="70" w:type="dxa"/>
        </w:tblCellMar>
        <w:tblLook w:val="04A0"/>
      </w:tblPr>
      <w:tblGrid>
        <w:gridCol w:w="573"/>
        <w:gridCol w:w="573"/>
        <w:gridCol w:w="574"/>
        <w:gridCol w:w="488"/>
        <w:gridCol w:w="573"/>
        <w:gridCol w:w="528"/>
        <w:gridCol w:w="528"/>
        <w:gridCol w:w="544"/>
        <w:gridCol w:w="544"/>
        <w:gridCol w:w="544"/>
        <w:gridCol w:w="546"/>
        <w:gridCol w:w="544"/>
        <w:gridCol w:w="544"/>
        <w:gridCol w:w="544"/>
        <w:gridCol w:w="546"/>
        <w:gridCol w:w="544"/>
        <w:gridCol w:w="544"/>
        <w:gridCol w:w="544"/>
        <w:gridCol w:w="546"/>
        <w:gridCol w:w="544"/>
        <w:gridCol w:w="544"/>
        <w:gridCol w:w="544"/>
        <w:gridCol w:w="546"/>
        <w:gridCol w:w="2984"/>
      </w:tblGrid>
      <w:tr w:rsidR="00C9429C" w:rsidRPr="00C9429C" w:rsidTr="00FA2A94">
        <w:trPr>
          <w:trHeight w:val="232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9429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2012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2011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2010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2009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2008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</w:p>
        </w:tc>
      </w:tr>
      <w:tr w:rsidR="00C9429C" w:rsidRPr="00C9429C" w:rsidTr="00FA2A94">
        <w:trPr>
          <w:trHeight w:val="383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429C" w:rsidRPr="00C9429C" w:rsidTr="00FA2A94">
        <w:trPr>
          <w:trHeight w:val="396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429C" w:rsidRPr="00C9429C" w:rsidTr="00FA2A94">
        <w:trPr>
          <w:trHeight w:val="78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</w:rPr>
            </w:pPr>
            <w:r w:rsidRPr="00C9429C">
              <w:rPr>
                <w:rFonts w:ascii="Calibri" w:hAnsi="Calibri" w:cs="Times New Roman"/>
                <w:b/>
                <w:bCs/>
                <w:sz w:val="22"/>
                <w:szCs w:val="22"/>
              </w:rPr>
              <w:t>75,4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</w:rPr>
            </w:pPr>
            <w:r w:rsidRPr="00C9429C">
              <w:rPr>
                <w:rFonts w:ascii="Calibri" w:hAnsi="Calibri" w:cs="Times New Roman"/>
                <w:b/>
                <w:bCs/>
                <w:sz w:val="22"/>
                <w:szCs w:val="22"/>
              </w:rPr>
              <w:t>74,2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</w:rPr>
            </w:pPr>
            <w:r w:rsidRPr="00C9429C">
              <w:rPr>
                <w:rFonts w:ascii="Calibri" w:hAnsi="Calibri" w:cs="Times New Roman"/>
                <w:b/>
                <w:bCs/>
                <w:sz w:val="22"/>
                <w:szCs w:val="22"/>
              </w:rPr>
              <w:t>75,8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9429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مؤشر الثقة لدى الأسر المغربية</w:t>
            </w:r>
          </w:p>
        </w:tc>
      </w:tr>
      <w:tr w:rsidR="00FA2A94" w:rsidRPr="00C9429C" w:rsidTr="00FA2A94">
        <w:trPr>
          <w:trHeight w:val="48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-69,8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-67,8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-61,7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090FCF" w:rsidRDefault="00FA2A94" w:rsidP="009954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-56,7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-48,6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-44,1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-41,6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-52,4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-52,3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-56,1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-57,5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-51,1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-51,6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-52,1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المستقبلي للبطالة</w:t>
            </w:r>
          </w:p>
        </w:tc>
      </w:tr>
      <w:tr w:rsidR="00FA2A94" w:rsidRPr="00C9429C" w:rsidTr="00FA2A94">
        <w:trPr>
          <w:trHeight w:val="56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-21,2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-23,1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-29,2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090FCF" w:rsidRDefault="00FA2A94" w:rsidP="009954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-27,9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-21,8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-36,7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-31,1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-10,4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السابق لمستوى المعيشة بصفة عامة</w:t>
            </w:r>
          </w:p>
        </w:tc>
      </w:tr>
      <w:tr w:rsidR="00FA2A94" w:rsidRPr="00C9429C" w:rsidTr="00FA2A94">
        <w:trPr>
          <w:trHeight w:val="54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-3,1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-4,2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-5,1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090FCF" w:rsidRDefault="00FA2A94" w:rsidP="009954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-3,2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آفاق تطور مستوى المعيشة بصفة عامة</w:t>
            </w:r>
          </w:p>
        </w:tc>
      </w:tr>
      <w:tr w:rsidR="00FA2A94" w:rsidRPr="00C9429C" w:rsidTr="00FA2A94">
        <w:trPr>
          <w:trHeight w:val="56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-29,5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-31,7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-28,3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090FCF" w:rsidRDefault="00FA2A94" w:rsidP="009954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-37,4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-38,5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-36,4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-39,9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-44,3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-34,8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-42,6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-43,4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-41,8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-39,1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-34,3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فرص اقتناء السلع المستديمة</w:t>
            </w:r>
          </w:p>
        </w:tc>
      </w:tr>
      <w:tr w:rsidR="00FA2A94" w:rsidRPr="00C9429C" w:rsidTr="00FA2A94">
        <w:trPr>
          <w:trHeight w:val="54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-29,5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-30,2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-29,8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090FCF" w:rsidRDefault="00FA2A94" w:rsidP="009954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-30,8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-31,3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-33,1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-34,4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الوضعية المالية الحالية للأسرة</w:t>
            </w:r>
          </w:p>
        </w:tc>
      </w:tr>
      <w:tr w:rsidR="00FA2A94" w:rsidRPr="00C9429C" w:rsidTr="00FA2A94">
        <w:trPr>
          <w:trHeight w:val="5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-21,9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-23,8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-19,6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090FCF" w:rsidRDefault="00FA2A94" w:rsidP="009954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-16,7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-11,8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السابق للوضعية المالية للأسرة</w:t>
            </w:r>
          </w:p>
        </w:tc>
      </w:tr>
      <w:tr w:rsidR="00FA2A94" w:rsidRPr="00C9429C" w:rsidTr="00FA2A94">
        <w:trPr>
          <w:trHeight w:val="46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090FCF" w:rsidRDefault="00FA2A94" w:rsidP="009954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المرتقب للوضعية المالية للأسرة</w:t>
            </w:r>
          </w:p>
        </w:tc>
      </w:tr>
      <w:tr w:rsidR="00C9429C" w:rsidRPr="00C9429C" w:rsidTr="00FA2A94">
        <w:trPr>
          <w:trHeight w:val="358"/>
        </w:trPr>
        <w:tc>
          <w:tcPr>
            <w:tcW w:w="1553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29C" w:rsidRPr="00C9429C" w:rsidRDefault="00C9429C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أرصـــدة الأخـــرى</w:t>
            </w:r>
          </w:p>
        </w:tc>
      </w:tr>
      <w:tr w:rsidR="00FA2A94" w:rsidRPr="00C9429C" w:rsidTr="00FA2A94">
        <w:trPr>
          <w:trHeight w:val="56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-76,0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-73,4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-76,1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090FCF" w:rsidRDefault="00FA2A94" w:rsidP="009954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-73,6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-71,5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-72,6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-73,4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-62,2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-47,9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-50,9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-33,5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-34,9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-49,7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-78,9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-74,1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المرتقب لاثمنة المواد الغذائية</w:t>
            </w:r>
          </w:p>
        </w:tc>
      </w:tr>
      <w:tr w:rsidR="00FA2A94" w:rsidRPr="00C9429C" w:rsidTr="00FA2A94">
        <w:trPr>
          <w:trHeight w:val="47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-90,5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-88,9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-91,6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-90,6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090FCF" w:rsidRDefault="00FA2A94" w:rsidP="009954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-91,7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-91,1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-91,6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-92,5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-89,9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-95,5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-90,9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-89,7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-79,5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-83,3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-85,7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-96,2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-95,9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-93,6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التطور السابق لاثمنة المواد الغذائية</w:t>
            </w:r>
          </w:p>
        </w:tc>
      </w:tr>
      <w:tr w:rsidR="00FA2A94" w:rsidRPr="00C9429C" w:rsidTr="00FA2A94">
        <w:trPr>
          <w:trHeight w:val="41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3875B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-69,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-70,3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29C">
              <w:rPr>
                <w:rFonts w:ascii="Arial" w:hAnsi="Arial" w:cs="Arial"/>
                <w:sz w:val="16"/>
                <w:szCs w:val="16"/>
              </w:rPr>
              <w:t>-67,0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090FCF" w:rsidRDefault="00FA2A94" w:rsidP="009954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-65,3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-63,5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-62,5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-63,3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-57,8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-57,1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-56,7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-60,7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2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-61,2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A94" w:rsidRPr="00C9429C" w:rsidRDefault="00FA2A94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2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قدرة الأسر على الادخار خلال الأشهر المقبلة</w:t>
            </w:r>
          </w:p>
        </w:tc>
      </w:tr>
    </w:tbl>
    <w:p w:rsidR="00CC627E" w:rsidRDefault="00CC627E" w:rsidP="00CC627E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B51E40" w:rsidRDefault="00B51E40" w:rsidP="00B51E40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sectPr w:rsidR="00B51E40" w:rsidSect="004F392A">
          <w:pgSz w:w="16838" w:h="11906" w:orient="landscape" w:code="9"/>
          <w:pgMar w:top="1418" w:right="1418" w:bottom="1418" w:left="1276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51E40" w:rsidRPr="00DC2D0E" w:rsidTr="00A34E4F">
        <w:tc>
          <w:tcPr>
            <w:tcW w:w="9212" w:type="dxa"/>
          </w:tcPr>
          <w:p w:rsidR="00B51E40" w:rsidRPr="004B7848" w:rsidRDefault="00B51E40" w:rsidP="00A34E4F">
            <w:pPr>
              <w:bidi/>
              <w:ind w:left="360"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1529FF" w:rsidRDefault="00B51E40" w:rsidP="00B51E40">
            <w:pPr>
              <w:pStyle w:val="Paragraphedeliste"/>
              <w:numPr>
                <w:ilvl w:val="0"/>
                <w:numId w:val="4"/>
              </w:numPr>
              <w:bidi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B51E40" w:rsidRPr="004B7848" w:rsidRDefault="00B51E40" w:rsidP="001529FF">
            <w:pPr>
              <w:pStyle w:val="Paragraphedeliste"/>
              <w:numPr>
                <w:ilvl w:val="0"/>
                <w:numId w:val="4"/>
              </w:numPr>
              <w:bidi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B51E40" w:rsidRPr="004B7848" w:rsidRDefault="00B51E40" w:rsidP="00B51E40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B51E40" w:rsidRPr="004B7848" w:rsidRDefault="00B51E40" w:rsidP="00B51E40">
            <w:pPr>
              <w:pStyle w:val="Paragraphedeliste"/>
              <w:numPr>
                <w:ilvl w:val="0"/>
                <w:numId w:val="6"/>
              </w:numPr>
              <w:bidi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B51E40" w:rsidRPr="004B7848" w:rsidRDefault="00B51E40" w:rsidP="000F1AFE">
            <w:pPr>
              <w:widowControl/>
              <w:autoSpaceDE/>
              <w:autoSpaceDN/>
              <w:bidi/>
              <w:adjustRightInd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 w:rsidR="000F1AFE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6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B51E40" w:rsidRPr="00DC2D0E" w:rsidRDefault="00B51E40" w:rsidP="00B51E40">
      <w:pPr>
        <w:bidi/>
        <w:rPr>
          <w:rFonts w:cs="Simplified Arabic"/>
          <w:rtl/>
          <w:lang w:bidi="ar-MA"/>
        </w:rPr>
      </w:pPr>
    </w:p>
    <w:p w:rsidR="00B51E40" w:rsidRDefault="00B51E40">
      <w:pPr>
        <w:rPr>
          <w:lang w:bidi="ar-MA"/>
        </w:rPr>
      </w:pPr>
    </w:p>
    <w:sectPr w:rsidR="00B51E40" w:rsidSect="00AF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0D" w:rsidRDefault="00380C0D" w:rsidP="00FB5154">
      <w:r>
        <w:separator/>
      </w:r>
    </w:p>
  </w:endnote>
  <w:endnote w:type="continuationSeparator" w:id="0">
    <w:p w:rsidR="00380C0D" w:rsidRDefault="00380C0D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40" w:rsidRDefault="009B47E8">
    <w:pPr>
      <w:pStyle w:val="Pieddepage"/>
      <w:jc w:val="center"/>
    </w:pPr>
    <w:fldSimple w:instr=" PAGE   \* MERGEFORMAT ">
      <w:r w:rsidR="00380C0D">
        <w:rPr>
          <w:noProof/>
        </w:rPr>
        <w:t>1</w:t>
      </w:r>
    </w:fldSimple>
  </w:p>
  <w:p w:rsidR="00B51E40" w:rsidRDefault="00B51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0D" w:rsidRDefault="00380C0D" w:rsidP="00FB5154">
      <w:r>
        <w:separator/>
      </w:r>
    </w:p>
  </w:footnote>
  <w:footnote w:type="continuationSeparator" w:id="0">
    <w:p w:rsidR="00380C0D" w:rsidRDefault="00380C0D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2000FF8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56717"/>
    <w:multiLevelType w:val="hybridMultilevel"/>
    <w:tmpl w:val="37AA05E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54"/>
    <w:rsid w:val="000124FB"/>
    <w:rsid w:val="00013F2C"/>
    <w:rsid w:val="00014615"/>
    <w:rsid w:val="00023B39"/>
    <w:rsid w:val="00037417"/>
    <w:rsid w:val="00040872"/>
    <w:rsid w:val="0004224D"/>
    <w:rsid w:val="0004405A"/>
    <w:rsid w:val="00046B93"/>
    <w:rsid w:val="000501D5"/>
    <w:rsid w:val="00052202"/>
    <w:rsid w:val="00064F12"/>
    <w:rsid w:val="00065EBF"/>
    <w:rsid w:val="000708EE"/>
    <w:rsid w:val="00076021"/>
    <w:rsid w:val="000800CE"/>
    <w:rsid w:val="00094954"/>
    <w:rsid w:val="00095E84"/>
    <w:rsid w:val="00096DF6"/>
    <w:rsid w:val="000A1AFF"/>
    <w:rsid w:val="000A6343"/>
    <w:rsid w:val="000B3E0B"/>
    <w:rsid w:val="000C542A"/>
    <w:rsid w:val="000C59A2"/>
    <w:rsid w:val="000D626F"/>
    <w:rsid w:val="000D79A1"/>
    <w:rsid w:val="000E0292"/>
    <w:rsid w:val="000E598D"/>
    <w:rsid w:val="000E7CA5"/>
    <w:rsid w:val="000F1AFE"/>
    <w:rsid w:val="00101EF8"/>
    <w:rsid w:val="00105F6E"/>
    <w:rsid w:val="0011409B"/>
    <w:rsid w:val="00122BBD"/>
    <w:rsid w:val="00137B43"/>
    <w:rsid w:val="00147008"/>
    <w:rsid w:val="001527A3"/>
    <w:rsid w:val="001529FF"/>
    <w:rsid w:val="00153603"/>
    <w:rsid w:val="001604B1"/>
    <w:rsid w:val="00160CD6"/>
    <w:rsid w:val="001615E7"/>
    <w:rsid w:val="00170761"/>
    <w:rsid w:val="001708BF"/>
    <w:rsid w:val="00176575"/>
    <w:rsid w:val="0017770A"/>
    <w:rsid w:val="001824FC"/>
    <w:rsid w:val="0018282E"/>
    <w:rsid w:val="0019443D"/>
    <w:rsid w:val="001A0B0C"/>
    <w:rsid w:val="001A6534"/>
    <w:rsid w:val="001A6880"/>
    <w:rsid w:val="001B69E0"/>
    <w:rsid w:val="001C4A0B"/>
    <w:rsid w:val="001D0D6A"/>
    <w:rsid w:val="001D288C"/>
    <w:rsid w:val="001D7239"/>
    <w:rsid w:val="001F0A87"/>
    <w:rsid w:val="00211597"/>
    <w:rsid w:val="0021249E"/>
    <w:rsid w:val="00213F1E"/>
    <w:rsid w:val="0021515F"/>
    <w:rsid w:val="00217DEF"/>
    <w:rsid w:val="0022035B"/>
    <w:rsid w:val="00224CF5"/>
    <w:rsid w:val="00225ADC"/>
    <w:rsid w:val="002447B7"/>
    <w:rsid w:val="0024601E"/>
    <w:rsid w:val="002501E1"/>
    <w:rsid w:val="002539F4"/>
    <w:rsid w:val="00256064"/>
    <w:rsid w:val="00257304"/>
    <w:rsid w:val="002610CC"/>
    <w:rsid w:val="00262199"/>
    <w:rsid w:val="00267C04"/>
    <w:rsid w:val="00276571"/>
    <w:rsid w:val="002804A3"/>
    <w:rsid w:val="00294A82"/>
    <w:rsid w:val="002A369A"/>
    <w:rsid w:val="002A71C9"/>
    <w:rsid w:val="002B56E7"/>
    <w:rsid w:val="002B6282"/>
    <w:rsid w:val="002B6E48"/>
    <w:rsid w:val="002B7CB7"/>
    <w:rsid w:val="002C315C"/>
    <w:rsid w:val="002C3B75"/>
    <w:rsid w:val="002C41F9"/>
    <w:rsid w:val="002D59E5"/>
    <w:rsid w:val="002E5376"/>
    <w:rsid w:val="002F0FB7"/>
    <w:rsid w:val="002F6EF3"/>
    <w:rsid w:val="00305668"/>
    <w:rsid w:val="00313D8D"/>
    <w:rsid w:val="003325D6"/>
    <w:rsid w:val="0034158E"/>
    <w:rsid w:val="00346369"/>
    <w:rsid w:val="003639B6"/>
    <w:rsid w:val="00380C0D"/>
    <w:rsid w:val="003810D0"/>
    <w:rsid w:val="003875BA"/>
    <w:rsid w:val="00387B6D"/>
    <w:rsid w:val="003915CF"/>
    <w:rsid w:val="00397951"/>
    <w:rsid w:val="003A5AEE"/>
    <w:rsid w:val="003B210A"/>
    <w:rsid w:val="003C6FDB"/>
    <w:rsid w:val="003E2DE1"/>
    <w:rsid w:val="003F16A4"/>
    <w:rsid w:val="003F35F7"/>
    <w:rsid w:val="004137F0"/>
    <w:rsid w:val="00414F76"/>
    <w:rsid w:val="00417BC7"/>
    <w:rsid w:val="004221A9"/>
    <w:rsid w:val="004317A2"/>
    <w:rsid w:val="004335D4"/>
    <w:rsid w:val="00437A53"/>
    <w:rsid w:val="004408BA"/>
    <w:rsid w:val="00440B2C"/>
    <w:rsid w:val="00456931"/>
    <w:rsid w:val="00472DBD"/>
    <w:rsid w:val="00472F8A"/>
    <w:rsid w:val="004744D0"/>
    <w:rsid w:val="00486B84"/>
    <w:rsid w:val="00491FC0"/>
    <w:rsid w:val="004A0A68"/>
    <w:rsid w:val="004A321B"/>
    <w:rsid w:val="004A5752"/>
    <w:rsid w:val="004B79A9"/>
    <w:rsid w:val="004D2C07"/>
    <w:rsid w:val="005059EA"/>
    <w:rsid w:val="00506AE4"/>
    <w:rsid w:val="00510502"/>
    <w:rsid w:val="00512D03"/>
    <w:rsid w:val="00515511"/>
    <w:rsid w:val="005226E3"/>
    <w:rsid w:val="00527EF6"/>
    <w:rsid w:val="00530FFD"/>
    <w:rsid w:val="005332F6"/>
    <w:rsid w:val="00533E6F"/>
    <w:rsid w:val="00543D43"/>
    <w:rsid w:val="0054625D"/>
    <w:rsid w:val="00546BFA"/>
    <w:rsid w:val="00551BD7"/>
    <w:rsid w:val="00557807"/>
    <w:rsid w:val="00561537"/>
    <w:rsid w:val="00587DC3"/>
    <w:rsid w:val="00591390"/>
    <w:rsid w:val="005A1CB8"/>
    <w:rsid w:val="005A21E2"/>
    <w:rsid w:val="005B1C7E"/>
    <w:rsid w:val="005B6985"/>
    <w:rsid w:val="005C1C08"/>
    <w:rsid w:val="005C79C5"/>
    <w:rsid w:val="005D3E17"/>
    <w:rsid w:val="005E30B1"/>
    <w:rsid w:val="005E75B8"/>
    <w:rsid w:val="005F04D0"/>
    <w:rsid w:val="005F0ED8"/>
    <w:rsid w:val="005F4C0B"/>
    <w:rsid w:val="006024F0"/>
    <w:rsid w:val="00612F7A"/>
    <w:rsid w:val="00621804"/>
    <w:rsid w:val="00630E9E"/>
    <w:rsid w:val="00642F6E"/>
    <w:rsid w:val="00660179"/>
    <w:rsid w:val="006705DD"/>
    <w:rsid w:val="0068132A"/>
    <w:rsid w:val="00685317"/>
    <w:rsid w:val="00695597"/>
    <w:rsid w:val="006A1177"/>
    <w:rsid w:val="006A64D4"/>
    <w:rsid w:val="006A752D"/>
    <w:rsid w:val="006B7D9F"/>
    <w:rsid w:val="006C2E02"/>
    <w:rsid w:val="006C6C31"/>
    <w:rsid w:val="006D1A39"/>
    <w:rsid w:val="006D449E"/>
    <w:rsid w:val="006E4001"/>
    <w:rsid w:val="006F6164"/>
    <w:rsid w:val="00713AEA"/>
    <w:rsid w:val="00722495"/>
    <w:rsid w:val="0074287F"/>
    <w:rsid w:val="00750142"/>
    <w:rsid w:val="00751DD8"/>
    <w:rsid w:val="00762C1D"/>
    <w:rsid w:val="0076463C"/>
    <w:rsid w:val="00796A15"/>
    <w:rsid w:val="007A5ECA"/>
    <w:rsid w:val="007B2624"/>
    <w:rsid w:val="007B278D"/>
    <w:rsid w:val="007C11A7"/>
    <w:rsid w:val="007C157E"/>
    <w:rsid w:val="007C2046"/>
    <w:rsid w:val="007C69D8"/>
    <w:rsid w:val="007D2155"/>
    <w:rsid w:val="007D35E5"/>
    <w:rsid w:val="007D7613"/>
    <w:rsid w:val="007E21CC"/>
    <w:rsid w:val="007E52A5"/>
    <w:rsid w:val="007E754C"/>
    <w:rsid w:val="007F508E"/>
    <w:rsid w:val="007F79EB"/>
    <w:rsid w:val="00800A1E"/>
    <w:rsid w:val="00822166"/>
    <w:rsid w:val="00822E6C"/>
    <w:rsid w:val="008320BE"/>
    <w:rsid w:val="00850227"/>
    <w:rsid w:val="00854788"/>
    <w:rsid w:val="0085717B"/>
    <w:rsid w:val="00884C67"/>
    <w:rsid w:val="00885A82"/>
    <w:rsid w:val="00886E9F"/>
    <w:rsid w:val="0089053D"/>
    <w:rsid w:val="00897A03"/>
    <w:rsid w:val="008A21C5"/>
    <w:rsid w:val="008A2D3E"/>
    <w:rsid w:val="008A5081"/>
    <w:rsid w:val="008B3A54"/>
    <w:rsid w:val="008B7357"/>
    <w:rsid w:val="008E6AB7"/>
    <w:rsid w:val="008F03B0"/>
    <w:rsid w:val="00903583"/>
    <w:rsid w:val="0090595D"/>
    <w:rsid w:val="0091447E"/>
    <w:rsid w:val="00917745"/>
    <w:rsid w:val="0092383F"/>
    <w:rsid w:val="00933226"/>
    <w:rsid w:val="00933B37"/>
    <w:rsid w:val="00936ABF"/>
    <w:rsid w:val="00944BCB"/>
    <w:rsid w:val="00951643"/>
    <w:rsid w:val="009569BA"/>
    <w:rsid w:val="00961F83"/>
    <w:rsid w:val="00963708"/>
    <w:rsid w:val="00966260"/>
    <w:rsid w:val="00974DF7"/>
    <w:rsid w:val="00977CE4"/>
    <w:rsid w:val="00981A65"/>
    <w:rsid w:val="0098747B"/>
    <w:rsid w:val="00996A25"/>
    <w:rsid w:val="009B47E8"/>
    <w:rsid w:val="009B7782"/>
    <w:rsid w:val="009C77F2"/>
    <w:rsid w:val="009F00A5"/>
    <w:rsid w:val="009F1CF6"/>
    <w:rsid w:val="00A03926"/>
    <w:rsid w:val="00A0641C"/>
    <w:rsid w:val="00A214E5"/>
    <w:rsid w:val="00A22216"/>
    <w:rsid w:val="00A62F66"/>
    <w:rsid w:val="00A83C1A"/>
    <w:rsid w:val="00A865CE"/>
    <w:rsid w:val="00AA3B9F"/>
    <w:rsid w:val="00AB4028"/>
    <w:rsid w:val="00AC16BF"/>
    <w:rsid w:val="00AF3E93"/>
    <w:rsid w:val="00AF6CD7"/>
    <w:rsid w:val="00B12659"/>
    <w:rsid w:val="00B156E3"/>
    <w:rsid w:val="00B23642"/>
    <w:rsid w:val="00B31EEF"/>
    <w:rsid w:val="00B35F02"/>
    <w:rsid w:val="00B44768"/>
    <w:rsid w:val="00B45958"/>
    <w:rsid w:val="00B4744D"/>
    <w:rsid w:val="00B51E40"/>
    <w:rsid w:val="00B60126"/>
    <w:rsid w:val="00B66797"/>
    <w:rsid w:val="00B86C16"/>
    <w:rsid w:val="00BE0FF5"/>
    <w:rsid w:val="00BE6191"/>
    <w:rsid w:val="00BF5CFA"/>
    <w:rsid w:val="00C062A5"/>
    <w:rsid w:val="00C1247B"/>
    <w:rsid w:val="00C1289A"/>
    <w:rsid w:val="00C308B8"/>
    <w:rsid w:val="00C3687F"/>
    <w:rsid w:val="00C40181"/>
    <w:rsid w:val="00C41EE9"/>
    <w:rsid w:val="00C50B8D"/>
    <w:rsid w:val="00C55871"/>
    <w:rsid w:val="00C57243"/>
    <w:rsid w:val="00C620FA"/>
    <w:rsid w:val="00C94012"/>
    <w:rsid w:val="00C9429C"/>
    <w:rsid w:val="00C9541E"/>
    <w:rsid w:val="00CB2A34"/>
    <w:rsid w:val="00CB3F41"/>
    <w:rsid w:val="00CB504D"/>
    <w:rsid w:val="00CC627E"/>
    <w:rsid w:val="00CC6D5B"/>
    <w:rsid w:val="00CD3444"/>
    <w:rsid w:val="00CE52E9"/>
    <w:rsid w:val="00CF172D"/>
    <w:rsid w:val="00CF5A1C"/>
    <w:rsid w:val="00D033E3"/>
    <w:rsid w:val="00D03997"/>
    <w:rsid w:val="00D17912"/>
    <w:rsid w:val="00D212C6"/>
    <w:rsid w:val="00D41B86"/>
    <w:rsid w:val="00D41EBC"/>
    <w:rsid w:val="00D427F1"/>
    <w:rsid w:val="00D44881"/>
    <w:rsid w:val="00D554A9"/>
    <w:rsid w:val="00D66C55"/>
    <w:rsid w:val="00D726FE"/>
    <w:rsid w:val="00D80851"/>
    <w:rsid w:val="00D970A1"/>
    <w:rsid w:val="00D97315"/>
    <w:rsid w:val="00DA3E5A"/>
    <w:rsid w:val="00DB2DE8"/>
    <w:rsid w:val="00DC038B"/>
    <w:rsid w:val="00DD2977"/>
    <w:rsid w:val="00DD56AE"/>
    <w:rsid w:val="00DD7AA5"/>
    <w:rsid w:val="00DE6981"/>
    <w:rsid w:val="00DE74C8"/>
    <w:rsid w:val="00DF0E2A"/>
    <w:rsid w:val="00DF5B36"/>
    <w:rsid w:val="00E11399"/>
    <w:rsid w:val="00E1227C"/>
    <w:rsid w:val="00E15311"/>
    <w:rsid w:val="00E351BD"/>
    <w:rsid w:val="00E43FA4"/>
    <w:rsid w:val="00E64B0A"/>
    <w:rsid w:val="00E77F57"/>
    <w:rsid w:val="00E8429E"/>
    <w:rsid w:val="00E862E4"/>
    <w:rsid w:val="00EB59FE"/>
    <w:rsid w:val="00EC1FFE"/>
    <w:rsid w:val="00EF0DB8"/>
    <w:rsid w:val="00F13398"/>
    <w:rsid w:val="00F325B2"/>
    <w:rsid w:val="00F34E0F"/>
    <w:rsid w:val="00F355D8"/>
    <w:rsid w:val="00F366ED"/>
    <w:rsid w:val="00F4706C"/>
    <w:rsid w:val="00F640F9"/>
    <w:rsid w:val="00F75299"/>
    <w:rsid w:val="00F837A6"/>
    <w:rsid w:val="00F85E7F"/>
    <w:rsid w:val="00F92F53"/>
    <w:rsid w:val="00FA0F2B"/>
    <w:rsid w:val="00FA2A94"/>
    <w:rsid w:val="00FA5597"/>
    <w:rsid w:val="00FB2760"/>
    <w:rsid w:val="00FB5154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600"/>
            </a:pPr>
            <a:r>
              <a:rPr lang="ar-MA" sz="1600" b="1" i="0" baseline="0"/>
              <a:t>تطور مؤشر ثقة الأسر </a:t>
            </a:r>
            <a:endParaRPr lang="en-US" sz="1600" b="1" i="0" baseline="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'graphes ar'!$B$7:$X$7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'graphes ar'!$B$8:$X$8</c:f>
              <c:numCache>
                <c:formatCode>0.0</c:formatCode>
                <c:ptCount val="23"/>
                <c:pt idx="0">
                  <c:v>85.866502294191648</c:v>
                </c:pt>
                <c:pt idx="1">
                  <c:v>77.678707955852715</c:v>
                </c:pt>
                <c:pt idx="2">
                  <c:v>75.55248063575614</c:v>
                </c:pt>
                <c:pt idx="3">
                  <c:v>80.13688403490427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80.136086093618957</c:v>
                </c:pt>
                <c:pt idx="9">
                  <c:v>78.833388330573825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78.406406130604495</c:v>
                </c:pt>
                <c:pt idx="13">
                  <c:v>85.789532632532371</c:v>
                </c:pt>
                <c:pt idx="14">
                  <c:v>86.506225251482533</c:v>
                </c:pt>
                <c:pt idx="15">
                  <c:v>84.477214694877489</c:v>
                </c:pt>
                <c:pt idx="16">
                  <c:v>82.880478542821123</c:v>
                </c:pt>
                <c:pt idx="17">
                  <c:v>80.673652783725359</c:v>
                </c:pt>
                <c:pt idx="18">
                  <c:v>77.553867036569045</c:v>
                </c:pt>
                <c:pt idx="19">
                  <c:v>78.403353681349927</c:v>
                </c:pt>
                <c:pt idx="20">
                  <c:v>75.830193123476278</c:v>
                </c:pt>
                <c:pt idx="21">
                  <c:v>74.2</c:v>
                </c:pt>
                <c:pt idx="22">
                  <c:v>75.40113716912164</c:v>
                </c:pt>
              </c:numCache>
            </c:numRef>
          </c:val>
        </c:ser>
        <c:axId val="109011328"/>
        <c:axId val="109013248"/>
      </c:barChart>
      <c:catAx>
        <c:axId val="1090113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9013248"/>
        <c:crosses val="autoZero"/>
        <c:auto val="1"/>
        <c:lblAlgn val="ctr"/>
        <c:lblOffset val="100"/>
      </c:catAx>
      <c:valAx>
        <c:axId val="109013248"/>
        <c:scaling>
          <c:orientation val="minMax"/>
        </c:scaling>
        <c:delete val="1"/>
        <c:axPos val="l"/>
        <c:numFmt formatCode="0.0" sourceLinked="1"/>
        <c:tickLblPos val="none"/>
        <c:crossAx val="10901132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التطور السابق والمستقبلي ل</a:t>
            </a:r>
            <a:r>
              <a:rPr lang="ar-MA" sz="1400" b="1" i="0" u="none" strike="noStrike" baseline="0"/>
              <a:t>تصور الأسر</a:t>
            </a:r>
            <a:r>
              <a:rPr lang="ar-MA" sz="1400" b="1" i="0" baseline="0"/>
              <a:t> للمستوى العام للمعيشة</a:t>
            </a:r>
            <a:endParaRPr lang="fr-FR" sz="1400" b="1" i="0" baseline="0"/>
          </a:p>
          <a:p>
            <a:pPr algn="ctr">
              <a:defRPr sz="1400"/>
            </a:pPr>
            <a:r>
              <a:rPr lang="ar-MA" sz="1400" b="1" i="0" baseline="0"/>
              <a:t> (</a:t>
            </a:r>
            <a:r>
              <a:rPr lang="ar-MA" sz="1400" b="0" i="0" baseline="0"/>
              <a:t>أرصدة الآراء</a:t>
            </a:r>
            <a:r>
              <a:rPr lang="ar-MA" sz="1400" b="1" i="0" baseline="0"/>
              <a:t>)</a:t>
            </a: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ar'!$A$10</c:f>
              <c:strCache>
                <c:ptCount val="1"/>
                <c:pt idx="0">
                  <c:v>التطور السابق </c:v>
                </c:pt>
              </c:strCache>
            </c:strRef>
          </c:tx>
          <c:marker>
            <c:symbol val="none"/>
          </c:marker>
          <c:cat>
            <c:strRef>
              <c:f>'graphes ar'!$B$7:$X$7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'graphes ar'!$B$10:$X$10</c:f>
              <c:numCache>
                <c:formatCode>#,##0.0</c:formatCode>
                <c:ptCount val="23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-31.141291421499783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-25.72363462957296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-37.236760344983495</c:v>
                </c:pt>
                <c:pt idx="12">
                  <c:v>-26.050959167650149</c:v>
                </c:pt>
                <c:pt idx="13">
                  <c:v>-16.961438303130823</c:v>
                </c:pt>
                <c:pt idx="14">
                  <c:v>-13.439142519852037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-28.088708351168616</c:v>
                </c:pt>
                <c:pt idx="20">
                  <c:v>-29.212341127418195</c:v>
                </c:pt>
                <c:pt idx="21">
                  <c:v>-23.102864483982113</c:v>
                </c:pt>
                <c:pt idx="22">
                  <c:v>-21.158266803557588</c:v>
                </c:pt>
              </c:numCache>
            </c:numRef>
          </c:val>
        </c:ser>
        <c:ser>
          <c:idx val="1"/>
          <c:order val="1"/>
          <c:tx>
            <c:strRef>
              <c:f>'graphes ar'!$A$11</c:f>
              <c:strCache>
                <c:ptCount val="1"/>
                <c:pt idx="0">
                  <c:v>التطور المستقبلي </c:v>
                </c:pt>
              </c:strCache>
            </c:strRef>
          </c:tx>
          <c:marker>
            <c:symbol val="none"/>
          </c:marker>
          <c:cat>
            <c:strRef>
              <c:f>'graphes ar'!$B$7:$X$7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'graphes ar'!$B$11:$X$11</c:f>
              <c:numCache>
                <c:formatCode>#,##0.0</c:formatCode>
                <c:ptCount val="23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8.4334302751113241E-2</c:v>
                </c:pt>
                <c:pt idx="7">
                  <c:v>2.1853913991610052</c:v>
                </c:pt>
                <c:pt idx="8">
                  <c:v>0.39154986438085826</c:v>
                </c:pt>
                <c:pt idx="9">
                  <c:v>2.7314646872285109</c:v>
                </c:pt>
                <c:pt idx="10">
                  <c:v>0.19418325799955077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18.132139936578756</c:v>
                </c:pt>
                <c:pt idx="14">
                  <c:v>11.870106120928318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</c:numCache>
            </c:numRef>
          </c:val>
        </c:ser>
        <c:marker val="1"/>
        <c:axId val="137083520"/>
        <c:axId val="140710272"/>
      </c:lineChart>
      <c:catAx>
        <c:axId val="1370835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40710272"/>
        <c:crosses val="autoZero"/>
        <c:auto val="1"/>
        <c:lblAlgn val="ctr"/>
        <c:lblOffset val="100"/>
      </c:catAx>
      <c:valAx>
        <c:axId val="14071027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3708352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التطور المستقبلي لعدد العاطلين حسب تصور الأسر</a:t>
            </a:r>
            <a:endParaRPr lang="fr-FR" sz="1400"/>
          </a:p>
          <a:p>
            <a:pPr algn="ctr">
              <a:defRPr sz="1400"/>
            </a:pPr>
            <a:r>
              <a:rPr lang="ar-MA" sz="1400" b="1" i="0" baseline="0"/>
              <a:t>(</a:t>
            </a:r>
            <a:r>
              <a:rPr lang="ar-MA" sz="1400" b="0" i="0" baseline="0"/>
              <a:t>أرصدة الآراء</a:t>
            </a:r>
            <a:r>
              <a:rPr lang="ar-MA" sz="1400" b="1" i="0" baseline="0"/>
              <a:t>)</a:t>
            </a:r>
          </a:p>
        </c:rich>
      </c:tx>
      <c:layout>
        <c:manualLayout>
          <c:xMode val="edge"/>
          <c:yMode val="edge"/>
          <c:x val="0.1735666486639772"/>
          <c:y val="2.9489584656895353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'graphes ar'!$A$9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ar'!$B$7:$X$7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'graphes ar'!$B$9:$X$9</c:f>
              <c:numCache>
                <c:formatCode>#,##0.0</c:formatCode>
                <c:ptCount val="23"/>
                <c:pt idx="0">
                  <c:v>-52.095692279179325</c:v>
                </c:pt>
                <c:pt idx="1">
                  <c:v>-56.601297669293061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-57.930600458568378</c:v>
                </c:pt>
                <c:pt idx="7">
                  <c:v>-57.517749523976413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-52.33531684402255</c:v>
                </c:pt>
                <c:pt idx="12">
                  <c:v>-52.408437207990296</c:v>
                </c:pt>
                <c:pt idx="13">
                  <c:v>-45.982278486233348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</c:numCache>
            </c:numRef>
          </c:val>
        </c:ser>
        <c:marker val="1"/>
        <c:axId val="167741696"/>
        <c:axId val="168267776"/>
      </c:lineChart>
      <c:catAx>
        <c:axId val="16774169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68267776"/>
        <c:crosses val="autoZero"/>
        <c:auto val="1"/>
        <c:lblAlgn val="ctr"/>
        <c:lblOffset val="100"/>
      </c:catAx>
      <c:valAx>
        <c:axId val="168267776"/>
        <c:scaling>
          <c:orientation val="minMax"/>
        </c:scaling>
        <c:axPos val="l"/>
        <c:majorGridlines/>
        <c:numFmt formatCode="#,##0.0" sourceLinked="1"/>
        <c:tickLblPos val="nextTo"/>
        <c:crossAx val="16774169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ملائمة الظروف للقيام بشراء السلع </a:t>
            </a:r>
            <a:r>
              <a:rPr lang="ar-MA" sz="1400" b="1" i="0" baseline="0">
                <a:cs typeface="Simplified Arabic" pitchFamily="2" charset="-78"/>
              </a:rPr>
              <a:t>المستديمة</a:t>
            </a:r>
            <a:r>
              <a:rPr lang="ar-MA" sz="1400" b="1" i="0" baseline="0"/>
              <a:t> </a:t>
            </a:r>
            <a:r>
              <a:rPr lang="ar-MA" sz="1400" b="1" i="0" u="none" strike="noStrike" baseline="0"/>
              <a:t>حسب تصور الأسر</a:t>
            </a:r>
            <a:r>
              <a:rPr lang="ar-MA" sz="1400" b="1" i="0" baseline="0"/>
              <a:t> </a:t>
            </a:r>
            <a:endParaRPr lang="en-US" sz="14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0" i="0" baseline="0"/>
              <a:t>(</a:t>
            </a:r>
            <a:r>
              <a:rPr lang="ar-MA" sz="1400" b="0" i="0" baseline="0"/>
              <a:t>أرصدة الآراء</a:t>
            </a:r>
            <a:r>
              <a:rPr lang="fr-FR" sz="1400" b="0" i="0" baseline="0"/>
              <a:t>) </a:t>
            </a:r>
            <a:endParaRPr lang="en-US" sz="1400"/>
          </a:p>
        </c:rich>
      </c:tx>
      <c:layout>
        <c:manualLayout>
          <c:xMode val="edge"/>
          <c:yMode val="edge"/>
          <c:x val="0.13523731408573941"/>
          <c:y val="2.820874471086039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'graphes ar'!$A$12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ar'!$B$7:$X$7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'graphes ar'!$B$12:$X$12</c:f>
              <c:numCache>
                <c:formatCode>#,##0.0</c:formatCode>
                <c:ptCount val="23"/>
                <c:pt idx="0">
                  <c:v>-30.018449770831726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-41.765350509034029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-37.532519098272004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-39.860076277616571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-37.388587169100369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-28.348240299081652</c:v>
                </c:pt>
                <c:pt idx="21">
                  <c:v>-31.722199742496027</c:v>
                </c:pt>
                <c:pt idx="22">
                  <c:v>-29.53704552622213</c:v>
                </c:pt>
              </c:numCache>
            </c:numRef>
          </c:val>
        </c:ser>
        <c:marker val="1"/>
        <c:axId val="176406528"/>
        <c:axId val="44863488"/>
      </c:lineChart>
      <c:catAx>
        <c:axId val="1764065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44863488"/>
        <c:crosses val="autoZero"/>
        <c:auto val="1"/>
        <c:lblAlgn val="ctr"/>
        <c:lblOffset val="100"/>
      </c:catAx>
      <c:valAx>
        <c:axId val="4486348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7640652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تصور الأسر حول تطور وضعيتهم المالية</a:t>
            </a:r>
            <a:endParaRPr lang="fr-FR" sz="1400" b="1" i="0" baseline="0"/>
          </a:p>
          <a:p>
            <a:pPr algn="ctr">
              <a:defRPr sz="1400"/>
            </a:pPr>
            <a:r>
              <a:rPr lang="ar-MA" sz="1400" b="0" i="0" baseline="0"/>
              <a:t>(أرصدة الآراء)</a:t>
            </a:r>
            <a:endParaRPr lang="fr-FR" sz="1400"/>
          </a:p>
        </c:rich>
      </c:tx>
      <c:layout>
        <c:manualLayout>
          <c:xMode val="edge"/>
          <c:yMode val="edge"/>
          <c:x val="0.29013101008867076"/>
          <c:y val="0"/>
        </c:manualLayout>
      </c:layout>
    </c:title>
    <c:plotArea>
      <c:layout>
        <c:manualLayout>
          <c:layoutTarget val="inner"/>
          <c:xMode val="edge"/>
          <c:yMode val="edge"/>
          <c:x val="5.2012079437676703E-2"/>
          <c:y val="0.24809179842605394"/>
          <c:w val="0.92409458642627484"/>
          <c:h val="0.64363028493958219"/>
        </c:manualLayout>
      </c:layout>
      <c:lineChart>
        <c:grouping val="standard"/>
        <c:ser>
          <c:idx val="0"/>
          <c:order val="0"/>
          <c:tx>
            <c:strRef>
              <c:f>'graphes ar'!$A$13</c:f>
              <c:strCache>
                <c:ptCount val="1"/>
                <c:pt idx="0">
                  <c:v>الوضعية الحالية </c:v>
                </c:pt>
              </c:strCache>
            </c:strRef>
          </c:tx>
          <c:marker>
            <c:symbol val="none"/>
          </c:marker>
          <c:cat>
            <c:strRef>
              <c:f>'graphes ar'!$B$7:$X$7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'graphes ar'!$B$13:$X$13</c:f>
              <c:numCache>
                <c:formatCode>#,##0.0</c:formatCode>
                <c:ptCount val="23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-28.062624892496267</c:v>
                </c:pt>
                <c:pt idx="12">
                  <c:v>-30.645498931903685</c:v>
                </c:pt>
                <c:pt idx="13">
                  <c:v>-27.092549889444243</c:v>
                </c:pt>
                <c:pt idx="14">
                  <c:v>-24.28899054728441</c:v>
                </c:pt>
                <c:pt idx="15">
                  <c:v>-25.669712181349681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-30.846093343724156</c:v>
                </c:pt>
                <c:pt idx="19">
                  <c:v>-29.426966691861221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-29.484131282651166</c:v>
                </c:pt>
              </c:numCache>
            </c:numRef>
          </c:val>
        </c:ser>
        <c:ser>
          <c:idx val="1"/>
          <c:order val="1"/>
          <c:tx>
            <c:strRef>
              <c:f>'graphes ar'!$A$14</c:f>
              <c:strCache>
                <c:ptCount val="1"/>
                <c:pt idx="0">
                  <c:v>التطور السابق</c:v>
                </c:pt>
              </c:strCache>
            </c:strRef>
          </c:tx>
          <c:marker>
            <c:symbol val="none"/>
          </c:marker>
          <c:cat>
            <c:strRef>
              <c:f>'graphes ar'!$B$7:$X$7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'graphes ar'!$B$14:$X$14</c:f>
              <c:numCache>
                <c:formatCode>#,##0.0</c:formatCode>
                <c:ptCount val="23"/>
                <c:pt idx="0">
                  <c:v>-11.760493904860514</c:v>
                </c:pt>
                <c:pt idx="1">
                  <c:v>-11.376439540974209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-18.438210074457306</c:v>
                </c:pt>
                <c:pt idx="5">
                  <c:v>-13.353492384896787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-9.8004349690184345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-21.891965579068554</c:v>
                </c:pt>
              </c:numCache>
            </c:numRef>
          </c:val>
        </c:ser>
        <c:ser>
          <c:idx val="2"/>
          <c:order val="2"/>
          <c:tx>
            <c:strRef>
              <c:f>'graphes ar'!$A$15</c:f>
              <c:strCache>
                <c:ptCount val="1"/>
                <c:pt idx="0">
                  <c:v>التطور المرتقب </c:v>
                </c:pt>
              </c:strCache>
            </c:strRef>
          </c:tx>
          <c:marker>
            <c:symbol val="none"/>
          </c:marker>
          <c:cat>
            <c:strRef>
              <c:f>'graphes ar'!$B$7:$X$7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'graphes ar'!$B$15:$X$15</c:f>
              <c:numCache>
                <c:formatCode>#,##0.0</c:formatCode>
                <c:ptCount val="23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26.705941849103127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17.532817766676551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11.776375704730462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11.230833640450305</c:v>
                </c:pt>
                <c:pt idx="17">
                  <c:v>11.136340416980383</c:v>
                </c:pt>
                <c:pt idx="18">
                  <c:v>7.6658451594012815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</c:numCache>
            </c:numRef>
          </c:val>
        </c:ser>
        <c:marker val="1"/>
        <c:axId val="44877312"/>
        <c:axId val="44878848"/>
      </c:lineChart>
      <c:catAx>
        <c:axId val="448773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44878848"/>
        <c:crosses val="autoZero"/>
        <c:auto val="1"/>
        <c:lblAlgn val="ctr"/>
        <c:lblOffset val="100"/>
      </c:catAx>
      <c:valAx>
        <c:axId val="4487884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4487731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التطور المستقبلي (ب %) </a:t>
            </a:r>
            <a:endParaRPr lang="fr-FR" sz="1400" b="1" i="0" baseline="0"/>
          </a:p>
          <a:p>
            <a:pPr algn="ctr">
              <a:defRPr sz="1400"/>
            </a:pPr>
            <a:r>
              <a:rPr lang="ar-MA" sz="1400" b="1" i="0" baseline="0"/>
              <a:t> </a:t>
            </a:r>
            <a:endParaRPr lang="fr-FR" sz="1400"/>
          </a:p>
        </c:rich>
      </c:tx>
      <c:layout>
        <c:manualLayout>
          <c:xMode val="edge"/>
          <c:yMode val="edge"/>
          <c:x val="0.11275429616135363"/>
          <c:y val="0"/>
        </c:manualLayout>
      </c:layout>
    </c:title>
    <c:plotArea>
      <c:layout>
        <c:manualLayout>
          <c:layoutTarget val="inner"/>
          <c:xMode val="edge"/>
          <c:yMode val="edge"/>
          <c:x val="4.5414834669096134E-2"/>
          <c:y val="0.1118882270610785"/>
          <c:w val="0.92314412594460649"/>
          <c:h val="0.73665330028613862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ar'!$Q$88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ar'!$R$87:$T$87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'graphes ar'!$R$88:$T$88</c:f>
              <c:numCache>
                <c:formatCode>#,##0.0%</c:formatCode>
                <c:ptCount val="3"/>
                <c:pt idx="0">
                  <c:v>0.75516565900177535</c:v>
                </c:pt>
                <c:pt idx="1">
                  <c:v>0.75298621548061362</c:v>
                </c:pt>
                <c:pt idx="2">
                  <c:v>0.76683781813050211</c:v>
                </c:pt>
              </c:numCache>
            </c:numRef>
          </c:val>
        </c:ser>
        <c:ser>
          <c:idx val="1"/>
          <c:order val="1"/>
          <c:tx>
            <c:strRef>
              <c:f>'graphes ar'!$Q$89</c:f>
              <c:strCache>
                <c:ptCount val="1"/>
                <c:pt idx="0">
                  <c:v>استقرار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</a:t>
                    </a:r>
                    <a:r>
                      <a:rPr lang="ar-MA" sz="900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22,</a:t>
                    </a:r>
                    <a:r>
                      <a:rPr lang="ar-MA" sz="9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'graphes ar'!$R$87:$T$87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'graphes ar'!$R$89:$T$89</c:f>
              <c:numCache>
                <c:formatCode>#,##0.0%</c:formatCode>
                <c:ptCount val="3"/>
                <c:pt idx="0">
                  <c:v>0.2254523966607867</c:v>
                </c:pt>
                <c:pt idx="1">
                  <c:v>0.22700000000000001</c:v>
                </c:pt>
                <c:pt idx="2">
                  <c:v>0.22639892300025333</c:v>
                </c:pt>
              </c:numCache>
            </c:numRef>
          </c:val>
        </c:ser>
        <c:ser>
          <c:idx val="2"/>
          <c:order val="2"/>
          <c:tx>
            <c:strRef>
              <c:f>'graphes ar'!$Q$90</c:f>
              <c:strCache>
                <c:ptCount val="1"/>
                <c:pt idx="0">
                  <c:v>انخفاض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'graphes ar'!$R$90:$T$90</c:f>
              <c:numCache>
                <c:formatCode>#,##0.0%</c:formatCode>
                <c:ptCount val="3"/>
                <c:pt idx="0">
                  <c:v>1.9381944337437194E-2</c:v>
                </c:pt>
                <c:pt idx="1">
                  <c:v>1.9436501443296672E-2</c:v>
                </c:pt>
                <c:pt idx="2">
                  <c:v>6.7632588692425931E-3</c:v>
                </c:pt>
              </c:numCache>
            </c:numRef>
          </c:val>
        </c:ser>
        <c:gapWidth val="75"/>
        <c:overlap val="-25"/>
        <c:axId val="88166784"/>
        <c:axId val="88168320"/>
      </c:barChart>
      <c:catAx>
        <c:axId val="88166784"/>
        <c:scaling>
          <c:orientation val="minMax"/>
        </c:scaling>
        <c:axPos val="b"/>
        <c:majorTickMark val="none"/>
        <c:tickLblPos val="nextTo"/>
        <c:crossAx val="88168320"/>
        <c:crosses val="autoZero"/>
        <c:auto val="1"/>
        <c:lblAlgn val="ctr"/>
        <c:lblOffset val="100"/>
      </c:catAx>
      <c:valAx>
        <c:axId val="88168320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8816678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التطور السابق (ب %) 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 </a:t>
            </a:r>
            <a:endParaRPr lang="fr-FR" sz="140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30692976274371664"/>
          <c:y val="0"/>
        </c:manualLayout>
      </c:layout>
    </c:title>
    <c:plotArea>
      <c:layout>
        <c:manualLayout>
          <c:layoutTarget val="inner"/>
          <c:xMode val="edge"/>
          <c:yMode val="edge"/>
          <c:x val="5.1679586563307449E-2"/>
          <c:y val="0.11947497135334359"/>
          <c:w val="0.89664082687338564"/>
          <c:h val="0.68659205949180968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ar'!$Q$91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ar'!$R$87:$T$87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'graphes ar'!$R$91:$T$91</c:f>
              <c:numCache>
                <c:formatCode>#,##0.0%</c:formatCode>
                <c:ptCount val="3"/>
                <c:pt idx="0">
                  <c:v>0.9224075505494197</c:v>
                </c:pt>
                <c:pt idx="1">
                  <c:v>0.8996799224194143</c:v>
                </c:pt>
                <c:pt idx="2">
                  <c:v>0.91438433149499432</c:v>
                </c:pt>
              </c:numCache>
            </c:numRef>
          </c:val>
        </c:ser>
        <c:ser>
          <c:idx val="1"/>
          <c:order val="1"/>
          <c:tx>
            <c:strRef>
              <c:f>'graphes ar'!$Q$92</c:f>
              <c:strCache>
                <c:ptCount val="1"/>
                <c:pt idx="0">
                  <c:v>استقرار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</a:t>
                    </a:r>
                    <a:r>
                      <a:rPr lang="ar-MA" sz="900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'graphes ar'!$R$87:$T$87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'graphes ar'!$R$92:$T$92</c:f>
              <c:numCache>
                <c:formatCode>#,##0.0%</c:formatCode>
                <c:ptCount val="3"/>
                <c:pt idx="0">
                  <c:v>7.1721381787496916E-2</c:v>
                </c:pt>
                <c:pt idx="1">
                  <c:v>9.0277946086739225E-2</c:v>
                </c:pt>
                <c:pt idx="2">
                  <c:v>7.6311149928791414E-2</c:v>
                </c:pt>
              </c:numCache>
            </c:numRef>
          </c:val>
        </c:ser>
        <c:ser>
          <c:idx val="2"/>
          <c:order val="2"/>
          <c:tx>
            <c:strRef>
              <c:f>'graphes ar'!$Q$93</c:f>
              <c:strCache>
                <c:ptCount val="1"/>
                <c:pt idx="0">
                  <c:v>انخفاض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'graphes ar'!$R$93:$T$93</c:f>
              <c:numCache>
                <c:formatCode>#,##0.0%</c:formatCode>
                <c:ptCount val="3"/>
                <c:pt idx="0">
                  <c:v>5.871067663083312E-3</c:v>
                </c:pt>
                <c:pt idx="1">
                  <c:v>1.004213149384707E-2</c:v>
                </c:pt>
                <c:pt idx="2">
                  <c:v>9.3045185762115866E-3</c:v>
                </c:pt>
              </c:numCache>
            </c:numRef>
          </c:val>
        </c:ser>
        <c:gapWidth val="75"/>
        <c:overlap val="-25"/>
        <c:axId val="88199552"/>
        <c:axId val="88201088"/>
      </c:barChart>
      <c:catAx>
        <c:axId val="88199552"/>
        <c:scaling>
          <c:orientation val="minMax"/>
        </c:scaling>
        <c:axPos val="b"/>
        <c:majorTickMark val="none"/>
        <c:tickLblPos val="nextTo"/>
        <c:crossAx val="88201088"/>
        <c:crosses val="autoZero"/>
        <c:auto val="1"/>
        <c:lblAlgn val="ctr"/>
        <c:lblOffset val="100"/>
      </c:catAx>
      <c:valAx>
        <c:axId val="88201088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881995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9DE9-2DBC-41A5-A4F3-073F6337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2013-11-15T16:13:00Z</cp:lastPrinted>
  <dcterms:created xsi:type="dcterms:W3CDTF">2013-11-15T18:32:00Z</dcterms:created>
  <dcterms:modified xsi:type="dcterms:W3CDTF">2013-11-15T18:34:00Z</dcterms:modified>
</cp:coreProperties>
</file>