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FB5154" w:rsidP="00FB5154">
      <w:pPr>
        <w:rPr>
          <w:rFonts w:hint="cs"/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B5154" w:rsidRPr="00305222" w:rsidRDefault="00105F6E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الثاني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من سنة 2013</w:t>
      </w:r>
    </w:p>
    <w:p w:rsidR="00FB5154" w:rsidRPr="00892060" w:rsidRDefault="00FB5154" w:rsidP="00FB5154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FB5154" w:rsidRPr="000F5040" w:rsidRDefault="00FB5154" w:rsidP="005E75B8">
      <w:pPr>
        <w:bidi/>
        <w:spacing w:before="24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للتخطيط، أن مؤشر ثقة الأسر قد سجل خلال </w:t>
      </w:r>
      <w:r w:rsidR="00105F6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الثاني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 2013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</w:t>
      </w:r>
      <w:r w:rsidR="00E43FA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نخفاضا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قدر ب </w:t>
      </w:r>
      <w:r w:rsidR="00105F6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1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E43FA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6</w:t>
      </w:r>
      <w:r w:rsidRPr="000F5040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نقط</w:t>
      </w:r>
      <w:r w:rsidR="00506AE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ة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مقارنة مع </w:t>
      </w:r>
      <w:r w:rsidR="00105F6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الأول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105F6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508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ب </w:t>
      </w:r>
      <w:r w:rsidR="00105F6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105F6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نقاط </w:t>
      </w:r>
      <w:r w:rsidRPr="00E32A8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نفس الفصل من سنة </w:t>
      </w:r>
      <w:r w:rsidR="008A508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2012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933226" w:rsidRDefault="00933226" w:rsidP="000F1AFE">
      <w:pPr>
        <w:bidi/>
        <w:spacing w:before="24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هكذا، استقر</w:t>
      </w:r>
      <w:r w:rsidR="00052202"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052202"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52202"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52202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(غير معالج من التأثيرات الموسمية)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105F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2013، في 7</w:t>
      </w:r>
      <w:r w:rsidR="009C77F2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D297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مقابل 7</w:t>
      </w:r>
      <w:r w:rsidR="009C77F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C77F2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FB515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السابق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9C77F2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C77F2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B5154" w:rsidRPr="009907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السابقة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9569BA" w:rsidRDefault="00933226" w:rsidP="000F1AFE">
      <w:pPr>
        <w:bidi/>
        <w:spacing w:before="24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وحسب مكونات</w:t>
      </w:r>
      <w:r w:rsidR="00B86C1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86C16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="0072249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عرف </w:t>
      </w:r>
      <w:r w:rsidR="00B86C16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 الثقة  تطورا متباينا</w:t>
      </w:r>
      <w:r w:rsidR="009569B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احتفاظ</w:t>
      </w:r>
      <w:r w:rsidR="00587DC3">
        <w:rPr>
          <w:rFonts w:ascii="Times New Roman" w:hAnsi="Times New Roman" w:cs="Simplified Arabic" w:hint="cs"/>
          <w:sz w:val="28"/>
          <w:szCs w:val="28"/>
          <w:rtl/>
          <w:lang w:bidi="ar-MA"/>
        </w:rPr>
        <w:t>ه</w:t>
      </w:r>
      <w:r w:rsidR="009569B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بنفس </w:t>
      </w:r>
      <w:r w:rsidR="00B86C1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الاتجاه نحو </w:t>
      </w:r>
      <w:r w:rsidR="009569BA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الانخفاض.</w:t>
      </w:r>
    </w:p>
    <w:p w:rsidR="009569BA" w:rsidRDefault="009569BA" w:rsidP="009569BA">
      <w:pPr>
        <w:bidi/>
        <w:jc w:val="both"/>
        <w:rPr>
          <w:rFonts w:cs="Simplified Arabic"/>
          <w:rtl/>
          <w:lang w:bidi="ar-MA"/>
        </w:rPr>
      </w:pPr>
    </w:p>
    <w:p w:rsidR="00FB5154" w:rsidRDefault="000A6343" w:rsidP="00FB5154">
      <w:pPr>
        <w:bidi/>
        <w:spacing w:line="276" w:lineRule="auto"/>
        <w:jc w:val="both"/>
        <w:rPr>
          <w:rFonts w:cs="Simplified Arabic"/>
          <w:noProof/>
          <w:rtl/>
          <w:lang w:bidi="ar-MA"/>
        </w:rPr>
      </w:pPr>
      <w:r w:rsidRPr="000A6343">
        <w:rPr>
          <w:rFonts w:cs="Simplified Arabic"/>
          <w:noProof/>
          <w:rtl/>
        </w:rPr>
        <w:drawing>
          <wp:inline distT="0" distB="0" distL="0" distR="0">
            <wp:extent cx="5764264" cy="3476846"/>
            <wp:effectExtent l="19050" t="0" r="26936" b="9304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5154" w:rsidRDefault="00FB5154" w:rsidP="00FB5154">
      <w:pPr>
        <w:bidi/>
        <w:jc w:val="both"/>
        <w:rPr>
          <w:rFonts w:cs="Simplified Arabic"/>
          <w:noProof/>
          <w:rtl/>
        </w:rPr>
      </w:pPr>
    </w:p>
    <w:p w:rsidR="00BF5CFA" w:rsidRDefault="00BF5CFA" w:rsidP="00BF5CFA">
      <w:pPr>
        <w:bidi/>
        <w:jc w:val="both"/>
        <w:rPr>
          <w:rFonts w:cs="Simplified Arabic"/>
          <w:noProof/>
          <w:rtl/>
        </w:rPr>
      </w:pPr>
    </w:p>
    <w:p w:rsidR="00FB5154" w:rsidRDefault="00FB5154" w:rsidP="00FB5154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تطور مكون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ات </w:t>
      </w: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مؤشر الثقة</w:t>
      </w:r>
    </w:p>
    <w:p w:rsidR="00FB5154" w:rsidRPr="00DE73E0" w:rsidRDefault="00FB5154" w:rsidP="00FB5154">
      <w:pPr>
        <w:pStyle w:val="Paragraphedeliste"/>
        <w:widowControl/>
        <w:autoSpaceDE/>
        <w:autoSpaceDN/>
        <w:bidi/>
        <w:adjustRightInd/>
        <w:spacing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FB5154" w:rsidRPr="003E265E" w:rsidRDefault="00FB5154" w:rsidP="005F4C0B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80" w:lineRule="exact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لمعيشة</w:t>
      </w:r>
      <w:r w:rsidR="000F1AFE">
        <w:rPr>
          <w:rFonts w:ascii="Times New Roman" w:hAnsi="Times New Roman" w:cs="Simplified Arabic"/>
          <w:b/>
          <w:bCs/>
          <w:sz w:val="30"/>
          <w:szCs w:val="30"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5F4C0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ارتفاع طفيف لثقة الأسر</w:t>
      </w:r>
    </w:p>
    <w:p w:rsidR="00561537" w:rsidRDefault="00D212C6" w:rsidP="00472DBD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عرفت آراء الأسر فيما يخص التطور السابق و المستقبلي لمستوى المعيشة بالمغرب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 بالمقارنة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472DBD">
        <w:rPr>
          <w:rFonts w:ascii="Times New Roman" w:hAnsi="Times New Roman" w:cs="Simplified Arabic" w:hint="cs"/>
          <w:sz w:val="28"/>
          <w:szCs w:val="28"/>
          <w:rtl/>
          <w:lang w:bidi="ar-MA"/>
        </w:rPr>
        <w:t>. فخلال الفصل الثاني من سنة 2013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ارتفع رصيد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ه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ين المؤشرين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6,1  نقاط  و ب 0,9 نقطة على التوالي.</w:t>
      </w:r>
    </w:p>
    <w:p w:rsidR="00267C04" w:rsidRDefault="00FB5154" w:rsidP="00096DF6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</w:t>
      </w:r>
      <w:r w:rsidR="00267C0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بالمقارنة مع </w:t>
      </w:r>
      <w:r w:rsidR="007D35E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مستواه خلال </w:t>
      </w:r>
      <w:r w:rsidR="00267C0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الفترة من 2012،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67C0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فقد تدهورت آراء الأسر </w:t>
      </w:r>
      <w:r w:rsidR="00096DF6">
        <w:rPr>
          <w:rFonts w:ascii="Times New Roman" w:hAnsi="Times New Roman" w:cs="Simplified Arabic" w:hint="cs"/>
          <w:sz w:val="28"/>
          <w:szCs w:val="28"/>
          <w:rtl/>
          <w:lang w:bidi="ar-MA"/>
        </w:rPr>
        <w:t>ب 1</w:t>
      </w:r>
      <w:r w:rsidR="00096DF6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96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3 نقطة </w:t>
      </w:r>
      <w:r w:rsidR="00D4488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بالنسبة للتطور السابق </w:t>
      </w:r>
      <w:r w:rsidR="00267C0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 13</w:t>
      </w:r>
      <w:r w:rsidR="00267C04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67C04">
        <w:rPr>
          <w:rFonts w:ascii="Times New Roman" w:hAnsi="Times New Roman" w:cs="Simplified Arabic" w:hint="cs"/>
          <w:sz w:val="28"/>
          <w:szCs w:val="28"/>
          <w:rtl/>
          <w:lang w:bidi="ar-MA"/>
        </w:rPr>
        <w:t>2 نقطة بالنسبة لتطور</w:t>
      </w:r>
      <w:r w:rsidR="00AF6CD7">
        <w:rPr>
          <w:rFonts w:ascii="Times New Roman" w:hAnsi="Times New Roman" w:cs="Simplified Arabic" w:hint="cs"/>
          <w:sz w:val="28"/>
          <w:szCs w:val="28"/>
          <w:rtl/>
          <w:lang w:bidi="ar-MA"/>
        </w:rPr>
        <w:t>ها</w:t>
      </w:r>
      <w:r w:rsidR="00267C0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المستقبلي.</w:t>
      </w:r>
    </w:p>
    <w:p w:rsidR="000C542A" w:rsidRDefault="000C542A" w:rsidP="000C542A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Default="009B7782" w:rsidP="00FB5154">
      <w:pPr>
        <w:widowControl/>
        <w:autoSpaceDE/>
        <w:autoSpaceDN/>
        <w:bidi/>
        <w:adjustRightInd/>
        <w:spacing w:after="200" w:line="276" w:lineRule="auto"/>
        <w:jc w:val="center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9B7782">
        <w:rPr>
          <w:rFonts w:ascii="Times New Roman" w:hAnsi="Times New Roman" w:cs="Simplified Arabic"/>
          <w:b/>
          <w:bCs/>
          <w:noProof/>
          <w:sz w:val="30"/>
          <w:szCs w:val="30"/>
          <w:rtl/>
        </w:rPr>
        <w:drawing>
          <wp:inline distT="0" distB="0" distL="0" distR="0">
            <wp:extent cx="5764264" cy="2977117"/>
            <wp:effectExtent l="19050" t="0" r="26936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542A" w:rsidRPr="000C542A" w:rsidRDefault="000C542A" w:rsidP="000C542A">
      <w:pPr>
        <w:pStyle w:val="Paragraphedeliste"/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Pr="00DC2D0E" w:rsidRDefault="00FB5154" w:rsidP="002F0FB7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</w:t>
      </w:r>
      <w:r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D554A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</w:t>
      </w:r>
      <w:r w:rsidR="002F0FB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حاد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بارتفاع</w:t>
      </w:r>
      <w:r w:rsidR="002F0FB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ها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B5154" w:rsidRDefault="00B31EEF" w:rsidP="000C542A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الفصل الثاني من 2013،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تتوقع أكثر من  76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المقبلة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مقابل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72,4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فصلا من قبل و 64,4 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 من قبل. </w:t>
      </w:r>
      <w:r w:rsidR="003639B6"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 </w:t>
      </w:r>
      <w:r w:rsidR="003F1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سلبي يقدر ب </w:t>
      </w:r>
      <w:r w:rsidR="003F1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85717B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3F16A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5717B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متابعا ب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منحاه التناقصي ليصل </w:t>
      </w:r>
      <w:r w:rsidR="0085717B">
        <w:rPr>
          <w:rFonts w:ascii="Times New Roman" w:hAnsi="Times New Roman" w:cs="Simplified Arabic" w:hint="cs"/>
          <w:sz w:val="28"/>
          <w:szCs w:val="28"/>
          <w:rtl/>
          <w:lang w:bidi="ar-MA"/>
        </w:rPr>
        <w:t>إلى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أقل مستوى له منذ بداية البحث مسجلا بذلك 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85717B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5717B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0E598D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ط  مقارنة مع الفصل السابق و ب 1</w:t>
      </w:r>
      <w:r w:rsidR="0085717B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5717B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مقارنة مع نفس الفصل من 201</w:t>
      </w:r>
      <w:r w:rsidR="00AB4028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FB5154" w:rsidP="00FB5154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B60126" w:rsidRDefault="00B60126" w:rsidP="00B60126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B60126" w:rsidRDefault="00B60126" w:rsidP="00B60126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B60126" w:rsidRDefault="00B60126" w:rsidP="00B60126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Default="005332F6" w:rsidP="00FB5154">
      <w:pPr>
        <w:rPr>
          <w:rtl/>
          <w:lang w:bidi="ar-MA"/>
        </w:rPr>
      </w:pPr>
      <w:r w:rsidRPr="005332F6">
        <w:rPr>
          <w:noProof/>
        </w:rPr>
        <w:drawing>
          <wp:inline distT="0" distB="0" distL="0" distR="0">
            <wp:extent cx="5915660" cy="2948867"/>
            <wp:effectExtent l="19050" t="0" r="27940" b="3883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065EBF" w:rsidP="0017770A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انخفاض </w:t>
      </w:r>
      <w:r w:rsidR="00F355D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نوايا </w:t>
      </w:r>
      <w:r w:rsidR="0017770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</w:t>
      </w:r>
      <w:r w:rsidR="00FB515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اقتناء</w:t>
      </w:r>
      <w:r w:rsidR="00FB5154" w:rsidRPr="00007D3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B60126" w:rsidRDefault="00FB5154" w:rsidP="005E75B8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اعتبر أكثر من 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52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105F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مستديمة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أن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ترى 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 ذلك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وقد سجل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سلبيا قدر ب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31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مسجلا ت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دهورا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قدر  ب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3,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ب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نفس الفصل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4335D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C6224A" w:rsidP="00FB5154">
      <w:pPr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8pt;margin-top:206.4pt;width:479.75pt;height:2.5pt;flip:y;z-index:251658240" o:connectortype="straight"/>
        </w:pict>
      </w:r>
      <w:r w:rsidR="008E6AB7" w:rsidRPr="008E6AB7">
        <w:rPr>
          <w:noProof/>
        </w:rPr>
        <w:drawing>
          <wp:inline distT="0" distB="0" distL="0" distR="0">
            <wp:extent cx="6096886" cy="2668773"/>
            <wp:effectExtent l="19050" t="0" r="18164" b="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52A5" w:rsidRPr="007E52A5" w:rsidRDefault="007E52A5" w:rsidP="007E52A5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7E52A5" w:rsidRPr="007E52A5" w:rsidRDefault="007E52A5" w:rsidP="007E52A5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7E52A5" w:rsidRDefault="007E52A5" w:rsidP="007E52A5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0F1AFE" w:rsidRPr="007E52A5" w:rsidRDefault="000F1AFE" w:rsidP="000F1AFE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Pr="007E52A5" w:rsidRDefault="00037417" w:rsidP="00037417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 ال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مالية </w:t>
      </w:r>
      <w:r w:rsidR="00903583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في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انخفاض</w:t>
      </w:r>
      <w:r w:rsidR="00903583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مستمر</w:t>
      </w:r>
      <w:r w:rsidR="00FB5154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B5154" w:rsidRDefault="00FB5154" w:rsidP="005E75B8">
      <w:pPr>
        <w:widowControl/>
        <w:autoSpaceDE/>
        <w:autoSpaceDN/>
        <w:bidi/>
        <w:adjustRightInd/>
        <w:spacing w:after="200" w:line="380" w:lineRule="exact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بالنسبة ل</w:t>
      </w:r>
      <w:r w:rsidR="004744D0">
        <w:rPr>
          <w:rFonts w:ascii="Times New Roman" w:hAnsi="Times New Roman" w:cs="Simplified Arabic" w:hint="cs"/>
          <w:sz w:val="28"/>
          <w:szCs w:val="28"/>
          <w:rtl/>
          <w:lang w:bidi="ar-MA"/>
        </w:rPr>
        <w:t>58,4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الأسر، فإن مداخيلها  تغطي  مصاريفها في حين 3</w:t>
      </w:r>
      <w:r w:rsidR="004744D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744D0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تستنزف من مدخراتها أو </w:t>
      </w:r>
      <w:r w:rsidR="00A83C1A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الاستدان.  </w:t>
      </w:r>
      <w:r w:rsidR="001A0B0C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>سوى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صرحت بتمكنها من ادخار جزء من مدخولها. وهكذا استقر رصيد هذا مؤشر </w:t>
      </w:r>
      <w:r w:rsidR="002124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الوضعية المالية الحالية للأسر في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قدر ب 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>30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مسجلا بذلك 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ارتفاعا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قدر ب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>0,8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سنة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</w:t>
      </w:r>
      <w:r w:rsidR="002B56E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</w:t>
      </w:r>
      <w:r w:rsidR="00A0641C">
        <w:rPr>
          <w:rFonts w:ascii="Times New Roman" w:hAnsi="Times New Roman" w:cs="Simplified Arabic" w:hint="cs"/>
          <w:sz w:val="28"/>
          <w:szCs w:val="28"/>
          <w:rtl/>
          <w:lang w:bidi="ar-MA"/>
        </w:rPr>
        <w:t>نخفاضا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B56E7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,4 نقطة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E8429E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 2012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2447B7" w:rsidRDefault="00FB5154" w:rsidP="002447B7">
      <w:pPr>
        <w:widowControl/>
        <w:autoSpaceDE/>
        <w:autoSpaceDN/>
        <w:bidi/>
        <w:adjustRightInd/>
        <w:spacing w:after="200" w:line="380" w:lineRule="exact"/>
        <w:ind w:left="283" w:hanging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بالنسبة للتطور الساب</w:t>
      </w:r>
      <w:r w:rsidR="00B35F0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ق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B35F02" w:rsidRPr="00F71F1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فقد عرفت آراء الأسر 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تدهورا 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قدر ب 4,2 نقاط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</w:t>
      </w:r>
      <w:r w:rsidR="00B35F0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فصل من قبل و ب 7,2 </w:t>
      </w:r>
      <w:r w:rsidR="000708E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نقاط 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سنة من قبل.</w:t>
      </w:r>
    </w:p>
    <w:p w:rsidR="00FB5154" w:rsidRDefault="002447B7" w:rsidP="00256064">
      <w:pPr>
        <w:widowControl/>
        <w:autoSpaceDE/>
        <w:autoSpaceDN/>
        <w:bidi/>
        <w:adjustRightInd/>
        <w:spacing w:after="200" w:line="380" w:lineRule="exact"/>
        <w:ind w:left="14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بخصوص التصورات المستقبلة لتطور </w:t>
      </w:r>
      <w:r w:rsidR="00DD7AA5">
        <w:rPr>
          <w:rFonts w:ascii="Times New Roman" w:hAnsi="Times New Roman" w:cs="Simplified Arabic" w:hint="cs"/>
          <w:sz w:val="28"/>
          <w:szCs w:val="28"/>
          <w:rtl/>
          <w:lang w:bidi="ar-MA"/>
        </w:rPr>
        <w:t>وضعيتهم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المالية، فقد استقر رصيد الآراء في أقل مستوى له من</w:t>
      </w:r>
      <w:r w:rsidR="00DD7AA5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2007 و </w:t>
      </w:r>
      <w:r w:rsidR="00DD7AA5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في حدود 0,7 نقطة. </w:t>
      </w:r>
      <w:r w:rsidR="00C40181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بالرغم من </w:t>
      </w:r>
      <w:r w:rsidR="00D66C55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استمرار مستواه الإيجابي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سجل ه</w:t>
      </w:r>
      <w:r w:rsidR="00DD7AA5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الرصيد انخفاضا ب 3,8 نقاط مقارنة مع الفصل السابق و ب 10,4 نقاط مقارنة مع </w:t>
      </w:r>
      <w:r w:rsidR="006813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</w:t>
      </w:r>
      <w:r w:rsidR="002560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</w:t>
      </w:r>
      <w:r w:rsidR="006813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  <w:r w:rsidR="00256064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1708BF" w:rsidP="00FB5154">
      <w:pPr>
        <w:rPr>
          <w:rtl/>
          <w:lang w:bidi="ar-MA"/>
        </w:rPr>
      </w:pPr>
      <w:r w:rsidRPr="001708BF">
        <w:rPr>
          <w:noProof/>
        </w:rPr>
        <w:drawing>
          <wp:inline distT="0" distB="0" distL="0" distR="0">
            <wp:extent cx="5878520" cy="3666962"/>
            <wp:effectExtent l="19050" t="0" r="26980" b="0"/>
            <wp:docPr id="5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5154" w:rsidRDefault="00FB5154" w:rsidP="00FB5154">
      <w:pPr>
        <w:rPr>
          <w:rtl/>
          <w:lang w:bidi="ar-MA"/>
        </w:rPr>
      </w:pPr>
    </w:p>
    <w:p w:rsidR="00FB5154" w:rsidRPr="00A343E7" w:rsidRDefault="00FB5154" w:rsidP="00095E84">
      <w:pPr>
        <w:widowControl/>
        <w:autoSpaceDE/>
        <w:autoSpaceDN/>
        <w:bidi/>
        <w:adjustRightInd/>
        <w:spacing w:before="240" w:after="20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2. تطور مؤشرات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أخرى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آراء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</w:t>
      </w:r>
    </w:p>
    <w:p w:rsidR="00FB5154" w:rsidRDefault="00FB5154" w:rsidP="00456931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بالإضافة إلى المؤشرات السبع المكونة لمؤشر الثقة للأسر، يوفر البحث معطيات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مجالات أخرى.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يتعلق الأمر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 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أثمنة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5693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الغذائية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الخصوص.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0F1AFE" w:rsidRDefault="000F1AFE" w:rsidP="000F1AFE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C1247B" w:rsidRPr="00C1247B" w:rsidRDefault="006A1177" w:rsidP="000D79A1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قدر</w:t>
      </w:r>
      <w:r w:rsidR="00FA0F2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 على الادخار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0D79A1"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تشاؤم </w:t>
      </w:r>
      <w:r w:rsidR="000D79A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</w:t>
      </w:r>
      <w:r w:rsidR="00C1247B"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ستمر</w:t>
      </w:r>
    </w:p>
    <w:p w:rsidR="001C4A0B" w:rsidRDefault="007B2624" w:rsidP="000F1AFE">
      <w:pPr>
        <w:widowControl/>
        <w:autoSpaceDE/>
        <w:autoSpaceDN/>
        <w:bidi/>
        <w:adjustRightInd/>
        <w:spacing w:after="200" w:line="380" w:lineRule="exact"/>
        <w:ind w:left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عبرت الأسر، خلال </w:t>
      </w:r>
      <w:r w:rsidR="00105F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2013، عن آراء أكثر تشاؤما فيما يخص قدرتها على الادخار خلال الشه</w:t>
      </w:r>
      <w:r w:rsidR="00313D8D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ر القادمة. ف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أكثر من ثماني أسر من كل عشرة (8</w:t>
      </w:r>
      <w:r w:rsidR="00C9541E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0595D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FB5154" w:rsidRPr="00C1247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 ب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عدم قدرتها على </w:t>
      </w:r>
      <w:r w:rsidR="001C4A0B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12 شهرا المقبلة مقابل 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14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C1247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</w:t>
      </w:r>
      <w:r w:rsidR="007B278D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لك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996A25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لك استق</w:t>
      </w:r>
      <w:r w:rsidR="00C062A5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ر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سلبي يقدر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C062A5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70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96A25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DC038B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نخفض</w:t>
      </w:r>
      <w:r w:rsidR="00DC038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96A25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 مقارنة مع الفصل السابق وب 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0595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DC038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ط مقارنة مع نفس الفصل من 2012.</w:t>
      </w:r>
      <w:r w:rsidR="001C4A0B"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FB5154" w:rsidP="00FB5154">
      <w:pPr>
        <w:pStyle w:val="Paragraphedeliste"/>
        <w:widowControl/>
        <w:autoSpaceDE/>
        <w:autoSpaceDN/>
        <w:bidi/>
        <w:adjustRightInd/>
        <w:spacing w:line="380" w:lineRule="exact"/>
        <w:ind w:left="0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Default="00FB5154" w:rsidP="003A5AEE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أثمنة المواد الغذائية</w:t>
      </w:r>
      <w:r w:rsidR="003A5AEE" w:rsidRPr="002610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 w:rsidR="002610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2610CC" w:rsidRPr="002610CC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>تحسن طفيف</w:t>
      </w:r>
      <w:r w:rsidR="003A5AE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 و </w:t>
      </w:r>
      <w:r w:rsidR="002610CC" w:rsidRPr="002610CC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>زيادات</w:t>
      </w:r>
      <w:r w:rsidR="002610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2610CC" w:rsidRPr="002610CC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 xml:space="preserve">أقل </w:t>
      </w:r>
      <w:r w:rsidR="002610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حدة</w:t>
      </w:r>
    </w:p>
    <w:p w:rsidR="00FF6791" w:rsidRPr="0077123D" w:rsidRDefault="00FF6791" w:rsidP="00FF6791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D80851" w:rsidRPr="00D80851" w:rsidRDefault="00D80851" w:rsidP="005E75B8">
      <w:pPr>
        <w:pStyle w:val="Paragraphedeliste"/>
        <w:widowControl/>
        <w:autoSpaceDE/>
        <w:autoSpaceDN/>
        <w:bidi/>
        <w:adjustRightInd/>
        <w:spacing w:line="380" w:lineRule="exact"/>
        <w:ind w:left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105F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2013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03926">
        <w:rPr>
          <w:rFonts w:ascii="Times New Roman" w:hAnsi="Times New Roman" w:cs="Simplified Arabic" w:hint="cs"/>
          <w:sz w:val="28"/>
          <w:szCs w:val="28"/>
          <w:rtl/>
          <w:lang w:bidi="ar-MA"/>
        </w:rPr>
        <w:t>تمثل ل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أزيد من تسع أسر من كل عشرة (</w:t>
      </w:r>
      <w:r w:rsidR="003915CF">
        <w:rPr>
          <w:rFonts w:ascii="Times New Roman" w:hAnsi="Times New Roman" w:cs="Simplified Arabic" w:hint="cs"/>
          <w:sz w:val="28"/>
          <w:szCs w:val="28"/>
          <w:rtl/>
          <w:lang w:bidi="ar-MA"/>
        </w:rPr>
        <w:t>90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3915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أثمنة المواد الغذائية  عرفت ارتفاعا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السابق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 9</w:t>
      </w:r>
      <w:r w:rsidR="003915C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915C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فصل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من قبل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3915C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915C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472F8A">
        <w:rPr>
          <w:rFonts w:ascii="Times New Roman" w:hAnsi="Times New Roman" w:cs="Simplified Arabic" w:hint="cs"/>
          <w:sz w:val="28"/>
          <w:szCs w:val="28"/>
          <w:rtl/>
          <w:lang w:bidi="ar-MA"/>
        </w:rPr>
        <w:t>من قبل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5E30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بالرغم من مستواه السلبي، فقد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 رصيد ه</w:t>
      </w:r>
      <w:r w:rsidR="00346369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ا المؤشر تحسنا قدر ب 2,</w:t>
      </w:r>
      <w:r w:rsidR="00BE6191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الفصل </w:t>
      </w:r>
      <w:r w:rsidR="004D2C07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ب 2,</w:t>
      </w:r>
      <w:r w:rsidR="00BE619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نفس الفصل من 2012.</w:t>
      </w:r>
    </w:p>
    <w:p w:rsidR="00FB5154" w:rsidRDefault="000A1AFF" w:rsidP="000F1AFE">
      <w:pPr>
        <w:pStyle w:val="Paragraphedeliste"/>
        <w:widowControl/>
        <w:autoSpaceDE/>
        <w:autoSpaceDN/>
        <w:bidi/>
        <w:adjustRightInd/>
        <w:spacing w:after="240" w:line="380" w:lineRule="exact"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التصورات المستقبلية لتطور أثمنة المواد الغدائية، ف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يتوقع أكثر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ثلاث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أسر من كل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أربعة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75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ارتفاعها في المستقبل مقابل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78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الفصل الأول من 2013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73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الفصل الثاني من 2012. أما 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الرصيد الخاص بالتطور 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مستقبلي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لأثمنة المواد 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فقد ارتفع ب 2,</w:t>
      </w:r>
      <w:r w:rsidR="002B7CB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الفصل الأول من 2013 في حين انخفض ب 1,9 نقطة  </w:t>
      </w:r>
      <w:r w:rsidR="0030566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الفترة من 2012.</w:t>
      </w:r>
    </w:p>
    <w:p w:rsidR="00FB5154" w:rsidRDefault="005C79C5">
      <w:pPr>
        <w:rPr>
          <w:noProof/>
        </w:rPr>
      </w:pPr>
      <w:r w:rsidRPr="005C79C5">
        <w:rPr>
          <w:noProof/>
        </w:rPr>
        <w:drawing>
          <wp:inline distT="0" distB="0" distL="0" distR="0">
            <wp:extent cx="2752548" cy="3197860"/>
            <wp:effectExtent l="19050" t="0" r="9702" b="2540"/>
            <wp:docPr id="6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B5154" w:rsidRPr="00FB5154">
        <w:rPr>
          <w:noProof/>
        </w:rPr>
        <w:t xml:space="preserve"> </w:t>
      </w:r>
      <w:r w:rsidRPr="005C79C5">
        <w:rPr>
          <w:noProof/>
        </w:rPr>
        <w:drawing>
          <wp:inline distT="0" distB="0" distL="0" distR="0">
            <wp:extent cx="2735255" cy="3197225"/>
            <wp:effectExtent l="19050" t="0" r="26995" b="3175"/>
            <wp:docPr id="7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51E40" w:rsidRDefault="00B51E40">
      <w:pPr>
        <w:rPr>
          <w:noProof/>
        </w:rPr>
      </w:pPr>
    </w:p>
    <w:p w:rsidR="00B51E40" w:rsidRDefault="00B51E40">
      <w:pPr>
        <w:rPr>
          <w:noProof/>
        </w:rPr>
      </w:pPr>
    </w:p>
    <w:p w:rsidR="00B51E40" w:rsidRDefault="00B51E40" w:rsidP="00B51E40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B51E40" w:rsidRDefault="00B51E40" w:rsidP="00B51E40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B51E40" w:rsidRDefault="00B51E40" w:rsidP="00B51E40">
      <w:pPr>
        <w:widowControl/>
        <w:autoSpaceDE/>
        <w:autoSpaceDN/>
        <w:adjustRightInd/>
        <w:rPr>
          <w:rFonts w:ascii="Times New Roman" w:hAnsi="Times New Roman" w:cs="Simplified Arabic"/>
          <w:sz w:val="28"/>
          <w:szCs w:val="28"/>
          <w:lang w:bidi="ar-MA"/>
        </w:rPr>
        <w:sectPr w:rsidR="00B51E40" w:rsidSect="0048130A">
          <w:footerReference w:type="default" r:id="rId15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B51E40" w:rsidRDefault="00B51E40" w:rsidP="00B51E40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6111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563"/>
        <w:gridCol w:w="140"/>
        <w:gridCol w:w="432"/>
        <w:gridCol w:w="95"/>
        <w:gridCol w:w="63"/>
        <w:gridCol w:w="446"/>
        <w:gridCol w:w="80"/>
        <w:gridCol w:w="571"/>
        <w:gridCol w:w="539"/>
        <w:gridCol w:w="80"/>
        <w:gridCol w:w="547"/>
        <w:gridCol w:w="37"/>
        <w:gridCol w:w="604"/>
        <w:gridCol w:w="592"/>
        <w:gridCol w:w="592"/>
        <w:gridCol w:w="595"/>
        <w:gridCol w:w="128"/>
        <w:gridCol w:w="464"/>
        <w:gridCol w:w="592"/>
        <w:gridCol w:w="592"/>
        <w:gridCol w:w="596"/>
        <w:gridCol w:w="204"/>
        <w:gridCol w:w="388"/>
        <w:gridCol w:w="592"/>
        <w:gridCol w:w="592"/>
        <w:gridCol w:w="596"/>
        <w:gridCol w:w="470"/>
        <w:gridCol w:w="122"/>
        <w:gridCol w:w="592"/>
        <w:gridCol w:w="592"/>
        <w:gridCol w:w="606"/>
        <w:gridCol w:w="634"/>
        <w:gridCol w:w="2283"/>
        <w:gridCol w:w="7"/>
        <w:gridCol w:w="85"/>
      </w:tblGrid>
      <w:tr w:rsidR="00D17912" w:rsidRPr="005C79C5" w:rsidTr="00CD3444">
        <w:trPr>
          <w:gridAfter w:val="1"/>
          <w:wAfter w:w="85" w:type="dxa"/>
          <w:trHeight w:val="138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C79C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4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2012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2011</w:t>
            </w:r>
          </w:p>
        </w:tc>
        <w:tc>
          <w:tcPr>
            <w:tcW w:w="2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2010</w:t>
            </w:r>
          </w:p>
        </w:tc>
        <w:tc>
          <w:tcPr>
            <w:tcW w:w="2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2009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2008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المؤشر</w:t>
            </w:r>
          </w:p>
        </w:tc>
      </w:tr>
      <w:tr w:rsidR="00CD3444" w:rsidRPr="005C79C5" w:rsidTr="00CD3444">
        <w:trPr>
          <w:gridAfter w:val="2"/>
          <w:wAfter w:w="92" w:type="dxa"/>
          <w:trHeight w:val="30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2</w:t>
            </w:r>
          </w:p>
        </w:tc>
        <w:tc>
          <w:tcPr>
            <w:tcW w:w="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1</w:t>
            </w:r>
          </w:p>
        </w:tc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4</w:t>
            </w: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3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2</w:t>
            </w: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1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4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3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2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1</w:t>
            </w:r>
          </w:p>
        </w:tc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4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3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2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1</w:t>
            </w:r>
          </w:p>
        </w:tc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4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3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2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1</w:t>
            </w:r>
          </w:p>
        </w:tc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4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3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tl/>
              </w:rPr>
              <w:t>ف 1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444" w:rsidRPr="005C79C5" w:rsidTr="00CD3444">
        <w:trPr>
          <w:gridAfter w:val="2"/>
          <w:wAfter w:w="92" w:type="dxa"/>
          <w:trHeight w:val="27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444" w:rsidRPr="005C79C5" w:rsidTr="00CD3444">
        <w:trPr>
          <w:gridAfter w:val="2"/>
          <w:wAfter w:w="92" w:type="dxa"/>
          <w:trHeight w:val="5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34636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</w:rPr>
            </w:pPr>
            <w:r w:rsidRPr="005C79C5">
              <w:rPr>
                <w:rFonts w:ascii="Calibri" w:hAnsi="Calibri" w:cs="Times New Roman"/>
                <w:b/>
                <w:bCs/>
                <w:sz w:val="22"/>
                <w:szCs w:val="22"/>
              </w:rPr>
              <w:t>74,</w:t>
            </w:r>
            <w:r w:rsidR="00546BFA">
              <w:rPr>
                <w:rFonts w:ascii="Calibri" w:hAnsi="Calibri" w:cs="Times New Roma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</w:rPr>
            </w:pPr>
            <w:r w:rsidRPr="005C79C5">
              <w:rPr>
                <w:rFonts w:ascii="Calibri" w:hAnsi="Calibri" w:cs="Times New Roman"/>
                <w:b/>
                <w:bCs/>
                <w:sz w:val="22"/>
                <w:szCs w:val="22"/>
              </w:rPr>
              <w:t>75,8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5C79C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CD34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مؤشر الثقة لدى الأسر المغربية</w:t>
            </w:r>
          </w:p>
        </w:tc>
      </w:tr>
      <w:tr w:rsidR="00CD3444" w:rsidRPr="005C79C5" w:rsidTr="00CD3444">
        <w:trPr>
          <w:gridAfter w:val="2"/>
          <w:wAfter w:w="92" w:type="dxa"/>
          <w:trHeight w:val="5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-67,8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-61,7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-58,1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9C5">
              <w:rPr>
                <w:rFonts w:ascii="Arial" w:hAnsi="Arial" w:cs="Arial"/>
                <w:color w:val="000000"/>
                <w:sz w:val="18"/>
                <w:szCs w:val="18"/>
              </w:rPr>
              <w:t>-56,7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-48,6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-44,1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-41,6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-52,4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-52,3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-59,2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-59,1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-52,1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التطور المستقبلي للبطالة</w:t>
            </w:r>
          </w:p>
        </w:tc>
      </w:tr>
      <w:tr w:rsidR="00CD3444" w:rsidRPr="005C79C5" w:rsidTr="00CD3444">
        <w:trPr>
          <w:gridAfter w:val="2"/>
          <w:wAfter w:w="92" w:type="dxa"/>
          <w:trHeight w:val="3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-23,1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-29,2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9C5">
              <w:rPr>
                <w:rFonts w:ascii="Arial" w:hAnsi="Arial" w:cs="Arial"/>
                <w:color w:val="000000"/>
                <w:sz w:val="18"/>
                <w:szCs w:val="18"/>
              </w:rPr>
              <w:t>-27,9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-21,8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-26,2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-26,1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-36,7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-10,4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التطور السابق لمستوى المعيشة بصفة عامة</w:t>
            </w:r>
          </w:p>
        </w:tc>
      </w:tr>
      <w:tr w:rsidR="00CD3444" w:rsidRPr="005C79C5" w:rsidTr="00CD3444">
        <w:trPr>
          <w:gridAfter w:val="2"/>
          <w:wAfter w:w="92" w:type="dxa"/>
          <w:trHeight w:val="23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-4,2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-5,1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9C5">
              <w:rPr>
                <w:rFonts w:ascii="Arial" w:hAnsi="Arial" w:cs="Arial"/>
                <w:color w:val="000000"/>
                <w:sz w:val="18"/>
                <w:szCs w:val="18"/>
              </w:rPr>
              <w:t>-3,2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-9,3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آفاق تطور مستوى المعيشة بصفة عامة</w:t>
            </w:r>
          </w:p>
        </w:tc>
      </w:tr>
      <w:tr w:rsidR="00CD3444" w:rsidRPr="005C79C5" w:rsidTr="00CD3444">
        <w:trPr>
          <w:gridAfter w:val="2"/>
          <w:wAfter w:w="92" w:type="dxa"/>
          <w:trHeight w:val="57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3463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-31,</w:t>
            </w:r>
            <w:r w:rsidR="00346369">
              <w:rPr>
                <w:rFonts w:ascii="Arial" w:hAnsi="Arial" w:cs="Arial" w:hint="cs"/>
                <w:sz w:val="18"/>
                <w:szCs w:val="18"/>
                <w:rtl/>
              </w:rPr>
              <w:t>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-28,3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9C5">
              <w:rPr>
                <w:rFonts w:ascii="Arial" w:hAnsi="Arial" w:cs="Arial"/>
                <w:color w:val="000000"/>
                <w:sz w:val="18"/>
                <w:szCs w:val="18"/>
              </w:rPr>
              <w:t>-29,5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-38,5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-39,9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-44,3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-34,8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-42,6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-43,4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-41,8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فرص اقتناء السلع المستديمة</w:t>
            </w:r>
          </w:p>
        </w:tc>
      </w:tr>
      <w:tr w:rsidR="00CD3444" w:rsidRPr="005C79C5" w:rsidTr="00CD3444">
        <w:trPr>
          <w:gridAfter w:val="2"/>
          <w:wAfter w:w="92" w:type="dxa"/>
          <w:trHeight w:val="52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-30,2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-29,8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9C5">
              <w:rPr>
                <w:rFonts w:ascii="Arial" w:hAnsi="Arial" w:cs="Arial"/>
                <w:color w:val="000000"/>
                <w:sz w:val="18"/>
                <w:szCs w:val="18"/>
              </w:rPr>
              <w:t>-30,8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-30,6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-31,3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-33,1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-33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الوضعية المالية الحالية للأسرة</w:t>
            </w:r>
          </w:p>
        </w:tc>
      </w:tr>
      <w:tr w:rsidR="00CD3444" w:rsidRPr="005C79C5" w:rsidTr="00CD3444">
        <w:trPr>
          <w:gridAfter w:val="2"/>
          <w:wAfter w:w="92" w:type="dxa"/>
          <w:trHeight w:val="25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-23,8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-19,6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-15,7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9C5">
              <w:rPr>
                <w:rFonts w:ascii="Arial" w:hAnsi="Arial" w:cs="Arial"/>
                <w:color w:val="000000"/>
                <w:sz w:val="18"/>
                <w:szCs w:val="18"/>
              </w:rPr>
              <w:t>-16,7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-16,6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-14,1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-10,5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-18,4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-11,8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التطور السابق للوضعية المالية للأسرة</w:t>
            </w:r>
          </w:p>
        </w:tc>
      </w:tr>
      <w:tr w:rsidR="00CD3444" w:rsidRPr="005C79C5" w:rsidTr="00CD3444">
        <w:trPr>
          <w:gridAfter w:val="2"/>
          <w:wAfter w:w="92" w:type="dxa"/>
          <w:trHeight w:val="25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9C5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التطور المرتقب للوضعية المالية للأسرة</w:t>
            </w:r>
          </w:p>
        </w:tc>
      </w:tr>
      <w:tr w:rsidR="005C79C5" w:rsidRPr="005C79C5" w:rsidTr="000F1AFE">
        <w:trPr>
          <w:gridAfter w:val="2"/>
          <w:wAfter w:w="92" w:type="dxa"/>
          <w:trHeight w:val="257"/>
        </w:trPr>
        <w:tc>
          <w:tcPr>
            <w:tcW w:w="160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أرصـــدة الأخـــرى</w:t>
            </w:r>
          </w:p>
        </w:tc>
      </w:tr>
      <w:tr w:rsidR="00CD3444" w:rsidRPr="005C79C5" w:rsidTr="00CD3444">
        <w:trPr>
          <w:gridAfter w:val="2"/>
          <w:wAfter w:w="92" w:type="dxa"/>
          <w:trHeight w:val="26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-73,4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-76,1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9C5">
              <w:rPr>
                <w:rFonts w:ascii="Arial" w:hAnsi="Arial" w:cs="Arial"/>
                <w:color w:val="000000"/>
                <w:sz w:val="18"/>
                <w:szCs w:val="18"/>
              </w:rPr>
              <w:t>-73,6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-71,5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-69,8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-72,6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-73,4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-70,2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-46,5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-47,9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-50,9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-33,5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-34,9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-49,7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-78,9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-74,1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التطور المرتقب لاثمنة المواد الغذائية</w:t>
            </w:r>
          </w:p>
        </w:tc>
      </w:tr>
      <w:tr w:rsidR="00CD3444" w:rsidRPr="005C79C5" w:rsidTr="00CD3444">
        <w:trPr>
          <w:gridAfter w:val="2"/>
          <w:wAfter w:w="92" w:type="dxa"/>
          <w:trHeight w:val="52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3463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-8</w:t>
            </w:r>
            <w:r w:rsidR="00346369"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  <w:r w:rsidRPr="005C79C5">
              <w:rPr>
                <w:rFonts w:ascii="Arial" w:hAnsi="Arial" w:cs="Arial"/>
                <w:sz w:val="18"/>
                <w:szCs w:val="18"/>
              </w:rPr>
              <w:t>,</w:t>
            </w:r>
            <w:r w:rsidR="00346369">
              <w:rPr>
                <w:rFonts w:ascii="Arial" w:hAnsi="Arial" w:cs="Arial" w:hint="cs"/>
                <w:sz w:val="18"/>
                <w:szCs w:val="18"/>
                <w:rtl/>
              </w:rPr>
              <w:t>9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-91,6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-90,6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9C5">
              <w:rPr>
                <w:rFonts w:ascii="Arial" w:hAnsi="Arial" w:cs="Arial"/>
                <w:color w:val="000000"/>
                <w:sz w:val="18"/>
                <w:szCs w:val="18"/>
              </w:rPr>
              <w:t>-91,7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-91,1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-91,6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-89,9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-87,2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-95,5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-90,9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-89,7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-79,5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-83,3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-85,7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-96,2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-93,6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التطور السابق لاثمنة المواد الغذائية</w:t>
            </w:r>
          </w:p>
        </w:tc>
      </w:tr>
      <w:tr w:rsidR="00CD3444" w:rsidRPr="005C79C5" w:rsidTr="00CD3444">
        <w:trPr>
          <w:gridAfter w:val="2"/>
          <w:wAfter w:w="92" w:type="dxa"/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3463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-70,</w:t>
            </w:r>
            <w:r w:rsidR="00346369"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9C5">
              <w:rPr>
                <w:rFonts w:ascii="Arial" w:hAnsi="Arial" w:cs="Arial"/>
                <w:sz w:val="18"/>
                <w:szCs w:val="18"/>
              </w:rPr>
              <w:t>-67,0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9C5">
              <w:rPr>
                <w:rFonts w:ascii="Arial" w:hAnsi="Arial" w:cs="Arial"/>
                <w:color w:val="000000"/>
                <w:sz w:val="18"/>
                <w:szCs w:val="18"/>
              </w:rPr>
              <w:t>-65,3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-63,5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-63,3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-61,7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-66,6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-67,6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5C79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-61,2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C5" w:rsidRPr="005C79C5" w:rsidRDefault="005C79C5" w:rsidP="004A0A68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9C5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قدرة الأسر على الادخار خلال الأشهر المقبلة</w:t>
            </w:r>
          </w:p>
        </w:tc>
      </w:tr>
      <w:tr w:rsidR="00CD3444" w:rsidRPr="00160CD6" w:rsidTr="00CD3444">
        <w:trPr>
          <w:gridBefore w:val="2"/>
          <w:wBefore w:w="703" w:type="dxa"/>
          <w:trHeight w:val="143"/>
        </w:trPr>
        <w:tc>
          <w:tcPr>
            <w:tcW w:w="590" w:type="dxa"/>
            <w:gridSpan w:val="3"/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263" w:type="dxa"/>
            <w:gridSpan w:val="6"/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gridSpan w:val="6"/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gridSpan w:val="5"/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gridSpan w:val="5"/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gridSpan w:val="5"/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51E40" w:rsidRDefault="00B51E40" w:rsidP="00B51E40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sectPr w:rsidR="00B51E40" w:rsidSect="004F392A">
          <w:pgSz w:w="16838" w:h="11906" w:orient="landscape" w:code="9"/>
          <w:pgMar w:top="1418" w:right="1418" w:bottom="1418" w:left="1276" w:header="709" w:footer="709" w:gutter="0"/>
          <w:cols w:space="708"/>
          <w:docGrid w:linePitch="360"/>
        </w:sectPr>
      </w:pPr>
    </w:p>
    <w:p w:rsidR="00B51E40" w:rsidRDefault="00B51E40" w:rsidP="00B51E40">
      <w:pPr>
        <w:bidi/>
        <w:rPr>
          <w:rFonts w:cs="Simplified Arabic"/>
          <w:rtl/>
          <w:lang w:bidi="ar-MA"/>
        </w:rPr>
      </w:pPr>
    </w:p>
    <w:p w:rsidR="00B51E40" w:rsidRPr="00DC2D0E" w:rsidRDefault="00B51E40" w:rsidP="00B51E40">
      <w:pPr>
        <w:bidi/>
        <w:rPr>
          <w:rFonts w:cs="Simplified Arabic"/>
          <w:rtl/>
          <w:lang w:bidi="ar-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51E40" w:rsidRPr="00DC2D0E" w:rsidTr="00A34E4F">
        <w:tc>
          <w:tcPr>
            <w:tcW w:w="9212" w:type="dxa"/>
          </w:tcPr>
          <w:p w:rsidR="00B51E40" w:rsidRPr="004B7848" w:rsidRDefault="00B51E40" w:rsidP="00A34E4F">
            <w:pPr>
              <w:bidi/>
              <w:ind w:left="360"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1529FF" w:rsidRDefault="00B51E40" w:rsidP="00B51E40">
            <w:pPr>
              <w:pStyle w:val="Paragraphedeliste"/>
              <w:numPr>
                <w:ilvl w:val="0"/>
                <w:numId w:val="4"/>
              </w:numPr>
              <w:bidi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B51E40" w:rsidRPr="004B7848" w:rsidRDefault="00B51E40" w:rsidP="001529FF">
            <w:pPr>
              <w:pStyle w:val="Paragraphedeliste"/>
              <w:numPr>
                <w:ilvl w:val="0"/>
                <w:numId w:val="4"/>
              </w:numPr>
              <w:bidi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B51E40" w:rsidRPr="004B7848" w:rsidRDefault="00B51E40" w:rsidP="00B51E40">
            <w:pPr>
              <w:pStyle w:val="Paragraphedeliste"/>
              <w:numPr>
                <w:ilvl w:val="0"/>
                <w:numId w:val="6"/>
              </w:numPr>
              <w:bidi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B51E40" w:rsidRPr="004B7848" w:rsidRDefault="00B51E40" w:rsidP="000F1AFE">
            <w:pPr>
              <w:widowControl/>
              <w:autoSpaceDE/>
              <w:autoSpaceDN/>
              <w:bidi/>
              <w:adjustRightInd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 w:rsidR="000F1AFE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6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B51E40" w:rsidRPr="00DC2D0E" w:rsidRDefault="00B51E40" w:rsidP="00B51E40">
      <w:pPr>
        <w:bidi/>
        <w:rPr>
          <w:rFonts w:cs="Simplified Arabic"/>
          <w:rtl/>
          <w:lang w:bidi="ar-MA"/>
        </w:rPr>
      </w:pPr>
    </w:p>
    <w:p w:rsidR="00B51E40" w:rsidRDefault="00B51E40">
      <w:pPr>
        <w:rPr>
          <w:lang w:bidi="ar-MA"/>
        </w:rPr>
      </w:pPr>
    </w:p>
    <w:sectPr w:rsidR="00B51E40" w:rsidSect="00AF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2F" w:rsidRDefault="0035782F" w:rsidP="00FB5154">
      <w:r>
        <w:separator/>
      </w:r>
    </w:p>
  </w:endnote>
  <w:endnote w:type="continuationSeparator" w:id="0">
    <w:p w:rsidR="0035782F" w:rsidRDefault="0035782F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40" w:rsidRDefault="00C6224A">
    <w:pPr>
      <w:pStyle w:val="Pieddepage"/>
      <w:jc w:val="center"/>
    </w:pPr>
    <w:fldSimple w:instr=" PAGE   \* MERGEFORMAT ">
      <w:r w:rsidR="0035782F">
        <w:rPr>
          <w:noProof/>
        </w:rPr>
        <w:t>1</w:t>
      </w:r>
    </w:fldSimple>
  </w:p>
  <w:p w:rsidR="00B51E40" w:rsidRDefault="00B51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2F" w:rsidRDefault="0035782F" w:rsidP="00FB5154">
      <w:r>
        <w:separator/>
      </w:r>
    </w:p>
  </w:footnote>
  <w:footnote w:type="continuationSeparator" w:id="0">
    <w:p w:rsidR="0035782F" w:rsidRDefault="0035782F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2000FF8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56717"/>
    <w:multiLevelType w:val="hybridMultilevel"/>
    <w:tmpl w:val="37AA05E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54"/>
    <w:rsid w:val="000124FB"/>
    <w:rsid w:val="00014615"/>
    <w:rsid w:val="00023B39"/>
    <w:rsid w:val="00037417"/>
    <w:rsid w:val="0004224D"/>
    <w:rsid w:val="00046B93"/>
    <w:rsid w:val="00052202"/>
    <w:rsid w:val="00064F12"/>
    <w:rsid w:val="00065EBF"/>
    <w:rsid w:val="000708EE"/>
    <w:rsid w:val="00076021"/>
    <w:rsid w:val="00095E84"/>
    <w:rsid w:val="00096DF6"/>
    <w:rsid w:val="000A1AFF"/>
    <w:rsid w:val="000A6343"/>
    <w:rsid w:val="000B3E0B"/>
    <w:rsid w:val="000C542A"/>
    <w:rsid w:val="000D626F"/>
    <w:rsid w:val="000D79A1"/>
    <w:rsid w:val="000E598D"/>
    <w:rsid w:val="000F1AFE"/>
    <w:rsid w:val="00101EF8"/>
    <w:rsid w:val="00105F6E"/>
    <w:rsid w:val="0011409B"/>
    <w:rsid w:val="00137B43"/>
    <w:rsid w:val="00147008"/>
    <w:rsid w:val="001527A3"/>
    <w:rsid w:val="001529FF"/>
    <w:rsid w:val="00153603"/>
    <w:rsid w:val="00160CD6"/>
    <w:rsid w:val="001615E7"/>
    <w:rsid w:val="001708BF"/>
    <w:rsid w:val="00176575"/>
    <w:rsid w:val="0017770A"/>
    <w:rsid w:val="0018282E"/>
    <w:rsid w:val="0019443D"/>
    <w:rsid w:val="001A0B0C"/>
    <w:rsid w:val="001B69E0"/>
    <w:rsid w:val="001C4A0B"/>
    <w:rsid w:val="001D0D6A"/>
    <w:rsid w:val="001D7239"/>
    <w:rsid w:val="001F0A87"/>
    <w:rsid w:val="00211597"/>
    <w:rsid w:val="0021249E"/>
    <w:rsid w:val="0022035B"/>
    <w:rsid w:val="00224CF5"/>
    <w:rsid w:val="002447B7"/>
    <w:rsid w:val="002539F4"/>
    <w:rsid w:val="00256064"/>
    <w:rsid w:val="00257304"/>
    <w:rsid w:val="002610CC"/>
    <w:rsid w:val="00267C04"/>
    <w:rsid w:val="00276571"/>
    <w:rsid w:val="002804A3"/>
    <w:rsid w:val="002A369A"/>
    <w:rsid w:val="002A71C9"/>
    <w:rsid w:val="002B56E7"/>
    <w:rsid w:val="002B6282"/>
    <w:rsid w:val="002B6E48"/>
    <w:rsid w:val="002B7CB7"/>
    <w:rsid w:val="002C3B75"/>
    <w:rsid w:val="002C41F9"/>
    <w:rsid w:val="002F0FB7"/>
    <w:rsid w:val="00305668"/>
    <w:rsid w:val="00313D8D"/>
    <w:rsid w:val="00346369"/>
    <w:rsid w:val="0035782F"/>
    <w:rsid w:val="003639B6"/>
    <w:rsid w:val="003810D0"/>
    <w:rsid w:val="00387B6D"/>
    <w:rsid w:val="003915CF"/>
    <w:rsid w:val="00397951"/>
    <w:rsid w:val="003A5AEE"/>
    <w:rsid w:val="003F16A4"/>
    <w:rsid w:val="003F35F7"/>
    <w:rsid w:val="004137F0"/>
    <w:rsid w:val="00417BC7"/>
    <w:rsid w:val="004317A2"/>
    <w:rsid w:val="004335D4"/>
    <w:rsid w:val="00440B2C"/>
    <w:rsid w:val="00456931"/>
    <w:rsid w:val="00472DBD"/>
    <w:rsid w:val="00472F8A"/>
    <w:rsid w:val="004744D0"/>
    <w:rsid w:val="00486B84"/>
    <w:rsid w:val="00491FC0"/>
    <w:rsid w:val="004A0A68"/>
    <w:rsid w:val="004A321B"/>
    <w:rsid w:val="004D2C07"/>
    <w:rsid w:val="005059EA"/>
    <w:rsid w:val="00506AE4"/>
    <w:rsid w:val="00510502"/>
    <w:rsid w:val="00512D03"/>
    <w:rsid w:val="00524B06"/>
    <w:rsid w:val="00530FFD"/>
    <w:rsid w:val="005332F6"/>
    <w:rsid w:val="00543D43"/>
    <w:rsid w:val="0054625D"/>
    <w:rsid w:val="00546BFA"/>
    <w:rsid w:val="00551BD7"/>
    <w:rsid w:val="00557807"/>
    <w:rsid w:val="00561537"/>
    <w:rsid w:val="00587DC3"/>
    <w:rsid w:val="005A1CB8"/>
    <w:rsid w:val="005A21E2"/>
    <w:rsid w:val="005C1C08"/>
    <w:rsid w:val="005C79C5"/>
    <w:rsid w:val="005E30B1"/>
    <w:rsid w:val="005E75B8"/>
    <w:rsid w:val="005F04D0"/>
    <w:rsid w:val="005F4C0B"/>
    <w:rsid w:val="00621804"/>
    <w:rsid w:val="00630E9E"/>
    <w:rsid w:val="00642F6E"/>
    <w:rsid w:val="00660179"/>
    <w:rsid w:val="006705DD"/>
    <w:rsid w:val="0068132A"/>
    <w:rsid w:val="006A1177"/>
    <w:rsid w:val="006A752D"/>
    <w:rsid w:val="006B7D9F"/>
    <w:rsid w:val="006C2E02"/>
    <w:rsid w:val="006C6C31"/>
    <w:rsid w:val="006D449E"/>
    <w:rsid w:val="006E4001"/>
    <w:rsid w:val="006F6164"/>
    <w:rsid w:val="00713AEA"/>
    <w:rsid w:val="00722495"/>
    <w:rsid w:val="0074287F"/>
    <w:rsid w:val="00750142"/>
    <w:rsid w:val="00751DD8"/>
    <w:rsid w:val="0076463C"/>
    <w:rsid w:val="007A5ECA"/>
    <w:rsid w:val="007B2624"/>
    <w:rsid w:val="007B278D"/>
    <w:rsid w:val="007C2046"/>
    <w:rsid w:val="007C69D8"/>
    <w:rsid w:val="007D35E5"/>
    <w:rsid w:val="007D7613"/>
    <w:rsid w:val="007E21CC"/>
    <w:rsid w:val="007E52A5"/>
    <w:rsid w:val="007E754C"/>
    <w:rsid w:val="007F508E"/>
    <w:rsid w:val="00800A1E"/>
    <w:rsid w:val="00822166"/>
    <w:rsid w:val="00850227"/>
    <w:rsid w:val="0085717B"/>
    <w:rsid w:val="00884C67"/>
    <w:rsid w:val="00886E9F"/>
    <w:rsid w:val="0089053D"/>
    <w:rsid w:val="008A21C5"/>
    <w:rsid w:val="008A5081"/>
    <w:rsid w:val="008B7357"/>
    <w:rsid w:val="008E6AB7"/>
    <w:rsid w:val="00903583"/>
    <w:rsid w:val="0090595D"/>
    <w:rsid w:val="00917745"/>
    <w:rsid w:val="0092383F"/>
    <w:rsid w:val="00933226"/>
    <w:rsid w:val="00933B37"/>
    <w:rsid w:val="00936ABF"/>
    <w:rsid w:val="009569BA"/>
    <w:rsid w:val="00961F83"/>
    <w:rsid w:val="00963708"/>
    <w:rsid w:val="00996A25"/>
    <w:rsid w:val="009B7782"/>
    <w:rsid w:val="009C77F2"/>
    <w:rsid w:val="009F00A5"/>
    <w:rsid w:val="009F1CF6"/>
    <w:rsid w:val="00A03926"/>
    <w:rsid w:val="00A0641C"/>
    <w:rsid w:val="00A83C1A"/>
    <w:rsid w:val="00AA3B9F"/>
    <w:rsid w:val="00AB4028"/>
    <w:rsid w:val="00AF3E93"/>
    <w:rsid w:val="00AF6CD7"/>
    <w:rsid w:val="00B12659"/>
    <w:rsid w:val="00B23642"/>
    <w:rsid w:val="00B31EEF"/>
    <w:rsid w:val="00B35F02"/>
    <w:rsid w:val="00B44768"/>
    <w:rsid w:val="00B45958"/>
    <w:rsid w:val="00B4744D"/>
    <w:rsid w:val="00B51E40"/>
    <w:rsid w:val="00B60126"/>
    <w:rsid w:val="00B66797"/>
    <w:rsid w:val="00B86C16"/>
    <w:rsid w:val="00BE6191"/>
    <w:rsid w:val="00BF5CFA"/>
    <w:rsid w:val="00C062A5"/>
    <w:rsid w:val="00C1247B"/>
    <w:rsid w:val="00C1289A"/>
    <w:rsid w:val="00C308B8"/>
    <w:rsid w:val="00C3687F"/>
    <w:rsid w:val="00C40181"/>
    <w:rsid w:val="00C57243"/>
    <w:rsid w:val="00C6224A"/>
    <w:rsid w:val="00C94012"/>
    <w:rsid w:val="00C9541E"/>
    <w:rsid w:val="00CB2A34"/>
    <w:rsid w:val="00CB3F41"/>
    <w:rsid w:val="00CC6D5B"/>
    <w:rsid w:val="00CD3444"/>
    <w:rsid w:val="00CE52E9"/>
    <w:rsid w:val="00CF172D"/>
    <w:rsid w:val="00CF5A1C"/>
    <w:rsid w:val="00D033E3"/>
    <w:rsid w:val="00D17912"/>
    <w:rsid w:val="00D212C6"/>
    <w:rsid w:val="00D41B86"/>
    <w:rsid w:val="00D41EBC"/>
    <w:rsid w:val="00D427F1"/>
    <w:rsid w:val="00D44881"/>
    <w:rsid w:val="00D554A9"/>
    <w:rsid w:val="00D66C55"/>
    <w:rsid w:val="00D726FE"/>
    <w:rsid w:val="00D80851"/>
    <w:rsid w:val="00D970A1"/>
    <w:rsid w:val="00DA3E5A"/>
    <w:rsid w:val="00DB2DE8"/>
    <w:rsid w:val="00DC038B"/>
    <w:rsid w:val="00DD2977"/>
    <w:rsid w:val="00DD7AA5"/>
    <w:rsid w:val="00DE6981"/>
    <w:rsid w:val="00DE74C8"/>
    <w:rsid w:val="00DF0E2A"/>
    <w:rsid w:val="00DF5B36"/>
    <w:rsid w:val="00E15311"/>
    <w:rsid w:val="00E351BD"/>
    <w:rsid w:val="00E43FA4"/>
    <w:rsid w:val="00E77F57"/>
    <w:rsid w:val="00E8429E"/>
    <w:rsid w:val="00EC1FFE"/>
    <w:rsid w:val="00EF0DB8"/>
    <w:rsid w:val="00F13398"/>
    <w:rsid w:val="00F34E0F"/>
    <w:rsid w:val="00F355D8"/>
    <w:rsid w:val="00F4706C"/>
    <w:rsid w:val="00F640F9"/>
    <w:rsid w:val="00F837A6"/>
    <w:rsid w:val="00F92F53"/>
    <w:rsid w:val="00FA0F2B"/>
    <w:rsid w:val="00FA5597"/>
    <w:rsid w:val="00FB2760"/>
    <w:rsid w:val="00FB5154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2-201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1800" b="1" i="0" baseline="0"/>
              <a:t>تطور مؤشر الثقة للأسر المغربية</a:t>
            </a:r>
            <a:endParaRPr lang="en-US" sz="1800" b="1" i="0" baseline="0"/>
          </a:p>
        </c:rich>
      </c:tx>
      <c:layout/>
    </c:title>
    <c:plotArea>
      <c:layout>
        <c:manualLayout>
          <c:layoutTarget val="inner"/>
          <c:xMode val="edge"/>
          <c:yMode val="edge"/>
          <c:x val="1.9841269841269903E-2"/>
          <c:y val="0.17270007736277179"/>
          <c:w val="0.95149911816578692"/>
          <c:h val="0.70673548540927922"/>
        </c:manualLayout>
      </c:layout>
      <c:barChart>
        <c:barDir val="col"/>
        <c:grouping val="clustered"/>
        <c:ser>
          <c:idx val="0"/>
          <c:order val="0"/>
          <c:tx>
            <c:strRef>
              <c:f>'graphes ar'!#REF!</c:f>
              <c:strCache>
                <c:ptCount val="1"/>
                <c:pt idx="0">
                  <c:v>#REF!</c:v>
                </c:pt>
              </c:strCache>
            </c:strRef>
          </c:tx>
          <c:dLbls>
            <c:dLbl>
              <c:idx val="21"/>
              <c:layout/>
              <c:tx>
                <c:rich>
                  <a:bodyPr/>
                  <a:lstStyle/>
                  <a:p>
                    <a:r>
                      <a:rPr lang="en-US"/>
                      <a:t>74,</a:t>
                    </a:r>
                    <a:r>
                      <a:rPr lang="ar-MA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'graphes ar'!$B$7:$W$7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'graphes ar'!$B$8:$W$8</c:f>
              <c:numCache>
                <c:formatCode>General</c:formatCode>
                <c:ptCount val="22"/>
                <c:pt idx="0">
                  <c:v>85.9</c:v>
                </c:pt>
                <c:pt idx="1">
                  <c:v>77.7</c:v>
                </c:pt>
                <c:pt idx="2">
                  <c:v>75.599999999999994</c:v>
                </c:pt>
                <c:pt idx="3">
                  <c:v>80.099999999999994</c:v>
                </c:pt>
                <c:pt idx="4">
                  <c:v>76.900000000000006</c:v>
                </c:pt>
                <c:pt idx="5">
                  <c:v>77.599999999999994</c:v>
                </c:pt>
                <c:pt idx="6">
                  <c:v>79.099999999999994</c:v>
                </c:pt>
                <c:pt idx="7">
                  <c:v>79.5</c:v>
                </c:pt>
                <c:pt idx="8">
                  <c:v>80.099999999999994</c:v>
                </c:pt>
                <c:pt idx="9">
                  <c:v>78.8</c:v>
                </c:pt>
                <c:pt idx="10">
                  <c:v>78.599999999999994</c:v>
                </c:pt>
                <c:pt idx="11">
                  <c:v>74.7</c:v>
                </c:pt>
                <c:pt idx="12">
                  <c:v>78.400000000000006</c:v>
                </c:pt>
                <c:pt idx="13">
                  <c:v>85.8</c:v>
                </c:pt>
                <c:pt idx="14">
                  <c:v>86.5</c:v>
                </c:pt>
                <c:pt idx="15">
                  <c:v>84.5</c:v>
                </c:pt>
                <c:pt idx="16">
                  <c:v>82.9</c:v>
                </c:pt>
                <c:pt idx="17">
                  <c:v>80.7</c:v>
                </c:pt>
                <c:pt idx="18">
                  <c:v>77.599999999999994</c:v>
                </c:pt>
                <c:pt idx="19">
                  <c:v>78.400000000000006</c:v>
                </c:pt>
                <c:pt idx="20" formatCode="#,##0.0">
                  <c:v>75.830193123476278</c:v>
                </c:pt>
                <c:pt idx="21" formatCode="0.0">
                  <c:v>74.248731152292436</c:v>
                </c:pt>
              </c:numCache>
            </c:numRef>
          </c:val>
        </c:ser>
        <c:axId val="58400128"/>
        <c:axId val="58406016"/>
      </c:barChart>
      <c:catAx>
        <c:axId val="584001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58406016"/>
        <c:crosses val="autoZero"/>
        <c:auto val="1"/>
        <c:lblAlgn val="ctr"/>
        <c:lblOffset val="100"/>
      </c:catAx>
      <c:valAx>
        <c:axId val="58406016"/>
        <c:scaling>
          <c:orientation val="minMax"/>
        </c:scaling>
        <c:delete val="1"/>
        <c:axPos val="l"/>
        <c:numFmt formatCode="General" sourceLinked="1"/>
        <c:tickLblPos val="none"/>
        <c:crossAx val="5840012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600" b="1" i="0" baseline="0"/>
              <a:t>تطور المستوى العام للمعيشة</a:t>
            </a:r>
            <a:endParaRPr lang="fr-FR" sz="1600" b="1" i="0" baseline="0"/>
          </a:p>
          <a:p>
            <a:pPr algn="ctr">
              <a:defRPr/>
            </a:pPr>
            <a:r>
              <a:rPr lang="ar-MA" sz="1600" b="1" i="0" baseline="0"/>
              <a:t> (</a:t>
            </a:r>
            <a:r>
              <a:rPr lang="ar-MA" sz="1600" b="0" i="0" baseline="0"/>
              <a:t>أرصدة الآراء</a:t>
            </a:r>
            <a:r>
              <a:rPr lang="ar-MA" sz="1600" b="1" i="0" baseline="0"/>
              <a:t>)</a:t>
            </a:r>
            <a:endParaRPr lang="fr-FR" sz="16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ar'!$A$10</c:f>
              <c:strCache>
                <c:ptCount val="1"/>
                <c:pt idx="0">
                  <c:v>التطور السابق 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'graphes ar'!$B$7:$W$7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'graphes ar'!$B$10:$W$10</c:f>
              <c:numCache>
                <c:formatCode>General</c:formatCode>
                <c:ptCount val="22"/>
                <c:pt idx="0">
                  <c:v>-10.4</c:v>
                </c:pt>
                <c:pt idx="1">
                  <c:v>-25.2</c:v>
                </c:pt>
                <c:pt idx="2">
                  <c:v>-31.1</c:v>
                </c:pt>
                <c:pt idx="3">
                  <c:v>-29.4</c:v>
                </c:pt>
                <c:pt idx="4">
                  <c:v>-36.700000000000003</c:v>
                </c:pt>
                <c:pt idx="5">
                  <c:v>-29.1</c:v>
                </c:pt>
                <c:pt idx="6">
                  <c:v>-25.7</c:v>
                </c:pt>
                <c:pt idx="7">
                  <c:v>-26.5</c:v>
                </c:pt>
                <c:pt idx="8">
                  <c:v>-25.7</c:v>
                </c:pt>
                <c:pt idx="9">
                  <c:v>-28.6</c:v>
                </c:pt>
                <c:pt idx="10">
                  <c:v>-27.9</c:v>
                </c:pt>
                <c:pt idx="11">
                  <c:v>-37.200000000000003</c:v>
                </c:pt>
                <c:pt idx="12">
                  <c:v>-26.1</c:v>
                </c:pt>
                <c:pt idx="13">
                  <c:v>-17</c:v>
                </c:pt>
                <c:pt idx="14">
                  <c:v>-13.4</c:v>
                </c:pt>
                <c:pt idx="15">
                  <c:v>-20.2</c:v>
                </c:pt>
                <c:pt idx="16">
                  <c:v>-26.2</c:v>
                </c:pt>
                <c:pt idx="17">
                  <c:v>-21.8</c:v>
                </c:pt>
                <c:pt idx="18">
                  <c:v>-27.9</c:v>
                </c:pt>
                <c:pt idx="19">
                  <c:v>-28.1</c:v>
                </c:pt>
                <c:pt idx="20" formatCode="#,##0.0">
                  <c:v>-29.212341127418195</c:v>
                </c:pt>
                <c:pt idx="21" formatCode="#,##0.0">
                  <c:v>-23.085330976851324</c:v>
                </c:pt>
              </c:numCache>
            </c:numRef>
          </c:val>
        </c:ser>
        <c:ser>
          <c:idx val="1"/>
          <c:order val="1"/>
          <c:tx>
            <c:strRef>
              <c:f>'graphes ar'!$A$11</c:f>
              <c:strCache>
                <c:ptCount val="1"/>
                <c:pt idx="0">
                  <c:v>التطور المستقبلي </c:v>
                </c:pt>
              </c:strCache>
            </c:strRef>
          </c:tx>
          <c:cat>
            <c:strRef>
              <c:f>'graphes ar'!$B$7:$W$7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'graphes ar'!$B$11:$W$11</c:f>
              <c:numCache>
                <c:formatCode>General</c:formatCode>
                <c:ptCount val="22"/>
                <c:pt idx="0">
                  <c:v>14.4</c:v>
                </c:pt>
                <c:pt idx="1">
                  <c:v>-11.5</c:v>
                </c:pt>
                <c:pt idx="2">
                  <c:v>-21.4</c:v>
                </c:pt>
                <c:pt idx="3">
                  <c:v>-3.5</c:v>
                </c:pt>
                <c:pt idx="4">
                  <c:v>-9.3000000000000007</c:v>
                </c:pt>
                <c:pt idx="5">
                  <c:v>-3.5</c:v>
                </c:pt>
                <c:pt idx="6">
                  <c:v>0.1</c:v>
                </c:pt>
                <c:pt idx="7">
                  <c:v>2.2000000000000002</c:v>
                </c:pt>
                <c:pt idx="8">
                  <c:v>0.4</c:v>
                </c:pt>
                <c:pt idx="9">
                  <c:v>2.7</c:v>
                </c:pt>
                <c:pt idx="10">
                  <c:v>0.2</c:v>
                </c:pt>
                <c:pt idx="11">
                  <c:v>-11.4</c:v>
                </c:pt>
                <c:pt idx="12">
                  <c:v>-1.9000000000000001</c:v>
                </c:pt>
                <c:pt idx="13">
                  <c:v>18.100000000000001</c:v>
                </c:pt>
                <c:pt idx="14">
                  <c:v>11.9</c:v>
                </c:pt>
                <c:pt idx="15">
                  <c:v>13.1</c:v>
                </c:pt>
                <c:pt idx="16">
                  <c:v>11.2</c:v>
                </c:pt>
                <c:pt idx="17">
                  <c:v>9</c:v>
                </c:pt>
                <c:pt idx="18">
                  <c:v>-3.2</c:v>
                </c:pt>
                <c:pt idx="19">
                  <c:v>-1.2</c:v>
                </c:pt>
                <c:pt idx="20" formatCode="#,##0.0">
                  <c:v>-5.0957647237932591</c:v>
                </c:pt>
                <c:pt idx="21" formatCode="#,##0.0">
                  <c:v>-4.2345797544393724</c:v>
                </c:pt>
              </c:numCache>
            </c:numRef>
          </c:val>
        </c:ser>
        <c:marker val="1"/>
        <c:axId val="58451456"/>
        <c:axId val="58452992"/>
      </c:lineChart>
      <c:catAx>
        <c:axId val="584514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58452992"/>
        <c:crosses val="autoZero"/>
        <c:auto val="1"/>
        <c:lblAlgn val="ctr"/>
        <c:lblOffset val="100"/>
      </c:catAx>
      <c:valAx>
        <c:axId val="5845299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584514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600"/>
              <a:t>التطور المستقبلي لعدد العاطلين حسب تصور الأسر</a:t>
            </a:r>
          </a:p>
          <a:p>
            <a:pPr>
              <a:defRPr/>
            </a:pPr>
            <a:r>
              <a:rPr lang="ar-MA" sz="1600" b="1" i="0" u="none" strike="noStrike" baseline="0"/>
              <a:t>(</a:t>
            </a:r>
            <a:r>
              <a:rPr lang="ar-MA" sz="1600" b="0" i="0" u="none" strike="noStrike" baseline="0"/>
              <a:t>أرصدة الآراء</a:t>
            </a:r>
            <a:r>
              <a:rPr lang="ar-MA" sz="1600" b="1" i="0" u="none" strike="noStrike" baseline="0"/>
              <a:t>)</a:t>
            </a:r>
            <a:endParaRPr lang="ar-MA" sz="1600"/>
          </a:p>
        </c:rich>
      </c:tx>
    </c:title>
    <c:plotArea>
      <c:layout>
        <c:manualLayout>
          <c:layoutTarget val="inner"/>
          <c:xMode val="edge"/>
          <c:yMode val="edge"/>
          <c:x val="6.2795905276972389E-2"/>
          <c:y val="0.20405129158149121"/>
          <c:w val="0.91524099057096853"/>
          <c:h val="0.68626628464423756"/>
        </c:manualLayout>
      </c:layout>
      <c:lineChart>
        <c:grouping val="standard"/>
        <c:ser>
          <c:idx val="0"/>
          <c:order val="0"/>
          <c:tx>
            <c:strRef>
              <c:f>'graphes ar'!$A$9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ar'!$B$7:$W$7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'graphes ar'!$B$9:$W$9</c:f>
              <c:numCache>
                <c:formatCode>General</c:formatCode>
                <c:ptCount val="22"/>
                <c:pt idx="0">
                  <c:v>-52.1</c:v>
                </c:pt>
                <c:pt idx="1">
                  <c:v>-56.6</c:v>
                </c:pt>
                <c:pt idx="2">
                  <c:v>-51.6</c:v>
                </c:pt>
                <c:pt idx="3">
                  <c:v>-51.1</c:v>
                </c:pt>
                <c:pt idx="4">
                  <c:v>-51</c:v>
                </c:pt>
                <c:pt idx="5">
                  <c:v>-59.1</c:v>
                </c:pt>
                <c:pt idx="6">
                  <c:v>-57.9</c:v>
                </c:pt>
                <c:pt idx="7">
                  <c:v>-57.5</c:v>
                </c:pt>
                <c:pt idx="8">
                  <c:v>-59.2</c:v>
                </c:pt>
                <c:pt idx="9">
                  <c:v>-61</c:v>
                </c:pt>
                <c:pt idx="10">
                  <c:v>-56.1</c:v>
                </c:pt>
                <c:pt idx="11">
                  <c:v>-52.3</c:v>
                </c:pt>
                <c:pt idx="12">
                  <c:v>-52.4</c:v>
                </c:pt>
                <c:pt idx="13">
                  <c:v>-46</c:v>
                </c:pt>
                <c:pt idx="14">
                  <c:v>-41</c:v>
                </c:pt>
                <c:pt idx="15">
                  <c:v>-41.6</c:v>
                </c:pt>
                <c:pt idx="16">
                  <c:v>-44.1</c:v>
                </c:pt>
                <c:pt idx="17">
                  <c:v>-48.6</c:v>
                </c:pt>
                <c:pt idx="18">
                  <c:v>-56.7</c:v>
                </c:pt>
                <c:pt idx="19">
                  <c:v>-58.1</c:v>
                </c:pt>
                <c:pt idx="20" formatCode="#,##0.0">
                  <c:v>-61.683132655398175</c:v>
                </c:pt>
                <c:pt idx="21" formatCode="#,##0.0">
                  <c:v>-67.833148969676657</c:v>
                </c:pt>
              </c:numCache>
            </c:numRef>
          </c:val>
        </c:ser>
        <c:marker val="1"/>
        <c:axId val="99760000"/>
        <c:axId val="99761536"/>
      </c:lineChart>
      <c:catAx>
        <c:axId val="9976000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9761536"/>
        <c:crosses val="autoZero"/>
        <c:auto val="1"/>
        <c:lblAlgn val="ctr"/>
        <c:lblOffset val="100"/>
      </c:catAx>
      <c:valAx>
        <c:axId val="99761536"/>
        <c:scaling>
          <c:orientation val="minMax"/>
        </c:scaling>
        <c:axPos val="l"/>
        <c:majorGridlines/>
        <c:numFmt formatCode="General" sourceLinked="1"/>
        <c:tickLblPos val="nextTo"/>
        <c:crossAx val="9976000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600"/>
              <a:t>فرص اقتناء السلع المستديمة</a:t>
            </a:r>
            <a:endParaRPr lang="fr-FR" sz="1600"/>
          </a:p>
          <a:p>
            <a:pPr>
              <a:defRPr/>
            </a:pPr>
            <a:r>
              <a:rPr lang="fr-FR" sz="1600" b="0" i="0" baseline="0"/>
              <a:t>)</a:t>
            </a:r>
            <a:r>
              <a:rPr lang="ar-MA" sz="1600" b="0" i="0" baseline="0"/>
              <a:t>رصدة الآراء</a:t>
            </a:r>
            <a:r>
              <a:rPr lang="fr-FR" sz="1600" b="0" i="0" baseline="0"/>
              <a:t>( </a:t>
            </a:r>
            <a:endParaRPr lang="fr-FR" sz="1800" b="1" i="0" baseline="0"/>
          </a:p>
          <a:p>
            <a:pPr>
              <a:defRPr/>
            </a:pPr>
            <a:endParaRPr lang="ar-MA"/>
          </a:p>
        </c:rich>
      </c:tx>
    </c:title>
    <c:plotArea>
      <c:layout>
        <c:manualLayout>
          <c:layoutTarget val="inner"/>
          <c:xMode val="edge"/>
          <c:yMode val="edge"/>
          <c:x val="5.9337575399886391E-2"/>
          <c:y val="0.24663056768035338"/>
          <c:w val="0.92909871591099835"/>
          <c:h val="0.52769118992135966"/>
        </c:manualLayout>
      </c:layout>
      <c:lineChart>
        <c:grouping val="standard"/>
        <c:ser>
          <c:idx val="0"/>
          <c:order val="0"/>
          <c:tx>
            <c:strRef>
              <c:f>'graphes ar'!$A$12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ar'!$B$7:$W$7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'graphes ar'!$B$12:$W$12</c:f>
              <c:numCache>
                <c:formatCode>General</c:formatCode>
                <c:ptCount val="22"/>
                <c:pt idx="0">
                  <c:v>-30</c:v>
                </c:pt>
                <c:pt idx="1">
                  <c:v>-34.300000000000004</c:v>
                </c:pt>
                <c:pt idx="2">
                  <c:v>-37.5</c:v>
                </c:pt>
                <c:pt idx="3">
                  <c:v>-39.1</c:v>
                </c:pt>
                <c:pt idx="4">
                  <c:v>-41.8</c:v>
                </c:pt>
                <c:pt idx="5">
                  <c:v>-46.5</c:v>
                </c:pt>
                <c:pt idx="6">
                  <c:v>-43.4</c:v>
                </c:pt>
                <c:pt idx="7">
                  <c:v>-42.6</c:v>
                </c:pt>
                <c:pt idx="8">
                  <c:v>-34.800000000000004</c:v>
                </c:pt>
                <c:pt idx="9">
                  <c:v>-37.5</c:v>
                </c:pt>
                <c:pt idx="10">
                  <c:v>-36</c:v>
                </c:pt>
                <c:pt idx="11">
                  <c:v>-44.3</c:v>
                </c:pt>
                <c:pt idx="12">
                  <c:v>-39.9</c:v>
                </c:pt>
                <c:pt idx="13">
                  <c:v>-39</c:v>
                </c:pt>
                <c:pt idx="14">
                  <c:v>-36.4</c:v>
                </c:pt>
                <c:pt idx="15">
                  <c:v>-38.5</c:v>
                </c:pt>
                <c:pt idx="16">
                  <c:v>-32.5</c:v>
                </c:pt>
                <c:pt idx="17">
                  <c:v>-37.4</c:v>
                </c:pt>
                <c:pt idx="18">
                  <c:v>-29.5</c:v>
                </c:pt>
                <c:pt idx="19">
                  <c:v>-29.3</c:v>
                </c:pt>
                <c:pt idx="20" formatCode="#,##0.0">
                  <c:v>-28.34824029908166</c:v>
                </c:pt>
                <c:pt idx="21" formatCode="#,##0.0">
                  <c:v>-31.759859014310237</c:v>
                </c:pt>
              </c:numCache>
            </c:numRef>
          </c:val>
        </c:ser>
        <c:marker val="1"/>
        <c:axId val="99796480"/>
        <c:axId val="99798016"/>
      </c:lineChart>
      <c:catAx>
        <c:axId val="99796480"/>
        <c:scaling>
          <c:orientation val="minMax"/>
        </c:scaling>
        <c:axPos val="b"/>
        <c:majorTickMark val="none"/>
        <c:tickLblPos val="nextTo"/>
        <c:crossAx val="99798016"/>
        <c:crosses val="autoZero"/>
        <c:auto val="1"/>
        <c:lblAlgn val="ctr"/>
        <c:lblOffset val="100"/>
      </c:catAx>
      <c:valAx>
        <c:axId val="997980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979648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400"/>
              <a:t>تصور الأسر حول وضعيتهم المالية</a:t>
            </a:r>
            <a:endParaRPr lang="fr-FR" sz="1400"/>
          </a:p>
          <a:p>
            <a:pPr algn="ctr">
              <a:defRPr sz="1400"/>
            </a:pPr>
            <a:r>
              <a:rPr lang="ar-MA" sz="1400"/>
              <a:t>(أرصدة الآراء)</a:t>
            </a:r>
            <a:endParaRPr lang="fr-FR" sz="1400"/>
          </a:p>
          <a:p>
            <a:pPr algn="ctr">
              <a:defRPr sz="1400"/>
            </a:pP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6.7145247486019466E-2"/>
          <c:y val="0.16609234740263146"/>
          <c:w val="0.92409458642627484"/>
          <c:h val="0.6900810404104798"/>
        </c:manualLayout>
      </c:layout>
      <c:lineChart>
        <c:grouping val="standard"/>
        <c:ser>
          <c:idx val="0"/>
          <c:order val="0"/>
          <c:tx>
            <c:strRef>
              <c:f>'graphes ar'!$A$13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'graphes ar'!$B$7:$W$7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'graphes ar'!$B$13:$W$13</c:f>
              <c:numCache>
                <c:formatCode>General</c:formatCode>
                <c:ptCount val="22"/>
                <c:pt idx="0">
                  <c:v>-33</c:v>
                </c:pt>
                <c:pt idx="1">
                  <c:v>-32.9</c:v>
                </c:pt>
                <c:pt idx="2">
                  <c:v>-34.4</c:v>
                </c:pt>
                <c:pt idx="3">
                  <c:v>-33.1</c:v>
                </c:pt>
                <c:pt idx="4">
                  <c:v>-31.3</c:v>
                </c:pt>
                <c:pt idx="5">
                  <c:v>-26.9</c:v>
                </c:pt>
                <c:pt idx="6">
                  <c:v>-28.3</c:v>
                </c:pt>
                <c:pt idx="7">
                  <c:v>-25.3</c:v>
                </c:pt>
                <c:pt idx="8">
                  <c:v>-27.5</c:v>
                </c:pt>
                <c:pt idx="9">
                  <c:v>-27.6</c:v>
                </c:pt>
                <c:pt idx="10">
                  <c:v>-30</c:v>
                </c:pt>
                <c:pt idx="11">
                  <c:v>-28.1</c:v>
                </c:pt>
                <c:pt idx="12">
                  <c:v>-30.6</c:v>
                </c:pt>
                <c:pt idx="13">
                  <c:v>-27.1</c:v>
                </c:pt>
                <c:pt idx="14">
                  <c:v>-24.3</c:v>
                </c:pt>
                <c:pt idx="15">
                  <c:v>-25.7</c:v>
                </c:pt>
                <c:pt idx="16">
                  <c:v>-25.4</c:v>
                </c:pt>
                <c:pt idx="17">
                  <c:v>-31</c:v>
                </c:pt>
                <c:pt idx="18">
                  <c:v>-30.8</c:v>
                </c:pt>
                <c:pt idx="19">
                  <c:v>-29.4</c:v>
                </c:pt>
                <c:pt idx="20" formatCode="#,##0.0">
                  <c:v>-29.764200665198015</c:v>
                </c:pt>
                <c:pt idx="21" formatCode="#,##0.0">
                  <c:v>-30.19366619274096</c:v>
                </c:pt>
              </c:numCache>
            </c:numRef>
          </c:val>
        </c:ser>
        <c:ser>
          <c:idx val="1"/>
          <c:order val="1"/>
          <c:tx>
            <c:strRef>
              <c:f>'graphes ar'!$A$14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marker>
            <c:symbol val="star"/>
            <c:size val="7"/>
          </c:marker>
          <c:cat>
            <c:strRef>
              <c:f>'graphes ar'!$B$7:$W$7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'graphes ar'!$B$14:$W$14</c:f>
              <c:numCache>
                <c:formatCode>General</c:formatCode>
                <c:ptCount val="22"/>
                <c:pt idx="0">
                  <c:v>-11.8</c:v>
                </c:pt>
                <c:pt idx="1">
                  <c:v>-11.4</c:v>
                </c:pt>
                <c:pt idx="2">
                  <c:v>-11.7</c:v>
                </c:pt>
                <c:pt idx="3">
                  <c:v>-9.5</c:v>
                </c:pt>
                <c:pt idx="4">
                  <c:v>-18.399999999999999</c:v>
                </c:pt>
                <c:pt idx="5">
                  <c:v>-13.4</c:v>
                </c:pt>
                <c:pt idx="6">
                  <c:v>-8.3000000000000007</c:v>
                </c:pt>
                <c:pt idx="7">
                  <c:v>-11</c:v>
                </c:pt>
                <c:pt idx="8">
                  <c:v>-10</c:v>
                </c:pt>
                <c:pt idx="9">
                  <c:v>-7.9</c:v>
                </c:pt>
                <c:pt idx="10">
                  <c:v>-7.5</c:v>
                </c:pt>
                <c:pt idx="11">
                  <c:v>-12.8</c:v>
                </c:pt>
                <c:pt idx="12">
                  <c:v>-10.5</c:v>
                </c:pt>
                <c:pt idx="13">
                  <c:v>-8.9</c:v>
                </c:pt>
                <c:pt idx="14">
                  <c:v>-6.4</c:v>
                </c:pt>
                <c:pt idx="15">
                  <c:v>-9.8000000000000007</c:v>
                </c:pt>
                <c:pt idx="16">
                  <c:v>-14.1</c:v>
                </c:pt>
                <c:pt idx="17">
                  <c:v>-16.600000000000001</c:v>
                </c:pt>
                <c:pt idx="18">
                  <c:v>-16.7</c:v>
                </c:pt>
                <c:pt idx="19">
                  <c:v>-15.7</c:v>
                </c:pt>
                <c:pt idx="20" formatCode="#,##0.0">
                  <c:v>-19.633449783694058</c:v>
                </c:pt>
                <c:pt idx="21" formatCode="#,##0.0">
                  <c:v>-23.821123974022729</c:v>
                </c:pt>
              </c:numCache>
            </c:numRef>
          </c:val>
        </c:ser>
        <c:ser>
          <c:idx val="2"/>
          <c:order val="2"/>
          <c:tx>
            <c:strRef>
              <c:f>'graphes ar'!$A$15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cat>
            <c:strRef>
              <c:f>'graphes ar'!$B$7:$W$7</c:f>
              <c:strCache>
                <c:ptCount val="2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</c:strCache>
            </c:strRef>
          </c:cat>
          <c:val>
            <c:numRef>
              <c:f>'graphes ar'!$B$15:$W$15</c:f>
              <c:numCache>
                <c:formatCode>General</c:formatCode>
                <c:ptCount val="22"/>
                <c:pt idx="0">
                  <c:v>23.9</c:v>
                </c:pt>
                <c:pt idx="1">
                  <c:v>15.6</c:v>
                </c:pt>
                <c:pt idx="2">
                  <c:v>16.600000000000001</c:v>
                </c:pt>
                <c:pt idx="3">
                  <c:v>26.7</c:v>
                </c:pt>
                <c:pt idx="4">
                  <c:v>26.8</c:v>
                </c:pt>
                <c:pt idx="5">
                  <c:v>22</c:v>
                </c:pt>
                <c:pt idx="6">
                  <c:v>17.5</c:v>
                </c:pt>
                <c:pt idx="7">
                  <c:v>17.100000000000001</c:v>
                </c:pt>
                <c:pt idx="8">
                  <c:v>17.8</c:v>
                </c:pt>
                <c:pt idx="9">
                  <c:v>11.8</c:v>
                </c:pt>
                <c:pt idx="10">
                  <c:v>7.8</c:v>
                </c:pt>
                <c:pt idx="11">
                  <c:v>9.4</c:v>
                </c:pt>
                <c:pt idx="12">
                  <c:v>10.200000000000001</c:v>
                </c:pt>
                <c:pt idx="13">
                  <c:v>20.399999999999999</c:v>
                </c:pt>
                <c:pt idx="14">
                  <c:v>15.1</c:v>
                </c:pt>
                <c:pt idx="15">
                  <c:v>14</c:v>
                </c:pt>
                <c:pt idx="16">
                  <c:v>11.2</c:v>
                </c:pt>
                <c:pt idx="17">
                  <c:v>11.1</c:v>
                </c:pt>
                <c:pt idx="18">
                  <c:v>7.7</c:v>
                </c:pt>
                <c:pt idx="19">
                  <c:v>10.6</c:v>
                </c:pt>
                <c:pt idx="20" formatCode="#,##0.0">
                  <c:v>4.5484811189173895</c:v>
                </c:pt>
                <c:pt idx="21" formatCode="#,##0.0">
                  <c:v>0.66882694809209564</c:v>
                </c:pt>
              </c:numCache>
            </c:numRef>
          </c:val>
        </c:ser>
        <c:marker val="1"/>
        <c:axId val="70212224"/>
        <c:axId val="70218112"/>
      </c:lineChart>
      <c:catAx>
        <c:axId val="70212224"/>
        <c:scaling>
          <c:orientation val="minMax"/>
        </c:scaling>
        <c:axPos val="b"/>
        <c:majorTickMark val="none"/>
        <c:tickLblPos val="nextTo"/>
        <c:crossAx val="70218112"/>
        <c:crosses val="autoZero"/>
        <c:auto val="1"/>
        <c:lblAlgn val="ctr"/>
        <c:lblOffset val="100"/>
      </c:catAx>
      <c:valAx>
        <c:axId val="70218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0212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9999956629336331E-2"/>
          <c:y val="0.89978278759649999"/>
          <c:w val="0.9"/>
          <c:h val="7.668814724880009E-2"/>
        </c:manualLayout>
      </c:layout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400"/>
            </a:pPr>
            <a:r>
              <a:rPr lang="ar-MA" sz="1400"/>
              <a:t>التطور السابق لأثمنة المواد الغذائية حسب تصور الأسر</a:t>
            </a:r>
            <a:endParaRPr lang="fr-FR" sz="1400"/>
          </a:p>
          <a:p>
            <a:pPr algn="ctr">
              <a:defRPr sz="1400"/>
            </a:pPr>
            <a:r>
              <a:rPr lang="ar-MA" sz="1400"/>
              <a:t>(ب %) 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4.6139068237865399E-2"/>
          <c:y val="0.26322478157267692"/>
          <c:w val="0.89849404987669568"/>
          <c:h val="0.5932701869375141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ar'!$Q$91</c:f>
              <c:strCache>
                <c:ptCount val="1"/>
                <c:pt idx="0">
                  <c:v>ارتفاع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ar'!$R$91:$T$91</c:f>
              <c:numCache>
                <c:formatCode>#,##0.0%</c:formatCode>
                <c:ptCount val="3"/>
                <c:pt idx="0">
                  <c:v>0.91560762117486461</c:v>
                </c:pt>
                <c:pt idx="1">
                  <c:v>0.92203066945779144</c:v>
                </c:pt>
                <c:pt idx="2">
                  <c:v>0.89967992241941352</c:v>
                </c:pt>
              </c:numCache>
            </c:numRef>
          </c:val>
        </c:ser>
        <c:ser>
          <c:idx val="1"/>
          <c:order val="1"/>
          <c:tx>
            <c:strRef>
              <c:f>'graphes ar'!$Q$92</c:f>
              <c:strCache>
                <c:ptCount val="1"/>
                <c:pt idx="0">
                  <c:v>استقرار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ar'!$R$92:$T$92</c:f>
              <c:numCache>
                <c:formatCode>#,##0.0%</c:formatCode>
                <c:ptCount val="3"/>
                <c:pt idx="0">
                  <c:v>8.0190206547369705E-2</c:v>
                </c:pt>
                <c:pt idx="1">
                  <c:v>7.224194939421362E-2</c:v>
                </c:pt>
                <c:pt idx="2">
                  <c:v>9.0277946086739225E-2</c:v>
                </c:pt>
              </c:numCache>
            </c:numRef>
          </c:val>
        </c:ser>
        <c:ser>
          <c:idx val="2"/>
          <c:order val="2"/>
          <c:tx>
            <c:strRef>
              <c:f>'graphes ar'!$Q$93</c:f>
              <c:strCache>
                <c:ptCount val="1"/>
                <c:pt idx="0">
                  <c:v>انخفاض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ar'!$R$93:$T$93</c:f>
              <c:numCache>
                <c:formatCode>#,##0.0%</c:formatCode>
                <c:ptCount val="3"/>
                <c:pt idx="0">
                  <c:v>4.2021722777708954E-3</c:v>
                </c:pt>
                <c:pt idx="1">
                  <c:v>5.7273811479935403E-3</c:v>
                </c:pt>
                <c:pt idx="2">
                  <c:v>1.0042131493847058E-2</c:v>
                </c:pt>
              </c:numCache>
            </c:numRef>
          </c:val>
        </c:ser>
        <c:gapWidth val="75"/>
        <c:overlap val="-25"/>
        <c:axId val="105136896"/>
        <c:axId val="105138432"/>
      </c:barChart>
      <c:catAx>
        <c:axId val="105136896"/>
        <c:scaling>
          <c:orientation val="minMax"/>
        </c:scaling>
        <c:axPos val="b"/>
        <c:majorTickMark val="none"/>
        <c:tickLblPos val="nextTo"/>
        <c:crossAx val="105138432"/>
        <c:crosses val="autoZero"/>
        <c:auto val="1"/>
        <c:lblAlgn val="ctr"/>
        <c:lblOffset val="100"/>
      </c:catAx>
      <c:valAx>
        <c:axId val="105138432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05136896"/>
        <c:crosses val="autoZero"/>
        <c:crossBetween val="between"/>
      </c:valAx>
    </c:plotArea>
    <c:legend>
      <c:legendPos val="b"/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400"/>
            </a:pPr>
            <a:r>
              <a:rPr lang="ar-MA" sz="1400"/>
              <a:t>التطور المستقبلي لأثمنة المواد الغذائية حسب تصور الأسر</a:t>
            </a:r>
            <a:endParaRPr lang="fr-FR" sz="1400"/>
          </a:p>
          <a:p>
            <a:pPr algn="ctr">
              <a:defRPr sz="1400"/>
            </a:pPr>
            <a:r>
              <a:rPr lang="ar-MA" sz="1400"/>
              <a:t>(ب %) </a:t>
            </a:r>
            <a:endParaRPr lang="fr-FR" sz="1400"/>
          </a:p>
          <a:p>
            <a:pPr algn="ctr">
              <a:defRPr sz="1400"/>
            </a:pPr>
            <a:r>
              <a:rPr lang="ar-MA" sz="1400"/>
              <a:t> </a:t>
            </a:r>
            <a:endParaRPr lang="fr-FR" sz="1400"/>
          </a:p>
        </c:rich>
      </c:tx>
      <c:layout>
        <c:manualLayout>
          <c:xMode val="edge"/>
          <c:yMode val="edge"/>
          <c:x val="0.11275429616135363"/>
          <c:y val="0"/>
        </c:manualLayout>
      </c:layout>
    </c:title>
    <c:plotArea>
      <c:layout>
        <c:manualLayout>
          <c:layoutTarget val="inner"/>
          <c:xMode val="edge"/>
          <c:yMode val="edge"/>
          <c:x val="4.5414834669096134E-2"/>
          <c:y val="0.21209755241164019"/>
          <c:w val="0.92314412594460649"/>
          <c:h val="0.63644403413773121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ar'!$Q$88</c:f>
              <c:strCache>
                <c:ptCount val="1"/>
                <c:pt idx="0">
                  <c:v>ارتفاع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ar'!$R$88:$T$88</c:f>
              <c:numCache>
                <c:formatCode>#,##0.0%</c:formatCode>
                <c:ptCount val="3"/>
                <c:pt idx="0">
                  <c:v>0.73430545823243365</c:v>
                </c:pt>
                <c:pt idx="1">
                  <c:v>0.77989562270245805</c:v>
                </c:pt>
                <c:pt idx="2">
                  <c:v>0.75298621548061362</c:v>
                </c:pt>
              </c:numCache>
            </c:numRef>
          </c:val>
        </c:ser>
        <c:ser>
          <c:idx val="1"/>
          <c:order val="1"/>
          <c:tx>
            <c:strRef>
              <c:f>'graphes ar'!$Q$89</c:f>
              <c:strCache>
                <c:ptCount val="1"/>
                <c:pt idx="0">
                  <c:v>استقرار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ar'!$R$89:$T$89</c:f>
              <c:numCache>
                <c:formatCode>#,##0.0%</c:formatCode>
                <c:ptCount val="3"/>
                <c:pt idx="0">
                  <c:v>0.24588935764720452</c:v>
                </c:pt>
                <c:pt idx="1">
                  <c:v>0.20117172146809367</c:v>
                </c:pt>
                <c:pt idx="2">
                  <c:v>0.22757728307608296</c:v>
                </c:pt>
              </c:numCache>
            </c:numRef>
          </c:val>
        </c:ser>
        <c:ser>
          <c:idx val="2"/>
          <c:order val="2"/>
          <c:tx>
            <c:strRef>
              <c:f>'graphes ar'!$Q$90</c:f>
              <c:strCache>
                <c:ptCount val="1"/>
                <c:pt idx="0">
                  <c:v>انخفاض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ar'!$R$90:$T$90</c:f>
              <c:numCache>
                <c:formatCode>#,##0.0%</c:formatCode>
                <c:ptCount val="3"/>
                <c:pt idx="0">
                  <c:v>1.9805184120375283E-2</c:v>
                </c:pt>
                <c:pt idx="1">
                  <c:v>1.8932655829451122E-2</c:v>
                </c:pt>
                <c:pt idx="2">
                  <c:v>1.9436501443296665E-2</c:v>
                </c:pt>
              </c:numCache>
            </c:numRef>
          </c:val>
        </c:ser>
        <c:gapWidth val="75"/>
        <c:overlap val="-25"/>
        <c:axId val="105169664"/>
        <c:axId val="105171200"/>
      </c:barChart>
      <c:catAx>
        <c:axId val="105169664"/>
        <c:scaling>
          <c:orientation val="minMax"/>
        </c:scaling>
        <c:axPos val="b"/>
        <c:majorTickMark val="none"/>
        <c:tickLblPos val="nextTo"/>
        <c:crossAx val="105171200"/>
        <c:crosses val="autoZero"/>
        <c:auto val="1"/>
        <c:lblAlgn val="ctr"/>
        <c:lblOffset val="100"/>
      </c:catAx>
      <c:valAx>
        <c:axId val="105171200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05169664"/>
        <c:crosses val="autoZero"/>
        <c:crossBetween val="between"/>
      </c:valAx>
    </c:plotArea>
    <c:legend>
      <c:legendPos val="b"/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B1DE-A6CD-479A-A70A-38369029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2013-08-07T15:15:00Z</cp:lastPrinted>
  <dcterms:created xsi:type="dcterms:W3CDTF">2013-08-12T22:30:00Z</dcterms:created>
  <dcterms:modified xsi:type="dcterms:W3CDTF">2013-08-12T22:30:00Z</dcterms:modified>
</cp:coreProperties>
</file>