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34" w:rsidRDefault="003E1434" w:rsidP="003E1434">
      <w:pPr>
        <w:bidi/>
        <w:jc w:val="center"/>
        <w:outlineLvl w:val="0"/>
      </w:pPr>
      <w:r>
        <w:rPr>
          <w:noProof/>
        </w:rPr>
        <w:pict>
          <v:rect id="_x0000_s1027" style="position:absolute;left:0;text-align:left;margin-left:-100.7pt;margin-top:-13pt;width:655pt;height:324.0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7" DrawAspect="Content" ObjectID="_1434201508" r:id="rId8"/>
        </w:pict>
      </w:r>
    </w:p>
    <w:p w:rsidR="003E1434" w:rsidRDefault="003E1434" w:rsidP="003E1434">
      <w:pPr>
        <w:bidi/>
        <w:jc w:val="center"/>
        <w:outlineLvl w:val="0"/>
      </w:pPr>
    </w:p>
    <w:p w:rsidR="003E1434" w:rsidRDefault="003E1434" w:rsidP="003E1434">
      <w:pPr>
        <w:bidi/>
        <w:jc w:val="center"/>
        <w:outlineLvl w:val="0"/>
      </w:pPr>
    </w:p>
    <w:p w:rsidR="003E1434" w:rsidRDefault="003E1434" w:rsidP="003E1434">
      <w:pPr>
        <w:bidi/>
        <w:jc w:val="center"/>
        <w:outlineLvl w:val="0"/>
      </w:pPr>
    </w:p>
    <w:p w:rsidR="003E1434" w:rsidRDefault="003E1434" w:rsidP="003E1434">
      <w:pPr>
        <w:bidi/>
        <w:jc w:val="center"/>
        <w:outlineLvl w:val="0"/>
      </w:pPr>
    </w:p>
    <w:p w:rsidR="003E1434" w:rsidRDefault="003E1434" w:rsidP="003E1434">
      <w:pPr>
        <w:bidi/>
        <w:jc w:val="center"/>
        <w:outlineLvl w:val="0"/>
      </w:pPr>
    </w:p>
    <w:p w:rsidR="003E1434" w:rsidRDefault="003E1434" w:rsidP="003E1434">
      <w:pPr>
        <w:bidi/>
        <w:jc w:val="center"/>
        <w:outlineLvl w:val="0"/>
      </w:pPr>
    </w:p>
    <w:p w:rsidR="003E1434" w:rsidRDefault="003E1434" w:rsidP="003E1434">
      <w:pPr>
        <w:bidi/>
        <w:jc w:val="center"/>
        <w:outlineLvl w:val="0"/>
      </w:pPr>
    </w:p>
    <w:p w:rsidR="00F610B1" w:rsidRPr="005A0094" w:rsidRDefault="00F610B1" w:rsidP="00F610B1">
      <w:pPr>
        <w:pStyle w:val="Titre"/>
        <w:spacing w:line="312" w:lineRule="auto"/>
        <w:rPr>
          <w:rFonts w:ascii="Times" w:hAnsi="Times" w:cs="Times"/>
          <w:shadow/>
        </w:rPr>
      </w:pPr>
      <w:r w:rsidRPr="005A0094">
        <w:rPr>
          <w:rFonts w:ascii="Times" w:hAnsi="Times" w:cs="Times"/>
          <w:shadow/>
        </w:rPr>
        <w:t>Note d’information sur la situation économique</w:t>
      </w:r>
    </w:p>
    <w:p w:rsidR="00F610B1" w:rsidRPr="007169B0" w:rsidRDefault="00F610B1" w:rsidP="00F610B1">
      <w:pPr>
        <w:pStyle w:val="Titre"/>
        <w:spacing w:line="312" w:lineRule="auto"/>
      </w:pPr>
      <w:r>
        <w:rPr>
          <w:rFonts w:ascii="Times" w:hAnsi="Times" w:cs="Times"/>
          <w:shadow/>
        </w:rPr>
        <w:t xml:space="preserve"> au premier</w:t>
      </w:r>
      <w:r w:rsidRPr="005A0094">
        <w:rPr>
          <w:rFonts w:ascii="Times" w:hAnsi="Times" w:cs="Times"/>
          <w:shadow/>
        </w:rPr>
        <w:t xml:space="preserve"> trimestre 201</w:t>
      </w:r>
      <w:r>
        <w:rPr>
          <w:rFonts w:ascii="Times" w:hAnsi="Times" w:cs="Times"/>
          <w:shadow/>
        </w:rPr>
        <w:t>3</w:t>
      </w:r>
    </w:p>
    <w:p w:rsidR="00F610B1" w:rsidRDefault="00F610B1" w:rsidP="00F610B1">
      <w:pPr>
        <w:pStyle w:val="Titre"/>
        <w:rPr>
          <w:rtl/>
        </w:rPr>
      </w:pPr>
    </w:p>
    <w:p w:rsidR="00F610B1" w:rsidRDefault="00F610B1" w:rsidP="00F610B1">
      <w:pPr>
        <w:autoSpaceDE w:val="0"/>
        <w:autoSpaceDN w:val="0"/>
        <w:adjustRightInd w:val="0"/>
        <w:ind w:right="-233"/>
        <w:rPr>
          <w:b/>
          <w:bCs/>
        </w:rPr>
      </w:pPr>
    </w:p>
    <w:p w:rsidR="00F610B1" w:rsidRDefault="00F610B1" w:rsidP="00252408">
      <w:pPr>
        <w:autoSpaceDE w:val="0"/>
        <w:autoSpaceDN w:val="0"/>
        <w:adjustRightInd w:val="0"/>
        <w:ind w:right="-233"/>
        <w:jc w:val="both"/>
        <w:rPr>
          <w:b/>
          <w:bCs/>
        </w:rPr>
      </w:pPr>
      <w:r w:rsidRPr="002E5B65">
        <w:rPr>
          <w:b/>
          <w:bCs/>
        </w:rPr>
        <w:t xml:space="preserve">L’arrêté des comptes nationaux du premier trimestre 2013 montre </w:t>
      </w:r>
      <w:r w:rsidR="00252408">
        <w:rPr>
          <w:b/>
          <w:bCs/>
        </w:rPr>
        <w:t xml:space="preserve">une amélioration de la croissance </w:t>
      </w:r>
      <w:r w:rsidRPr="002E5B65">
        <w:rPr>
          <w:b/>
          <w:bCs/>
        </w:rPr>
        <w:t>économique nationale</w:t>
      </w:r>
      <w:r w:rsidR="00252408">
        <w:rPr>
          <w:b/>
          <w:bCs/>
        </w:rPr>
        <w:t>,</w:t>
      </w:r>
      <w:r>
        <w:rPr>
          <w:b/>
          <w:bCs/>
        </w:rPr>
        <w:t xml:space="preserve"> soutenue particulièrement par l’important rebondissement de l’activité agricole, les activités non agricoles étant </w:t>
      </w:r>
      <w:r w:rsidR="00310172">
        <w:rPr>
          <w:b/>
          <w:bCs/>
        </w:rPr>
        <w:t xml:space="preserve">en </w:t>
      </w:r>
      <w:r>
        <w:rPr>
          <w:b/>
          <w:bCs/>
        </w:rPr>
        <w:t>net ralentissement</w:t>
      </w:r>
      <w:r w:rsidR="00252408">
        <w:rPr>
          <w:b/>
          <w:bCs/>
        </w:rPr>
        <w:t>, et ce</w:t>
      </w:r>
      <w:r>
        <w:rPr>
          <w:b/>
          <w:bCs/>
        </w:rPr>
        <w:t xml:space="preserve"> </w:t>
      </w:r>
      <w:r w:rsidR="00252408">
        <w:rPr>
          <w:b/>
          <w:bCs/>
        </w:rPr>
        <w:t>dans un contexte d’inflation relativement en hausse et d’un</w:t>
      </w:r>
      <w:r>
        <w:rPr>
          <w:b/>
          <w:bCs/>
        </w:rPr>
        <w:t xml:space="preserve"> besoin de financement de l’économie</w:t>
      </w:r>
      <w:r w:rsidR="00252408">
        <w:rPr>
          <w:b/>
          <w:bCs/>
        </w:rPr>
        <w:t xml:space="preserve"> en recul.</w:t>
      </w:r>
      <w:r>
        <w:rPr>
          <w:b/>
          <w:bCs/>
        </w:rPr>
        <w:t xml:space="preserve">  </w:t>
      </w:r>
    </w:p>
    <w:p w:rsidR="00F610B1" w:rsidRDefault="00F610B1" w:rsidP="00F610B1">
      <w:pPr>
        <w:autoSpaceDE w:val="0"/>
        <w:autoSpaceDN w:val="0"/>
        <w:adjustRightInd w:val="0"/>
        <w:ind w:right="-233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310172" w:rsidRDefault="003B489D" w:rsidP="00252408">
      <w:pPr>
        <w:autoSpaceDE w:val="0"/>
        <w:autoSpaceDN w:val="0"/>
        <w:adjustRightInd w:val="0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F610B1">
        <w:rPr>
          <w:sz w:val="22"/>
          <w:szCs w:val="22"/>
        </w:rPr>
        <w:t>a</w:t>
      </w:r>
      <w:r w:rsidR="00F610B1" w:rsidRPr="002E5B65">
        <w:rPr>
          <w:sz w:val="22"/>
          <w:szCs w:val="22"/>
        </w:rPr>
        <w:t xml:space="preserve"> </w:t>
      </w:r>
      <w:r w:rsidR="00F610B1" w:rsidRPr="00CD7581">
        <w:rPr>
          <w:b/>
          <w:bCs/>
          <w:sz w:val="22"/>
          <w:szCs w:val="22"/>
        </w:rPr>
        <w:t>croissance du Produit Intérieur Brut</w:t>
      </w:r>
      <w:r w:rsidR="00310172" w:rsidRPr="00CD7581">
        <w:rPr>
          <w:b/>
          <w:bCs/>
          <w:sz w:val="22"/>
          <w:szCs w:val="22"/>
        </w:rPr>
        <w:t xml:space="preserve"> (PIB)</w:t>
      </w:r>
      <w:r w:rsidR="00F610B1" w:rsidRPr="002E5B65">
        <w:rPr>
          <w:sz w:val="22"/>
          <w:szCs w:val="22"/>
        </w:rPr>
        <w:t xml:space="preserve">, corrigé de variations saisonnières, </w:t>
      </w:r>
      <w:r w:rsidR="00F610B1">
        <w:rPr>
          <w:sz w:val="22"/>
          <w:szCs w:val="22"/>
        </w:rPr>
        <w:t xml:space="preserve">a été </w:t>
      </w:r>
      <w:r w:rsidR="00F610B1" w:rsidRPr="002E5B65">
        <w:rPr>
          <w:sz w:val="22"/>
          <w:szCs w:val="22"/>
        </w:rPr>
        <w:t xml:space="preserve">de 3,8% </w:t>
      </w:r>
      <w:r w:rsidR="00310172">
        <w:rPr>
          <w:sz w:val="22"/>
          <w:szCs w:val="22"/>
        </w:rPr>
        <w:t xml:space="preserve">durant le premier trimestre 2013 </w:t>
      </w:r>
      <w:r w:rsidR="00F610B1" w:rsidRPr="002E5B65">
        <w:rPr>
          <w:sz w:val="22"/>
          <w:szCs w:val="22"/>
        </w:rPr>
        <w:t xml:space="preserve">au lieu de 2,8% le même trimestre de l’année 2012 </w:t>
      </w:r>
      <w:r w:rsidR="002B6FC8">
        <w:rPr>
          <w:sz w:val="22"/>
          <w:szCs w:val="22"/>
        </w:rPr>
        <w:t>a</w:t>
      </w:r>
      <w:r>
        <w:rPr>
          <w:sz w:val="22"/>
          <w:szCs w:val="22"/>
        </w:rPr>
        <w:t xml:space="preserve">vec une hausse du PIB </w:t>
      </w:r>
      <w:r w:rsidR="00310172" w:rsidRPr="00310172">
        <w:rPr>
          <w:sz w:val="22"/>
          <w:szCs w:val="22"/>
        </w:rPr>
        <w:t xml:space="preserve">nominal de </w:t>
      </w:r>
      <w:r w:rsidR="00310172">
        <w:rPr>
          <w:sz w:val="22"/>
          <w:szCs w:val="22"/>
        </w:rPr>
        <w:t>6</w:t>
      </w:r>
      <w:r w:rsidR="00310172" w:rsidRPr="00310172">
        <w:rPr>
          <w:sz w:val="22"/>
          <w:szCs w:val="22"/>
        </w:rPr>
        <w:t xml:space="preserve">,1%, </w:t>
      </w:r>
      <w:r>
        <w:rPr>
          <w:sz w:val="22"/>
          <w:szCs w:val="22"/>
        </w:rPr>
        <w:t>la</w:t>
      </w:r>
      <w:r w:rsidR="00310172" w:rsidRPr="00310172">
        <w:rPr>
          <w:sz w:val="22"/>
          <w:szCs w:val="22"/>
        </w:rPr>
        <w:t xml:space="preserve"> hausse du niveau général des prix (prix implicite du PIB)</w:t>
      </w:r>
      <w:r w:rsidR="00252408">
        <w:rPr>
          <w:sz w:val="22"/>
          <w:szCs w:val="22"/>
        </w:rPr>
        <w:t xml:space="preserve"> </w:t>
      </w:r>
      <w:r w:rsidR="002B6FC8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atteint </w:t>
      </w:r>
      <w:r w:rsidR="00310172" w:rsidRPr="00310172">
        <w:rPr>
          <w:sz w:val="22"/>
          <w:szCs w:val="22"/>
        </w:rPr>
        <w:t xml:space="preserve"> </w:t>
      </w:r>
      <w:r w:rsidR="00310172">
        <w:rPr>
          <w:sz w:val="22"/>
          <w:szCs w:val="22"/>
        </w:rPr>
        <w:t>2</w:t>
      </w:r>
      <w:r w:rsidR="00310172" w:rsidRPr="00310172">
        <w:rPr>
          <w:sz w:val="22"/>
          <w:szCs w:val="22"/>
        </w:rPr>
        <w:t>,3% en glissement annuel.</w:t>
      </w:r>
    </w:p>
    <w:p w:rsidR="00310172" w:rsidRDefault="00310172" w:rsidP="00310172">
      <w:pPr>
        <w:autoSpaceDE w:val="0"/>
        <w:autoSpaceDN w:val="0"/>
        <w:adjustRightInd w:val="0"/>
        <w:ind w:right="142"/>
        <w:jc w:val="both"/>
        <w:rPr>
          <w:sz w:val="22"/>
          <w:szCs w:val="22"/>
        </w:rPr>
      </w:pPr>
    </w:p>
    <w:p w:rsidR="00F610B1" w:rsidRPr="00310172" w:rsidRDefault="003B489D" w:rsidP="00FC489D">
      <w:pPr>
        <w:autoSpaceDE w:val="0"/>
        <w:autoSpaceDN w:val="0"/>
        <w:adjustRightInd w:val="0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C’est ainsi que</w:t>
      </w:r>
      <w:r w:rsidR="00F610B1">
        <w:rPr>
          <w:sz w:val="22"/>
          <w:szCs w:val="22"/>
        </w:rPr>
        <w:t xml:space="preserve">, </w:t>
      </w:r>
      <w:r w:rsidR="00F610B1" w:rsidRPr="002E5B65">
        <w:rPr>
          <w:sz w:val="22"/>
          <w:szCs w:val="22"/>
        </w:rPr>
        <w:t xml:space="preserve">la </w:t>
      </w:r>
      <w:r w:rsidR="00F610B1" w:rsidRPr="00CD7581">
        <w:rPr>
          <w:b/>
          <w:bCs/>
          <w:sz w:val="22"/>
          <w:szCs w:val="22"/>
        </w:rPr>
        <w:t>valeur ajoutée agricole en volume</w:t>
      </w:r>
      <w:r w:rsidR="00F610B1" w:rsidRPr="002E5B65">
        <w:rPr>
          <w:sz w:val="22"/>
          <w:szCs w:val="22"/>
        </w:rPr>
        <w:t xml:space="preserve"> s’est accrue de 17,7% au lieu d’une baisse de 8,3%</w:t>
      </w:r>
      <w:r w:rsidR="00310172" w:rsidRPr="00310172">
        <w:rPr>
          <w:sz w:val="22"/>
          <w:szCs w:val="22"/>
        </w:rPr>
        <w:t xml:space="preserve"> le même trimestre de l’année précédente</w:t>
      </w:r>
      <w:r w:rsidR="00F610B1" w:rsidRPr="00310172">
        <w:rPr>
          <w:sz w:val="22"/>
          <w:szCs w:val="22"/>
        </w:rPr>
        <w:t>,</w:t>
      </w:r>
      <w:r w:rsidR="00F610B1" w:rsidRPr="002E5B65">
        <w:rPr>
          <w:sz w:val="22"/>
          <w:szCs w:val="22"/>
        </w:rPr>
        <w:t xml:space="preserve"> </w:t>
      </w:r>
      <w:r w:rsidR="00F610B1">
        <w:rPr>
          <w:sz w:val="22"/>
          <w:szCs w:val="22"/>
        </w:rPr>
        <w:t xml:space="preserve">alors que </w:t>
      </w:r>
      <w:r w:rsidR="00F610B1" w:rsidRPr="002E5B65">
        <w:rPr>
          <w:sz w:val="22"/>
          <w:szCs w:val="22"/>
        </w:rPr>
        <w:t xml:space="preserve">celle </w:t>
      </w:r>
      <w:r w:rsidR="00F610B1" w:rsidRPr="00CD7581">
        <w:rPr>
          <w:b/>
          <w:bCs/>
          <w:sz w:val="22"/>
          <w:szCs w:val="22"/>
        </w:rPr>
        <w:t>des activités non agricoles</w:t>
      </w:r>
      <w:r w:rsidR="00310172">
        <w:rPr>
          <w:sz w:val="22"/>
          <w:szCs w:val="22"/>
        </w:rPr>
        <w:t xml:space="preserve"> </w:t>
      </w:r>
      <w:r w:rsidR="00F610B1" w:rsidRPr="002E5B65">
        <w:rPr>
          <w:sz w:val="22"/>
          <w:szCs w:val="22"/>
        </w:rPr>
        <w:t>a été</w:t>
      </w:r>
      <w:r w:rsidR="00310172" w:rsidRPr="002E5B65">
        <w:rPr>
          <w:sz w:val="22"/>
          <w:szCs w:val="22"/>
        </w:rPr>
        <w:t xml:space="preserve">, en revanche, </w:t>
      </w:r>
      <w:r w:rsidR="00F610B1" w:rsidRPr="002E5B65">
        <w:rPr>
          <w:sz w:val="22"/>
          <w:szCs w:val="22"/>
        </w:rPr>
        <w:t>en net  ralentissement, avec une croissance de 1,9% au lieu de 4,</w:t>
      </w:r>
      <w:r w:rsidR="00FC489D">
        <w:rPr>
          <w:sz w:val="22"/>
          <w:szCs w:val="22"/>
        </w:rPr>
        <w:t>5</w:t>
      </w:r>
      <w:r w:rsidR="00F610B1" w:rsidRPr="002E5B65">
        <w:rPr>
          <w:sz w:val="22"/>
          <w:szCs w:val="22"/>
        </w:rPr>
        <w:t xml:space="preserve">%. </w:t>
      </w:r>
    </w:p>
    <w:p w:rsidR="00F610B1" w:rsidRPr="002E5B65" w:rsidRDefault="00F610B1" w:rsidP="00310172">
      <w:pPr>
        <w:autoSpaceDE w:val="0"/>
        <w:autoSpaceDN w:val="0"/>
        <w:adjustRightInd w:val="0"/>
        <w:ind w:right="142"/>
        <w:jc w:val="both"/>
        <w:rPr>
          <w:sz w:val="22"/>
          <w:szCs w:val="22"/>
        </w:rPr>
      </w:pPr>
    </w:p>
    <w:p w:rsidR="00F610B1" w:rsidRDefault="00F610B1" w:rsidP="002B6FC8">
      <w:pPr>
        <w:autoSpaceDE w:val="0"/>
        <w:autoSpaceDN w:val="0"/>
        <w:adjustRightInd w:val="0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B489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3B489D">
        <w:rPr>
          <w:sz w:val="22"/>
          <w:szCs w:val="22"/>
        </w:rPr>
        <w:t>croissance</w:t>
      </w:r>
      <w:r>
        <w:rPr>
          <w:sz w:val="22"/>
          <w:szCs w:val="22"/>
        </w:rPr>
        <w:t xml:space="preserve"> des activités non agricoles </w:t>
      </w:r>
      <w:r w:rsidR="003B489D">
        <w:rPr>
          <w:sz w:val="22"/>
          <w:szCs w:val="22"/>
        </w:rPr>
        <w:t>a été</w:t>
      </w:r>
      <w:r w:rsidR="008330A0">
        <w:rPr>
          <w:sz w:val="22"/>
          <w:szCs w:val="22"/>
        </w:rPr>
        <w:t xml:space="preserve"> affectée</w:t>
      </w:r>
      <w:r>
        <w:rPr>
          <w:sz w:val="22"/>
          <w:szCs w:val="22"/>
        </w:rPr>
        <w:t xml:space="preserve"> par le recul de la valeur ajoutée du secteur secondaire et la croissance modeste de celle du secteur tertiaire. </w:t>
      </w:r>
    </w:p>
    <w:p w:rsidR="00F610B1" w:rsidRDefault="00F610B1" w:rsidP="00F610B1">
      <w:pPr>
        <w:autoSpaceDE w:val="0"/>
        <w:autoSpaceDN w:val="0"/>
        <w:adjustRightInd w:val="0"/>
        <w:ind w:right="142"/>
        <w:jc w:val="both"/>
        <w:rPr>
          <w:sz w:val="22"/>
          <w:szCs w:val="22"/>
        </w:rPr>
      </w:pPr>
    </w:p>
    <w:p w:rsidR="00F610B1" w:rsidRDefault="003B489D" w:rsidP="005F4449">
      <w:pPr>
        <w:autoSpaceDE w:val="0"/>
        <w:autoSpaceDN w:val="0"/>
        <w:adjustRightInd w:val="0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Dans ce contexte</w:t>
      </w:r>
      <w:r>
        <w:rPr>
          <w:b/>
          <w:bCs/>
          <w:sz w:val="22"/>
          <w:szCs w:val="22"/>
        </w:rPr>
        <w:t>, la</w:t>
      </w:r>
      <w:r w:rsidR="00F610B1" w:rsidRPr="00C6365B">
        <w:rPr>
          <w:b/>
          <w:bCs/>
          <w:sz w:val="22"/>
          <w:szCs w:val="22"/>
        </w:rPr>
        <w:t xml:space="preserve"> valeur ajoutée du  secteur secondaire</w:t>
      </w:r>
      <w:r w:rsidR="00F610B1">
        <w:rPr>
          <w:sz w:val="22"/>
          <w:szCs w:val="22"/>
        </w:rPr>
        <w:t xml:space="preserve"> a enregistré une baisse de 2% au lieu d’une hausse de 2,6% durant la même période de l’année précédente. Ce résultat s’explique par:</w:t>
      </w:r>
    </w:p>
    <w:p w:rsidR="00F610B1" w:rsidRDefault="00F610B1" w:rsidP="00F610B1">
      <w:pPr>
        <w:autoSpaceDE w:val="0"/>
        <w:autoSpaceDN w:val="0"/>
        <w:adjustRightInd w:val="0"/>
        <w:rPr>
          <w:sz w:val="22"/>
          <w:szCs w:val="22"/>
        </w:rPr>
      </w:pPr>
    </w:p>
    <w:p w:rsidR="00F610B1" w:rsidRDefault="00F610B1" w:rsidP="00F610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480" w:hanging="240"/>
        <w:rPr>
          <w:sz w:val="22"/>
          <w:szCs w:val="22"/>
        </w:rPr>
      </w:pPr>
      <w:r>
        <w:rPr>
          <w:sz w:val="22"/>
          <w:szCs w:val="22"/>
        </w:rPr>
        <w:t xml:space="preserve">La baisse de la valeur ajoutée de l’activité du </w:t>
      </w:r>
      <w:r w:rsidRPr="00A671AA">
        <w:rPr>
          <w:sz w:val="22"/>
          <w:szCs w:val="22"/>
        </w:rPr>
        <w:t>bâtiment et travaux publics</w:t>
      </w:r>
      <w:r>
        <w:rPr>
          <w:sz w:val="22"/>
          <w:szCs w:val="22"/>
        </w:rPr>
        <w:t xml:space="preserve"> de 5,9% au lieu d’une hausse de 5%;</w:t>
      </w:r>
    </w:p>
    <w:p w:rsidR="00F610B1" w:rsidRDefault="00F610B1" w:rsidP="00F610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480" w:hanging="240"/>
        <w:rPr>
          <w:sz w:val="22"/>
          <w:szCs w:val="22"/>
        </w:rPr>
      </w:pPr>
      <w:r>
        <w:rPr>
          <w:sz w:val="22"/>
          <w:szCs w:val="22"/>
        </w:rPr>
        <w:t xml:space="preserve">La diminution de la valeur ajoutée de l’activité de </w:t>
      </w:r>
      <w:r w:rsidRPr="00A671AA">
        <w:rPr>
          <w:sz w:val="22"/>
          <w:szCs w:val="22"/>
        </w:rPr>
        <w:t>l’électricité et eau</w:t>
      </w:r>
      <w:r>
        <w:rPr>
          <w:sz w:val="22"/>
          <w:szCs w:val="22"/>
        </w:rPr>
        <w:t xml:space="preserve"> </w:t>
      </w:r>
      <w:r w:rsidRPr="00A671AA">
        <w:rPr>
          <w:sz w:val="22"/>
          <w:szCs w:val="22"/>
        </w:rPr>
        <w:t xml:space="preserve">de </w:t>
      </w:r>
      <w:r>
        <w:rPr>
          <w:sz w:val="22"/>
          <w:szCs w:val="22"/>
        </w:rPr>
        <w:t>4,2</w:t>
      </w:r>
      <w:r w:rsidRPr="00A671AA">
        <w:rPr>
          <w:sz w:val="22"/>
          <w:szCs w:val="22"/>
        </w:rPr>
        <w:t>% au lieu d</w:t>
      </w:r>
      <w:r>
        <w:rPr>
          <w:sz w:val="22"/>
          <w:szCs w:val="22"/>
        </w:rPr>
        <w:t>’une hausse de 11,2% ;</w:t>
      </w:r>
    </w:p>
    <w:p w:rsidR="00F610B1" w:rsidRDefault="00F610B1" w:rsidP="00FC48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480" w:hanging="240"/>
        <w:rPr>
          <w:sz w:val="22"/>
          <w:szCs w:val="22"/>
        </w:rPr>
      </w:pPr>
      <w:r>
        <w:rPr>
          <w:sz w:val="22"/>
          <w:szCs w:val="22"/>
        </w:rPr>
        <w:t>La régression de la valeur ajoutée de l’industrie d’extraction de 3,6% au lieu d</w:t>
      </w:r>
      <w:r w:rsidR="00FC489D">
        <w:rPr>
          <w:sz w:val="22"/>
          <w:szCs w:val="22"/>
        </w:rPr>
        <w:t xml:space="preserve">’une baisse de </w:t>
      </w:r>
      <w:r>
        <w:rPr>
          <w:sz w:val="22"/>
          <w:szCs w:val="22"/>
        </w:rPr>
        <w:t>5</w:t>
      </w:r>
      <w:r w:rsidRPr="00D52027">
        <w:rPr>
          <w:sz w:val="22"/>
          <w:szCs w:val="22"/>
        </w:rPr>
        <w:t>%</w:t>
      </w:r>
      <w:r>
        <w:rPr>
          <w:sz w:val="22"/>
          <w:szCs w:val="22"/>
        </w:rPr>
        <w:t>;</w:t>
      </w:r>
    </w:p>
    <w:p w:rsidR="00F610B1" w:rsidRDefault="00F610B1" w:rsidP="00F610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480" w:hanging="240"/>
        <w:rPr>
          <w:sz w:val="22"/>
          <w:szCs w:val="22"/>
        </w:rPr>
      </w:pPr>
      <w:r>
        <w:rPr>
          <w:sz w:val="22"/>
          <w:szCs w:val="22"/>
        </w:rPr>
        <w:t xml:space="preserve">Et la légère croissance de l’activité des industries de transformation </w:t>
      </w:r>
      <w:r w:rsidR="005F4449">
        <w:rPr>
          <w:sz w:val="22"/>
          <w:szCs w:val="22"/>
        </w:rPr>
        <w:t xml:space="preserve">de </w:t>
      </w:r>
      <w:r>
        <w:rPr>
          <w:sz w:val="22"/>
          <w:szCs w:val="22"/>
        </w:rPr>
        <w:t>0,5% au lieu de 2,9%.</w:t>
      </w:r>
    </w:p>
    <w:p w:rsidR="00F610B1" w:rsidRPr="00D52027" w:rsidRDefault="00F610B1" w:rsidP="00F610B1">
      <w:pPr>
        <w:pStyle w:val="Paragraphedeliste"/>
        <w:autoSpaceDE w:val="0"/>
        <w:autoSpaceDN w:val="0"/>
        <w:adjustRightInd w:val="0"/>
        <w:ind w:left="480"/>
        <w:rPr>
          <w:sz w:val="22"/>
          <w:szCs w:val="22"/>
        </w:rPr>
      </w:pPr>
    </w:p>
    <w:p w:rsidR="00F610B1" w:rsidRDefault="00F610B1" w:rsidP="00A10BB9">
      <w:pPr>
        <w:shd w:val="clear" w:color="auto" w:fill="FFFFFF"/>
        <w:jc w:val="both"/>
        <w:rPr>
          <w:sz w:val="22"/>
          <w:szCs w:val="22"/>
        </w:rPr>
      </w:pPr>
      <w:r w:rsidRPr="00FC489D">
        <w:rPr>
          <w:b/>
          <w:bCs/>
          <w:sz w:val="22"/>
          <w:szCs w:val="22"/>
        </w:rPr>
        <w:t>La valeur ajoutée du secteur tertiaire</w:t>
      </w:r>
      <w:r>
        <w:rPr>
          <w:sz w:val="22"/>
          <w:szCs w:val="22"/>
        </w:rPr>
        <w:t>, de son côté,</w:t>
      </w:r>
      <w:r w:rsidRPr="00A671AA">
        <w:rPr>
          <w:sz w:val="22"/>
          <w:szCs w:val="22"/>
        </w:rPr>
        <w:t xml:space="preserve"> </w:t>
      </w:r>
      <w:r>
        <w:rPr>
          <w:sz w:val="22"/>
          <w:szCs w:val="22"/>
        </w:rPr>
        <w:t>a affiché une croissance de 3,6% au lieu de 5,4%</w:t>
      </w:r>
      <w:r w:rsidR="00FC489D">
        <w:rPr>
          <w:sz w:val="22"/>
          <w:szCs w:val="22"/>
        </w:rPr>
        <w:t xml:space="preserve"> le même trimestre de l’année 2012</w:t>
      </w:r>
      <w:r>
        <w:rPr>
          <w:sz w:val="22"/>
          <w:szCs w:val="22"/>
        </w:rPr>
        <w:t>. Toutes les composantes du secteur ont pu dégager, malgré un certain ralentissement, des croissances positives de leurs valeurs ajoutées</w:t>
      </w:r>
      <w:r w:rsidR="00A10BB9">
        <w:rPr>
          <w:sz w:val="22"/>
          <w:szCs w:val="22"/>
        </w:rPr>
        <w:t> :</w:t>
      </w:r>
      <w:r>
        <w:rPr>
          <w:sz w:val="22"/>
          <w:szCs w:val="22"/>
        </w:rPr>
        <w:t xml:space="preserve"> </w:t>
      </w:r>
    </w:p>
    <w:p w:rsidR="00F610B1" w:rsidRPr="00A671AA" w:rsidRDefault="00F610B1" w:rsidP="00F610B1">
      <w:pPr>
        <w:shd w:val="clear" w:color="auto" w:fill="FFFFFF"/>
        <w:rPr>
          <w:sz w:val="22"/>
          <w:szCs w:val="22"/>
        </w:rPr>
      </w:pPr>
    </w:p>
    <w:p w:rsidR="00F610B1" w:rsidRDefault="00F610B1" w:rsidP="00F610B1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hanging="240"/>
        <w:rPr>
          <w:sz w:val="22"/>
          <w:szCs w:val="22"/>
        </w:rPr>
      </w:pPr>
      <w:r w:rsidRPr="00A671AA">
        <w:rPr>
          <w:sz w:val="22"/>
          <w:szCs w:val="22"/>
        </w:rPr>
        <w:t>Les po</w:t>
      </w:r>
      <w:r>
        <w:rPr>
          <w:sz w:val="22"/>
          <w:szCs w:val="22"/>
        </w:rPr>
        <w:t>stes et télécommunications de 14,7</w:t>
      </w:r>
      <w:r w:rsidRPr="00A671AA">
        <w:rPr>
          <w:sz w:val="22"/>
          <w:szCs w:val="22"/>
        </w:rPr>
        <w:t>% au lieu de 23</w:t>
      </w:r>
      <w:r>
        <w:rPr>
          <w:sz w:val="22"/>
          <w:szCs w:val="22"/>
        </w:rPr>
        <w:t>,7</w:t>
      </w:r>
      <w:r w:rsidRPr="00A671AA">
        <w:rPr>
          <w:sz w:val="22"/>
          <w:szCs w:val="22"/>
        </w:rPr>
        <w:t>% ;</w:t>
      </w:r>
    </w:p>
    <w:p w:rsidR="00F610B1" w:rsidRDefault="00F610B1" w:rsidP="00F610B1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hanging="240"/>
        <w:rPr>
          <w:sz w:val="22"/>
          <w:szCs w:val="22"/>
        </w:rPr>
      </w:pPr>
      <w:r>
        <w:rPr>
          <w:sz w:val="22"/>
          <w:szCs w:val="22"/>
        </w:rPr>
        <w:t>Les hôtels et restaurants de 3,7% au lieu d’une baisse de 4,8%</w:t>
      </w:r>
      <w:r w:rsidRPr="00A671AA">
        <w:rPr>
          <w:sz w:val="22"/>
          <w:szCs w:val="22"/>
        </w:rPr>
        <w:t>;</w:t>
      </w:r>
    </w:p>
    <w:p w:rsidR="00F610B1" w:rsidRDefault="00F610B1" w:rsidP="00F610B1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hanging="240"/>
        <w:rPr>
          <w:sz w:val="22"/>
          <w:szCs w:val="22"/>
        </w:rPr>
      </w:pPr>
      <w:r w:rsidRPr="00A671AA">
        <w:rPr>
          <w:sz w:val="22"/>
          <w:szCs w:val="22"/>
        </w:rPr>
        <w:t>Les services rendus aux</w:t>
      </w:r>
      <w:r>
        <w:rPr>
          <w:sz w:val="22"/>
          <w:szCs w:val="22"/>
        </w:rPr>
        <w:t xml:space="preserve"> ménages et aux entreprises de 2</w:t>
      </w:r>
      <w:r w:rsidRPr="00A671AA">
        <w:rPr>
          <w:sz w:val="22"/>
          <w:szCs w:val="22"/>
        </w:rPr>
        <w:t>,</w:t>
      </w:r>
      <w:r>
        <w:rPr>
          <w:sz w:val="22"/>
          <w:szCs w:val="22"/>
        </w:rPr>
        <w:t>8% au lieu de 4,5</w:t>
      </w:r>
      <w:r w:rsidRPr="00A671AA">
        <w:rPr>
          <w:sz w:val="22"/>
          <w:szCs w:val="22"/>
        </w:rPr>
        <w:t>% ;</w:t>
      </w:r>
    </w:p>
    <w:p w:rsidR="00F610B1" w:rsidRDefault="00F610B1" w:rsidP="00F610B1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hanging="240"/>
        <w:rPr>
          <w:sz w:val="22"/>
          <w:szCs w:val="22"/>
        </w:rPr>
      </w:pPr>
      <w:r w:rsidRPr="00A671AA">
        <w:rPr>
          <w:sz w:val="22"/>
          <w:szCs w:val="22"/>
        </w:rPr>
        <w:t xml:space="preserve">Le commerce de </w:t>
      </w:r>
      <w:r>
        <w:rPr>
          <w:sz w:val="22"/>
          <w:szCs w:val="22"/>
        </w:rPr>
        <w:t>2</w:t>
      </w:r>
      <w:r w:rsidRPr="00A671AA">
        <w:rPr>
          <w:sz w:val="22"/>
          <w:szCs w:val="22"/>
        </w:rPr>
        <w:t>,</w:t>
      </w:r>
      <w:r>
        <w:rPr>
          <w:sz w:val="22"/>
          <w:szCs w:val="22"/>
        </w:rPr>
        <w:t>3</w:t>
      </w:r>
      <w:r w:rsidRPr="00A671AA">
        <w:rPr>
          <w:sz w:val="22"/>
          <w:szCs w:val="22"/>
        </w:rPr>
        <w:t xml:space="preserve">% au lieu de </w:t>
      </w:r>
      <w:r>
        <w:rPr>
          <w:sz w:val="22"/>
          <w:szCs w:val="22"/>
        </w:rPr>
        <w:t>3</w:t>
      </w:r>
      <w:r w:rsidRPr="00A671AA">
        <w:rPr>
          <w:sz w:val="22"/>
          <w:szCs w:val="22"/>
        </w:rPr>
        <w:t>,</w:t>
      </w:r>
      <w:r>
        <w:rPr>
          <w:sz w:val="22"/>
          <w:szCs w:val="22"/>
        </w:rPr>
        <w:t>2</w:t>
      </w:r>
      <w:r w:rsidRPr="00A671AA">
        <w:rPr>
          <w:sz w:val="22"/>
          <w:szCs w:val="22"/>
        </w:rPr>
        <w:t>% ;</w:t>
      </w:r>
    </w:p>
    <w:p w:rsidR="00F610B1" w:rsidRDefault="00F610B1" w:rsidP="00F610B1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hanging="240"/>
        <w:rPr>
          <w:sz w:val="22"/>
          <w:szCs w:val="22"/>
        </w:rPr>
      </w:pPr>
      <w:r w:rsidRPr="00A671AA">
        <w:rPr>
          <w:sz w:val="22"/>
          <w:szCs w:val="22"/>
        </w:rPr>
        <w:lastRenderedPageBreak/>
        <w:t>Les servic</w:t>
      </w:r>
      <w:r>
        <w:rPr>
          <w:sz w:val="22"/>
          <w:szCs w:val="22"/>
        </w:rPr>
        <w:t>es financiers et assurances de 0,3% au lieu de 5,4</w:t>
      </w:r>
      <w:r w:rsidRPr="00A671AA">
        <w:rPr>
          <w:sz w:val="22"/>
          <w:szCs w:val="22"/>
        </w:rPr>
        <w:t>% ;</w:t>
      </w:r>
    </w:p>
    <w:p w:rsidR="00F610B1" w:rsidRDefault="00F610B1" w:rsidP="00F610B1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right="-342" w:hanging="240"/>
        <w:rPr>
          <w:sz w:val="22"/>
          <w:szCs w:val="22"/>
        </w:rPr>
      </w:pPr>
      <w:r>
        <w:rPr>
          <w:sz w:val="22"/>
          <w:szCs w:val="22"/>
        </w:rPr>
        <w:t>L</w:t>
      </w:r>
      <w:r w:rsidRPr="00A671AA">
        <w:rPr>
          <w:sz w:val="22"/>
          <w:szCs w:val="22"/>
        </w:rPr>
        <w:t>es « services rendus par l’administration publique générale et sécurité sociale »</w:t>
      </w:r>
      <w:r>
        <w:rPr>
          <w:sz w:val="22"/>
          <w:szCs w:val="22"/>
        </w:rPr>
        <w:t xml:space="preserve"> de</w:t>
      </w:r>
      <w:r w:rsidRPr="00A671AA">
        <w:rPr>
          <w:sz w:val="22"/>
          <w:szCs w:val="22"/>
        </w:rPr>
        <w:t xml:space="preserve"> 6</w:t>
      </w:r>
      <w:r>
        <w:rPr>
          <w:sz w:val="22"/>
          <w:szCs w:val="22"/>
        </w:rPr>
        <w:t>,4</w:t>
      </w:r>
      <w:r w:rsidRPr="00A671AA">
        <w:rPr>
          <w:sz w:val="22"/>
          <w:szCs w:val="22"/>
        </w:rPr>
        <w:t>%</w:t>
      </w:r>
      <w:r>
        <w:rPr>
          <w:sz w:val="22"/>
          <w:szCs w:val="22"/>
        </w:rPr>
        <w:t xml:space="preserve"> au lieu de 7,4</w:t>
      </w:r>
      <w:r w:rsidRPr="00A671AA">
        <w:rPr>
          <w:sz w:val="22"/>
          <w:szCs w:val="22"/>
        </w:rPr>
        <w:t>%</w:t>
      </w:r>
      <w:r>
        <w:rPr>
          <w:sz w:val="22"/>
          <w:szCs w:val="22"/>
        </w:rPr>
        <w:t>;</w:t>
      </w:r>
    </w:p>
    <w:p w:rsidR="00F610B1" w:rsidRPr="00A671AA" w:rsidRDefault="00F610B1" w:rsidP="00F610B1">
      <w:pPr>
        <w:numPr>
          <w:ilvl w:val="0"/>
          <w:numId w:val="3"/>
        </w:numPr>
        <w:tabs>
          <w:tab w:val="clear" w:pos="1440"/>
        </w:tabs>
        <w:autoSpaceDE w:val="0"/>
        <w:autoSpaceDN w:val="0"/>
        <w:adjustRightInd w:val="0"/>
        <w:ind w:left="480" w:hanging="240"/>
        <w:rPr>
          <w:sz w:val="22"/>
          <w:szCs w:val="22"/>
        </w:rPr>
      </w:pPr>
      <w:r w:rsidRPr="00A671AA">
        <w:rPr>
          <w:sz w:val="22"/>
          <w:szCs w:val="22"/>
        </w:rPr>
        <w:t xml:space="preserve">les « services de l’éducation, de la </w:t>
      </w:r>
      <w:r>
        <w:rPr>
          <w:sz w:val="22"/>
          <w:szCs w:val="22"/>
        </w:rPr>
        <w:t>santé et de l’action sociale » de 2,7</w:t>
      </w:r>
      <w:r w:rsidRPr="00A671AA">
        <w:rPr>
          <w:sz w:val="22"/>
          <w:szCs w:val="22"/>
        </w:rPr>
        <w:t>%</w:t>
      </w:r>
      <w:r>
        <w:rPr>
          <w:sz w:val="22"/>
          <w:szCs w:val="22"/>
        </w:rPr>
        <w:t xml:space="preserve"> au lieu de 4,8</w:t>
      </w:r>
      <w:r w:rsidRPr="00A671AA">
        <w:rPr>
          <w:sz w:val="22"/>
          <w:szCs w:val="22"/>
        </w:rPr>
        <w:t>%.</w:t>
      </w:r>
    </w:p>
    <w:p w:rsidR="00F610B1" w:rsidRPr="00A671AA" w:rsidRDefault="00F610B1" w:rsidP="00F610B1">
      <w:pPr>
        <w:shd w:val="clear" w:color="auto" w:fill="FFFFFF"/>
        <w:ind w:left="454"/>
        <w:rPr>
          <w:sz w:val="22"/>
          <w:szCs w:val="22"/>
        </w:rPr>
      </w:pPr>
    </w:p>
    <w:p w:rsidR="00F610B1" w:rsidRPr="00A671AA" w:rsidRDefault="00F610B1" w:rsidP="00CD7581">
      <w:pPr>
        <w:pStyle w:val="Titre"/>
        <w:jc w:val="both"/>
        <w:rPr>
          <w:b w:val="0"/>
          <w:bCs w:val="0"/>
          <w:sz w:val="22"/>
          <w:szCs w:val="22"/>
        </w:rPr>
      </w:pPr>
      <w:r w:rsidRPr="00CD7581">
        <w:rPr>
          <w:sz w:val="22"/>
          <w:szCs w:val="22"/>
        </w:rPr>
        <w:t>Au niveau de</w:t>
      </w:r>
      <w:r w:rsidR="00F640A6" w:rsidRPr="00CD7581">
        <w:rPr>
          <w:sz w:val="22"/>
          <w:szCs w:val="22"/>
        </w:rPr>
        <w:t>s emplois du PIB</w:t>
      </w:r>
      <w:r w:rsidRPr="00A671AA">
        <w:rPr>
          <w:b w:val="0"/>
          <w:bCs w:val="0"/>
          <w:sz w:val="22"/>
          <w:szCs w:val="22"/>
        </w:rPr>
        <w:t xml:space="preserve">, </w:t>
      </w:r>
      <w:r w:rsidR="00F640A6">
        <w:rPr>
          <w:b w:val="0"/>
          <w:bCs w:val="0"/>
          <w:sz w:val="22"/>
          <w:szCs w:val="22"/>
        </w:rPr>
        <w:t xml:space="preserve">la consommation finale nationale, malgré son ralentissement, demeure le principal contributeur à la croissance économique durant le premier trimestre 2013. Ainsi, </w:t>
      </w:r>
      <w:r w:rsidRPr="00A671AA">
        <w:rPr>
          <w:b w:val="0"/>
          <w:bCs w:val="0"/>
          <w:sz w:val="22"/>
          <w:szCs w:val="22"/>
        </w:rPr>
        <w:t xml:space="preserve">les dépenses de consommation finale des </w:t>
      </w:r>
      <w:r>
        <w:rPr>
          <w:b w:val="0"/>
          <w:bCs w:val="0"/>
          <w:sz w:val="22"/>
          <w:szCs w:val="22"/>
        </w:rPr>
        <w:t>ménages se sont  accrues  de 3% au lieu de 4%</w:t>
      </w:r>
      <w:r w:rsidR="00F640A6">
        <w:rPr>
          <w:b w:val="0"/>
          <w:bCs w:val="0"/>
          <w:sz w:val="22"/>
          <w:szCs w:val="22"/>
        </w:rPr>
        <w:t xml:space="preserve"> la même période de l’année précédente, </w:t>
      </w:r>
      <w:r>
        <w:rPr>
          <w:b w:val="0"/>
          <w:bCs w:val="0"/>
          <w:sz w:val="22"/>
          <w:szCs w:val="22"/>
        </w:rPr>
        <w:t>contribuant</w:t>
      </w:r>
      <w:r w:rsidRPr="00A671AA">
        <w:rPr>
          <w:b w:val="0"/>
          <w:bCs w:val="0"/>
          <w:sz w:val="22"/>
          <w:szCs w:val="22"/>
        </w:rPr>
        <w:t xml:space="preserve"> </w:t>
      </w:r>
      <w:r w:rsidR="00F640A6">
        <w:rPr>
          <w:b w:val="0"/>
          <w:bCs w:val="0"/>
          <w:sz w:val="22"/>
          <w:szCs w:val="22"/>
        </w:rPr>
        <w:t xml:space="preserve">pour </w:t>
      </w:r>
      <w:r>
        <w:rPr>
          <w:b w:val="0"/>
          <w:bCs w:val="0"/>
          <w:sz w:val="22"/>
          <w:szCs w:val="22"/>
        </w:rPr>
        <w:t xml:space="preserve">1,8 point </w:t>
      </w:r>
      <w:r w:rsidR="00F640A6">
        <w:rPr>
          <w:b w:val="0"/>
          <w:bCs w:val="0"/>
          <w:sz w:val="22"/>
          <w:szCs w:val="22"/>
        </w:rPr>
        <w:t xml:space="preserve">à la croissance </w:t>
      </w:r>
      <w:r>
        <w:rPr>
          <w:b w:val="0"/>
          <w:bCs w:val="0"/>
          <w:sz w:val="22"/>
          <w:szCs w:val="22"/>
        </w:rPr>
        <w:t>au lieu de 2,3</w:t>
      </w:r>
      <w:r w:rsidR="00CC51B6">
        <w:rPr>
          <w:b w:val="0"/>
          <w:bCs w:val="0"/>
          <w:sz w:val="22"/>
          <w:szCs w:val="22"/>
        </w:rPr>
        <w:t xml:space="preserve"> points</w:t>
      </w:r>
      <w:r w:rsidRPr="00A671AA">
        <w:rPr>
          <w:b w:val="0"/>
          <w:bCs w:val="0"/>
          <w:sz w:val="22"/>
          <w:szCs w:val="22"/>
        </w:rPr>
        <w:t>. La consommation finale  des administrations publiques</w:t>
      </w:r>
      <w:r w:rsidR="00CC51B6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 xml:space="preserve"> </w:t>
      </w:r>
      <w:r w:rsidR="00CC51B6" w:rsidRPr="00A671AA">
        <w:rPr>
          <w:b w:val="0"/>
          <w:bCs w:val="0"/>
          <w:sz w:val="22"/>
          <w:szCs w:val="22"/>
        </w:rPr>
        <w:t>de son</w:t>
      </w:r>
      <w:r w:rsidR="00CC51B6">
        <w:rPr>
          <w:b w:val="0"/>
          <w:bCs w:val="0"/>
          <w:sz w:val="22"/>
          <w:szCs w:val="22"/>
        </w:rPr>
        <w:t xml:space="preserve"> côté,  </w:t>
      </w:r>
      <w:r>
        <w:rPr>
          <w:b w:val="0"/>
          <w:bCs w:val="0"/>
          <w:sz w:val="22"/>
          <w:szCs w:val="22"/>
        </w:rPr>
        <w:t>a</w:t>
      </w:r>
      <w:r w:rsidRPr="00A671AA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affiché une hausse de 4,8</w:t>
      </w:r>
      <w:r w:rsidRPr="00A671AA">
        <w:rPr>
          <w:b w:val="0"/>
          <w:bCs w:val="0"/>
          <w:sz w:val="22"/>
          <w:szCs w:val="22"/>
        </w:rPr>
        <w:t>%</w:t>
      </w:r>
      <w:r>
        <w:rPr>
          <w:b w:val="0"/>
          <w:bCs w:val="0"/>
          <w:sz w:val="22"/>
          <w:szCs w:val="22"/>
        </w:rPr>
        <w:t xml:space="preserve"> au lieu de 7,2%</w:t>
      </w:r>
      <w:r w:rsidR="00CC51B6">
        <w:rPr>
          <w:b w:val="0"/>
          <w:bCs w:val="0"/>
          <w:sz w:val="22"/>
          <w:szCs w:val="22"/>
        </w:rPr>
        <w:t xml:space="preserve">, et sa </w:t>
      </w:r>
      <w:r>
        <w:rPr>
          <w:b w:val="0"/>
          <w:bCs w:val="0"/>
          <w:sz w:val="22"/>
          <w:szCs w:val="22"/>
        </w:rPr>
        <w:t>contribu</w:t>
      </w:r>
      <w:r w:rsidR="00CC51B6">
        <w:rPr>
          <w:b w:val="0"/>
          <w:bCs w:val="0"/>
          <w:sz w:val="22"/>
          <w:szCs w:val="22"/>
        </w:rPr>
        <w:t xml:space="preserve">tion </w:t>
      </w:r>
      <w:r w:rsidR="00CC51B6" w:rsidRPr="00A671AA">
        <w:rPr>
          <w:b w:val="0"/>
          <w:bCs w:val="0"/>
          <w:sz w:val="22"/>
          <w:szCs w:val="22"/>
        </w:rPr>
        <w:t>à la croissance</w:t>
      </w:r>
      <w:r w:rsidR="00CC51B6">
        <w:rPr>
          <w:b w:val="0"/>
          <w:bCs w:val="0"/>
          <w:sz w:val="22"/>
          <w:szCs w:val="22"/>
        </w:rPr>
        <w:t xml:space="preserve"> s’est situé à </w:t>
      </w:r>
      <w:r>
        <w:rPr>
          <w:b w:val="0"/>
          <w:bCs w:val="0"/>
          <w:sz w:val="22"/>
          <w:szCs w:val="22"/>
        </w:rPr>
        <w:t>0,8</w:t>
      </w:r>
      <w:r w:rsidRPr="00A671AA">
        <w:rPr>
          <w:b w:val="0"/>
          <w:bCs w:val="0"/>
          <w:sz w:val="22"/>
          <w:szCs w:val="22"/>
        </w:rPr>
        <w:t xml:space="preserve"> point</w:t>
      </w:r>
      <w:r w:rsidR="00CC51B6">
        <w:rPr>
          <w:b w:val="0"/>
          <w:bCs w:val="0"/>
          <w:sz w:val="22"/>
          <w:szCs w:val="22"/>
        </w:rPr>
        <w:t xml:space="preserve">. En revanche, </w:t>
      </w:r>
      <w:r w:rsidRPr="00A671AA">
        <w:rPr>
          <w:b w:val="0"/>
          <w:bCs w:val="0"/>
          <w:sz w:val="22"/>
          <w:szCs w:val="22"/>
        </w:rPr>
        <w:t>l</w:t>
      </w:r>
      <w:r w:rsidR="00CD7581">
        <w:rPr>
          <w:b w:val="0"/>
          <w:bCs w:val="0"/>
          <w:sz w:val="22"/>
          <w:szCs w:val="22"/>
        </w:rPr>
        <w:t xml:space="preserve">’investissement </w:t>
      </w:r>
      <w:r w:rsidRPr="00A671AA">
        <w:rPr>
          <w:b w:val="0"/>
          <w:bCs w:val="0"/>
          <w:sz w:val="22"/>
          <w:szCs w:val="22"/>
        </w:rPr>
        <w:t>brut (formation brute de capital fixe et variations de stocks) a</w:t>
      </w:r>
      <w:r>
        <w:rPr>
          <w:b w:val="0"/>
          <w:bCs w:val="0"/>
          <w:sz w:val="22"/>
          <w:szCs w:val="22"/>
        </w:rPr>
        <w:t xml:space="preserve"> </w:t>
      </w:r>
      <w:r w:rsidRPr="00A671AA">
        <w:rPr>
          <w:b w:val="0"/>
          <w:bCs w:val="0"/>
          <w:sz w:val="22"/>
          <w:szCs w:val="22"/>
        </w:rPr>
        <w:t xml:space="preserve">connu une </w:t>
      </w:r>
      <w:r>
        <w:rPr>
          <w:b w:val="0"/>
          <w:bCs w:val="0"/>
          <w:sz w:val="22"/>
          <w:szCs w:val="22"/>
        </w:rPr>
        <w:t xml:space="preserve">baisse de 2% </w:t>
      </w:r>
      <w:r w:rsidR="00CC51B6">
        <w:rPr>
          <w:b w:val="0"/>
          <w:bCs w:val="0"/>
          <w:sz w:val="22"/>
          <w:szCs w:val="22"/>
        </w:rPr>
        <w:t>au lieu d’</w:t>
      </w:r>
      <w:r>
        <w:rPr>
          <w:b w:val="0"/>
          <w:bCs w:val="0"/>
          <w:sz w:val="22"/>
          <w:szCs w:val="22"/>
        </w:rPr>
        <w:t>une augmentation de 2,6% une année auparavant.</w:t>
      </w:r>
    </w:p>
    <w:p w:rsidR="00F610B1" w:rsidRPr="00A671AA" w:rsidRDefault="00F610B1" w:rsidP="00F610B1">
      <w:pPr>
        <w:pStyle w:val="Titre"/>
        <w:jc w:val="both"/>
        <w:rPr>
          <w:b w:val="0"/>
          <w:bCs w:val="0"/>
          <w:sz w:val="22"/>
          <w:szCs w:val="22"/>
        </w:rPr>
      </w:pPr>
    </w:p>
    <w:p w:rsidR="00F610B1" w:rsidRPr="00D825FB" w:rsidRDefault="00CC51B6" w:rsidP="007801D3">
      <w:pPr>
        <w:pStyle w:val="Titr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Au niveau d</w:t>
      </w:r>
      <w:r w:rsidR="00F610B1" w:rsidRPr="00A671AA">
        <w:rPr>
          <w:b w:val="0"/>
          <w:bCs w:val="0"/>
          <w:sz w:val="22"/>
          <w:szCs w:val="22"/>
        </w:rPr>
        <w:t>es échanges extérieurs de biens et services</w:t>
      </w:r>
      <w:r>
        <w:rPr>
          <w:b w:val="0"/>
          <w:bCs w:val="0"/>
          <w:sz w:val="22"/>
          <w:szCs w:val="22"/>
        </w:rPr>
        <w:t xml:space="preserve"> en volume, aussi bien les exportations que les importations ont enregistré des baisses durant le premier trimestre de l’année 2013. Néanmoins, la baisse du volume des importations a été plus accentuée, de l’ordre de 4,4%, au lieu de 0,6</w:t>
      </w:r>
      <w:r w:rsidRPr="00A671AA">
        <w:rPr>
          <w:b w:val="0"/>
          <w:bCs w:val="0"/>
          <w:sz w:val="22"/>
          <w:szCs w:val="22"/>
        </w:rPr>
        <w:t xml:space="preserve">% </w:t>
      </w:r>
      <w:r>
        <w:rPr>
          <w:b w:val="0"/>
          <w:bCs w:val="0"/>
          <w:sz w:val="22"/>
          <w:szCs w:val="22"/>
        </w:rPr>
        <w:t xml:space="preserve">pour les exportations. </w:t>
      </w:r>
      <w:r w:rsidR="007801D3">
        <w:rPr>
          <w:b w:val="0"/>
          <w:bCs w:val="0"/>
          <w:sz w:val="22"/>
          <w:szCs w:val="22"/>
        </w:rPr>
        <w:t xml:space="preserve">Dans ces conditions, les échanges extérieurs nets ont dégagé une </w:t>
      </w:r>
      <w:r w:rsidR="00F610B1">
        <w:rPr>
          <w:b w:val="0"/>
          <w:bCs w:val="0"/>
          <w:sz w:val="22"/>
          <w:szCs w:val="22"/>
        </w:rPr>
        <w:t>contribu</w:t>
      </w:r>
      <w:r w:rsidR="007801D3">
        <w:rPr>
          <w:b w:val="0"/>
          <w:bCs w:val="0"/>
          <w:sz w:val="22"/>
          <w:szCs w:val="22"/>
        </w:rPr>
        <w:t>tion positive de</w:t>
      </w:r>
      <w:r w:rsidR="00F610B1">
        <w:rPr>
          <w:b w:val="0"/>
          <w:bCs w:val="0"/>
          <w:sz w:val="22"/>
          <w:szCs w:val="22"/>
        </w:rPr>
        <w:t xml:space="preserve"> 1,5</w:t>
      </w:r>
      <w:r w:rsidR="00F610B1" w:rsidRPr="00A671AA">
        <w:rPr>
          <w:b w:val="0"/>
          <w:bCs w:val="0"/>
          <w:sz w:val="22"/>
          <w:szCs w:val="22"/>
        </w:rPr>
        <w:t xml:space="preserve"> point à la croissance économique au lieu </w:t>
      </w:r>
      <w:r w:rsidR="00F610B1">
        <w:rPr>
          <w:b w:val="0"/>
          <w:bCs w:val="0"/>
          <w:sz w:val="22"/>
          <w:szCs w:val="22"/>
        </w:rPr>
        <w:t>d’une contribution négative de 0,8</w:t>
      </w:r>
      <w:r w:rsidR="00F610B1" w:rsidRPr="00A671AA">
        <w:rPr>
          <w:b w:val="0"/>
          <w:bCs w:val="0"/>
          <w:sz w:val="22"/>
          <w:szCs w:val="22"/>
        </w:rPr>
        <w:t xml:space="preserve"> point</w:t>
      </w:r>
      <w:r w:rsidR="00F610B1">
        <w:rPr>
          <w:b w:val="0"/>
          <w:bCs w:val="0"/>
          <w:sz w:val="22"/>
          <w:szCs w:val="22"/>
        </w:rPr>
        <w:t xml:space="preserve"> </w:t>
      </w:r>
      <w:r w:rsidR="007801D3">
        <w:rPr>
          <w:b w:val="0"/>
          <w:bCs w:val="0"/>
          <w:sz w:val="22"/>
          <w:szCs w:val="22"/>
        </w:rPr>
        <w:t>le même</w:t>
      </w:r>
      <w:r w:rsidR="00F610B1">
        <w:rPr>
          <w:b w:val="0"/>
          <w:bCs w:val="0"/>
          <w:sz w:val="22"/>
          <w:szCs w:val="22"/>
        </w:rPr>
        <w:t xml:space="preserve"> </w:t>
      </w:r>
      <w:r w:rsidR="00F610B1" w:rsidRPr="00A671AA">
        <w:rPr>
          <w:b w:val="0"/>
          <w:bCs w:val="0"/>
          <w:sz w:val="22"/>
          <w:szCs w:val="22"/>
        </w:rPr>
        <w:t xml:space="preserve"> trimestre de </w:t>
      </w:r>
      <w:r w:rsidR="00F610B1">
        <w:rPr>
          <w:b w:val="0"/>
          <w:bCs w:val="0"/>
          <w:sz w:val="22"/>
          <w:szCs w:val="22"/>
        </w:rPr>
        <w:t xml:space="preserve">l’année </w:t>
      </w:r>
      <w:r w:rsidR="00F610B1" w:rsidRPr="00A671AA">
        <w:rPr>
          <w:b w:val="0"/>
          <w:bCs w:val="0"/>
          <w:sz w:val="22"/>
          <w:szCs w:val="22"/>
        </w:rPr>
        <w:t>201</w:t>
      </w:r>
      <w:r w:rsidR="00F610B1">
        <w:rPr>
          <w:b w:val="0"/>
          <w:bCs w:val="0"/>
          <w:sz w:val="22"/>
          <w:szCs w:val="22"/>
        </w:rPr>
        <w:t>2</w:t>
      </w:r>
      <w:r w:rsidR="00F610B1" w:rsidRPr="00A671AA">
        <w:rPr>
          <w:b w:val="0"/>
          <w:bCs w:val="0"/>
          <w:sz w:val="22"/>
          <w:szCs w:val="22"/>
        </w:rPr>
        <w:t xml:space="preserve">. </w:t>
      </w:r>
    </w:p>
    <w:p w:rsidR="00F610B1" w:rsidRPr="00D825FB" w:rsidRDefault="00F610B1" w:rsidP="00F610B1">
      <w:pPr>
        <w:pStyle w:val="Titre"/>
        <w:jc w:val="both"/>
        <w:rPr>
          <w:b w:val="0"/>
          <w:bCs w:val="0"/>
          <w:sz w:val="22"/>
          <w:szCs w:val="22"/>
        </w:rPr>
      </w:pPr>
    </w:p>
    <w:p w:rsidR="00F610B1" w:rsidRPr="00D825FB" w:rsidRDefault="00F610B1" w:rsidP="00B1446A">
      <w:pPr>
        <w:pStyle w:val="Titre"/>
        <w:jc w:val="both"/>
        <w:rPr>
          <w:b w:val="0"/>
          <w:bCs w:val="0"/>
          <w:sz w:val="22"/>
          <w:szCs w:val="22"/>
        </w:rPr>
      </w:pPr>
      <w:r w:rsidRPr="00D825FB">
        <w:rPr>
          <w:b w:val="0"/>
          <w:bCs w:val="0"/>
          <w:sz w:val="22"/>
          <w:szCs w:val="22"/>
        </w:rPr>
        <w:t xml:space="preserve">Durant ce trimestre, le </w:t>
      </w:r>
      <w:r w:rsidRPr="00CD7581">
        <w:rPr>
          <w:sz w:val="22"/>
          <w:szCs w:val="22"/>
        </w:rPr>
        <w:t>revenu national brut disponible</w:t>
      </w:r>
      <w:r w:rsidRPr="00D825FB">
        <w:rPr>
          <w:b w:val="0"/>
          <w:bCs w:val="0"/>
          <w:sz w:val="22"/>
          <w:szCs w:val="22"/>
        </w:rPr>
        <w:t xml:space="preserve"> a progressé de </w:t>
      </w:r>
      <w:r>
        <w:rPr>
          <w:b w:val="0"/>
          <w:bCs w:val="0"/>
          <w:sz w:val="22"/>
          <w:szCs w:val="22"/>
        </w:rPr>
        <w:t>6,8</w:t>
      </w:r>
      <w:r w:rsidRPr="00D825FB">
        <w:rPr>
          <w:b w:val="0"/>
          <w:bCs w:val="0"/>
          <w:sz w:val="22"/>
          <w:szCs w:val="22"/>
        </w:rPr>
        <w:t xml:space="preserve">% au lieu de </w:t>
      </w:r>
      <w:r>
        <w:rPr>
          <w:b w:val="0"/>
          <w:bCs w:val="0"/>
          <w:sz w:val="22"/>
          <w:szCs w:val="22"/>
        </w:rPr>
        <w:t>3</w:t>
      </w:r>
      <w:r w:rsidRPr="00D825FB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>7</w:t>
      </w:r>
      <w:r w:rsidRPr="00D825FB">
        <w:rPr>
          <w:b w:val="0"/>
          <w:bCs w:val="0"/>
          <w:sz w:val="22"/>
          <w:szCs w:val="22"/>
        </w:rPr>
        <w:t>% l’année précédente. Cette évolution est due conjointement à la hausse du PIB aux prix courants</w:t>
      </w:r>
      <w:r>
        <w:rPr>
          <w:b w:val="0"/>
          <w:bCs w:val="0"/>
          <w:sz w:val="22"/>
          <w:szCs w:val="22"/>
        </w:rPr>
        <w:t xml:space="preserve"> </w:t>
      </w:r>
      <w:r w:rsidRPr="00D825FB">
        <w:rPr>
          <w:b w:val="0"/>
          <w:bCs w:val="0"/>
          <w:sz w:val="22"/>
          <w:szCs w:val="22"/>
        </w:rPr>
        <w:t xml:space="preserve">de </w:t>
      </w:r>
      <w:r>
        <w:rPr>
          <w:b w:val="0"/>
          <w:bCs w:val="0"/>
          <w:sz w:val="22"/>
          <w:szCs w:val="22"/>
        </w:rPr>
        <w:t>6,1</w:t>
      </w:r>
      <w:r w:rsidRPr="00D825FB">
        <w:rPr>
          <w:b w:val="0"/>
          <w:bCs w:val="0"/>
          <w:sz w:val="22"/>
          <w:szCs w:val="22"/>
        </w:rPr>
        <w:t xml:space="preserve">% au lieu de </w:t>
      </w:r>
      <w:r>
        <w:rPr>
          <w:b w:val="0"/>
          <w:bCs w:val="0"/>
          <w:sz w:val="22"/>
          <w:szCs w:val="22"/>
        </w:rPr>
        <w:t>2,5</w:t>
      </w:r>
      <w:r w:rsidRPr="00D825FB">
        <w:rPr>
          <w:b w:val="0"/>
          <w:bCs w:val="0"/>
          <w:sz w:val="22"/>
          <w:szCs w:val="22"/>
        </w:rPr>
        <w:t xml:space="preserve">% et des </w:t>
      </w:r>
      <w:r>
        <w:rPr>
          <w:b w:val="0"/>
          <w:bCs w:val="0"/>
          <w:sz w:val="22"/>
          <w:szCs w:val="22"/>
        </w:rPr>
        <w:t>revenus nets</w:t>
      </w:r>
      <w:r w:rsidRPr="00D825FB">
        <w:rPr>
          <w:b w:val="0"/>
          <w:bCs w:val="0"/>
          <w:sz w:val="22"/>
          <w:szCs w:val="22"/>
        </w:rPr>
        <w:t xml:space="preserve"> reçus du reste de monde de </w:t>
      </w:r>
      <w:r>
        <w:rPr>
          <w:b w:val="0"/>
          <w:bCs w:val="0"/>
          <w:sz w:val="22"/>
          <w:szCs w:val="22"/>
        </w:rPr>
        <w:t>18,5</w:t>
      </w:r>
      <w:r w:rsidRPr="00D825FB">
        <w:rPr>
          <w:b w:val="0"/>
          <w:bCs w:val="0"/>
          <w:sz w:val="22"/>
          <w:szCs w:val="22"/>
        </w:rPr>
        <w:t xml:space="preserve">% au lieu </w:t>
      </w:r>
      <w:r>
        <w:rPr>
          <w:b w:val="0"/>
          <w:bCs w:val="0"/>
          <w:sz w:val="22"/>
          <w:szCs w:val="22"/>
        </w:rPr>
        <w:t>de 32</w:t>
      </w:r>
      <w:r w:rsidRPr="00D825FB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>8</w:t>
      </w:r>
      <w:r w:rsidRPr="00D825FB">
        <w:rPr>
          <w:b w:val="0"/>
          <w:bCs w:val="0"/>
          <w:sz w:val="22"/>
          <w:szCs w:val="22"/>
        </w:rPr>
        <w:t>%</w:t>
      </w:r>
      <w:r w:rsidR="00B1446A">
        <w:rPr>
          <w:b w:val="0"/>
          <w:bCs w:val="0"/>
          <w:sz w:val="22"/>
          <w:szCs w:val="22"/>
        </w:rPr>
        <w:t xml:space="preserve">. La baisse du rythme d’accroissement des revenus </w:t>
      </w:r>
      <w:r w:rsidRPr="00D825FB">
        <w:rPr>
          <w:b w:val="0"/>
          <w:bCs w:val="0"/>
          <w:sz w:val="22"/>
          <w:szCs w:val="22"/>
        </w:rPr>
        <w:t xml:space="preserve"> </w:t>
      </w:r>
      <w:r w:rsidR="00B1446A">
        <w:rPr>
          <w:b w:val="0"/>
          <w:bCs w:val="0"/>
          <w:sz w:val="22"/>
          <w:szCs w:val="22"/>
        </w:rPr>
        <w:t xml:space="preserve">en provenance de l’extérieur s’explique par le recul des transferts des </w:t>
      </w:r>
      <w:r>
        <w:rPr>
          <w:b w:val="0"/>
          <w:bCs w:val="0"/>
          <w:sz w:val="22"/>
          <w:szCs w:val="22"/>
        </w:rPr>
        <w:t xml:space="preserve"> </w:t>
      </w:r>
      <w:r w:rsidRPr="00D825FB">
        <w:rPr>
          <w:b w:val="0"/>
          <w:bCs w:val="0"/>
          <w:sz w:val="22"/>
          <w:szCs w:val="22"/>
        </w:rPr>
        <w:t xml:space="preserve"> Mar</w:t>
      </w:r>
      <w:r>
        <w:rPr>
          <w:b w:val="0"/>
          <w:bCs w:val="0"/>
          <w:sz w:val="22"/>
          <w:szCs w:val="22"/>
        </w:rPr>
        <w:t>ocains Résidant à l’Étranger de 3,5</w:t>
      </w:r>
      <w:r w:rsidRPr="00D825FB">
        <w:rPr>
          <w:b w:val="0"/>
          <w:bCs w:val="0"/>
          <w:sz w:val="22"/>
          <w:szCs w:val="22"/>
        </w:rPr>
        <w:t xml:space="preserve">% au lieu d’une hausse de </w:t>
      </w:r>
      <w:r w:rsidRPr="006B5299">
        <w:rPr>
          <w:b w:val="0"/>
          <w:bCs w:val="0"/>
          <w:sz w:val="22"/>
          <w:szCs w:val="22"/>
        </w:rPr>
        <w:t>5,4</w:t>
      </w:r>
      <w:r w:rsidRPr="00D825FB">
        <w:rPr>
          <w:b w:val="0"/>
          <w:bCs w:val="0"/>
          <w:sz w:val="22"/>
          <w:szCs w:val="22"/>
        </w:rPr>
        <w:t>%</w:t>
      </w:r>
      <w:r w:rsidR="00B1446A">
        <w:rPr>
          <w:b w:val="0"/>
          <w:bCs w:val="0"/>
          <w:sz w:val="22"/>
          <w:szCs w:val="22"/>
        </w:rPr>
        <w:t xml:space="preserve"> durant le premier trimestre 2012.</w:t>
      </w:r>
    </w:p>
    <w:p w:rsidR="00F610B1" w:rsidRPr="00D825FB" w:rsidRDefault="00F610B1" w:rsidP="00F610B1">
      <w:pPr>
        <w:pStyle w:val="Titre"/>
        <w:jc w:val="both"/>
        <w:rPr>
          <w:b w:val="0"/>
          <w:bCs w:val="0"/>
          <w:sz w:val="22"/>
          <w:szCs w:val="22"/>
        </w:rPr>
      </w:pPr>
    </w:p>
    <w:p w:rsidR="00F610B1" w:rsidRPr="00782F49" w:rsidRDefault="00B1446A" w:rsidP="00CD7581">
      <w:pPr>
        <w:pStyle w:val="Titre"/>
        <w:jc w:val="both"/>
        <w:rPr>
          <w:b w:val="0"/>
          <w:bCs w:val="0"/>
          <w:sz w:val="22"/>
          <w:szCs w:val="22"/>
        </w:rPr>
      </w:pPr>
      <w:r w:rsidRPr="00CD7581">
        <w:rPr>
          <w:sz w:val="22"/>
          <w:szCs w:val="22"/>
        </w:rPr>
        <w:t>Au plan de financement de l’économie</w:t>
      </w:r>
      <w:r>
        <w:rPr>
          <w:b w:val="0"/>
          <w:bCs w:val="0"/>
          <w:sz w:val="22"/>
          <w:szCs w:val="22"/>
        </w:rPr>
        <w:t xml:space="preserve">, </w:t>
      </w:r>
      <w:r w:rsidR="00F610B1" w:rsidRPr="00782F49">
        <w:rPr>
          <w:b w:val="0"/>
          <w:bCs w:val="0"/>
          <w:sz w:val="22"/>
          <w:szCs w:val="22"/>
        </w:rPr>
        <w:t xml:space="preserve">l’épargne nationale a atteint </w:t>
      </w:r>
      <w:r w:rsidR="00F610B1">
        <w:rPr>
          <w:b w:val="0"/>
          <w:bCs w:val="0"/>
          <w:sz w:val="22"/>
          <w:szCs w:val="22"/>
        </w:rPr>
        <w:t>26</w:t>
      </w:r>
      <w:r w:rsidR="00F610B1" w:rsidRPr="00782F49">
        <w:rPr>
          <w:b w:val="0"/>
          <w:bCs w:val="0"/>
          <w:sz w:val="22"/>
          <w:szCs w:val="22"/>
        </w:rPr>
        <w:t xml:space="preserve">,9% du PIB au lieu de </w:t>
      </w:r>
      <w:r w:rsidR="00F610B1">
        <w:rPr>
          <w:b w:val="0"/>
          <w:bCs w:val="0"/>
          <w:sz w:val="22"/>
          <w:szCs w:val="22"/>
        </w:rPr>
        <w:t>25,7</w:t>
      </w:r>
      <w:r w:rsidR="00F610B1" w:rsidRPr="00782F49">
        <w:rPr>
          <w:b w:val="0"/>
          <w:bCs w:val="0"/>
          <w:sz w:val="22"/>
          <w:szCs w:val="22"/>
        </w:rPr>
        <w:t>%</w:t>
      </w:r>
      <w:r>
        <w:rPr>
          <w:b w:val="0"/>
          <w:bCs w:val="0"/>
          <w:sz w:val="22"/>
          <w:szCs w:val="22"/>
        </w:rPr>
        <w:t>. L</w:t>
      </w:r>
      <w:r w:rsidR="00F610B1" w:rsidRPr="00782F49">
        <w:rPr>
          <w:b w:val="0"/>
          <w:bCs w:val="0"/>
          <w:sz w:val="22"/>
          <w:szCs w:val="22"/>
        </w:rPr>
        <w:t xml:space="preserve">’investissement </w:t>
      </w:r>
      <w:r w:rsidR="00CD7581">
        <w:rPr>
          <w:b w:val="0"/>
          <w:bCs w:val="0"/>
          <w:sz w:val="22"/>
          <w:szCs w:val="22"/>
        </w:rPr>
        <w:t xml:space="preserve">brut </w:t>
      </w:r>
      <w:r>
        <w:rPr>
          <w:b w:val="0"/>
          <w:bCs w:val="0"/>
          <w:sz w:val="22"/>
          <w:szCs w:val="22"/>
        </w:rPr>
        <w:t xml:space="preserve">étant </w:t>
      </w:r>
      <w:r w:rsidR="00F610B1" w:rsidRPr="00782F49">
        <w:rPr>
          <w:b w:val="0"/>
          <w:bCs w:val="0"/>
          <w:sz w:val="22"/>
          <w:szCs w:val="22"/>
        </w:rPr>
        <w:t xml:space="preserve"> </w:t>
      </w:r>
      <w:r w:rsidR="00CD7581">
        <w:rPr>
          <w:b w:val="0"/>
          <w:bCs w:val="0"/>
          <w:sz w:val="22"/>
          <w:szCs w:val="22"/>
        </w:rPr>
        <w:t>en régression par rapport au PIB,</w:t>
      </w:r>
      <w:r w:rsidR="00F610B1" w:rsidRPr="00782F49">
        <w:rPr>
          <w:b w:val="0"/>
          <w:bCs w:val="0"/>
          <w:sz w:val="22"/>
          <w:szCs w:val="22"/>
        </w:rPr>
        <w:t xml:space="preserve"> </w:t>
      </w:r>
      <w:r w:rsidR="00CD7581">
        <w:rPr>
          <w:b w:val="0"/>
          <w:bCs w:val="0"/>
          <w:sz w:val="22"/>
          <w:szCs w:val="22"/>
        </w:rPr>
        <w:t xml:space="preserve">passant </w:t>
      </w:r>
      <w:r w:rsidR="00F610B1" w:rsidRPr="00782F49">
        <w:rPr>
          <w:b w:val="0"/>
          <w:bCs w:val="0"/>
          <w:sz w:val="22"/>
          <w:szCs w:val="22"/>
        </w:rPr>
        <w:t>de 35,</w:t>
      </w:r>
      <w:r w:rsidR="00F610B1">
        <w:rPr>
          <w:b w:val="0"/>
          <w:bCs w:val="0"/>
          <w:sz w:val="22"/>
          <w:szCs w:val="22"/>
        </w:rPr>
        <w:t>3</w:t>
      </w:r>
      <w:r w:rsidR="00F610B1" w:rsidRPr="00782F49">
        <w:rPr>
          <w:b w:val="0"/>
          <w:bCs w:val="0"/>
          <w:sz w:val="22"/>
          <w:szCs w:val="22"/>
        </w:rPr>
        <w:t xml:space="preserve">% </w:t>
      </w:r>
      <w:r w:rsidR="00CD7581">
        <w:rPr>
          <w:b w:val="0"/>
          <w:bCs w:val="0"/>
          <w:sz w:val="22"/>
          <w:szCs w:val="22"/>
        </w:rPr>
        <w:t xml:space="preserve">durant le premier trimestre 2012 à </w:t>
      </w:r>
      <w:r w:rsidR="00F610B1" w:rsidRPr="00782F49">
        <w:rPr>
          <w:b w:val="0"/>
          <w:bCs w:val="0"/>
          <w:sz w:val="22"/>
          <w:szCs w:val="22"/>
        </w:rPr>
        <w:t>3</w:t>
      </w:r>
      <w:r w:rsidR="00F610B1">
        <w:rPr>
          <w:b w:val="0"/>
          <w:bCs w:val="0"/>
          <w:sz w:val="22"/>
          <w:szCs w:val="22"/>
        </w:rPr>
        <w:t>3</w:t>
      </w:r>
      <w:r w:rsidR="00F610B1" w:rsidRPr="00782F49">
        <w:rPr>
          <w:b w:val="0"/>
          <w:bCs w:val="0"/>
          <w:sz w:val="22"/>
          <w:szCs w:val="22"/>
        </w:rPr>
        <w:t>,</w:t>
      </w:r>
      <w:r w:rsidR="00F610B1">
        <w:rPr>
          <w:b w:val="0"/>
          <w:bCs w:val="0"/>
          <w:sz w:val="22"/>
          <w:szCs w:val="22"/>
        </w:rPr>
        <w:t>4</w:t>
      </w:r>
      <w:r w:rsidR="00F610B1" w:rsidRPr="00782F49">
        <w:rPr>
          <w:b w:val="0"/>
          <w:bCs w:val="0"/>
          <w:sz w:val="22"/>
          <w:szCs w:val="22"/>
        </w:rPr>
        <w:t>%</w:t>
      </w:r>
      <w:r w:rsidR="00CD7581">
        <w:rPr>
          <w:b w:val="0"/>
          <w:bCs w:val="0"/>
          <w:sz w:val="22"/>
          <w:szCs w:val="22"/>
        </w:rPr>
        <w:t xml:space="preserve">, les </w:t>
      </w:r>
      <w:r w:rsidR="00F610B1" w:rsidRPr="00782F49">
        <w:rPr>
          <w:b w:val="0"/>
          <w:bCs w:val="0"/>
          <w:sz w:val="22"/>
          <w:szCs w:val="22"/>
        </w:rPr>
        <w:t>besoin</w:t>
      </w:r>
      <w:r w:rsidR="00CD7581">
        <w:rPr>
          <w:b w:val="0"/>
          <w:bCs w:val="0"/>
          <w:sz w:val="22"/>
          <w:szCs w:val="22"/>
        </w:rPr>
        <w:t>s</w:t>
      </w:r>
      <w:r w:rsidR="00F610B1" w:rsidRPr="00782F49">
        <w:rPr>
          <w:b w:val="0"/>
          <w:bCs w:val="0"/>
          <w:sz w:val="22"/>
          <w:szCs w:val="22"/>
        </w:rPr>
        <w:t xml:space="preserve"> de financement</w:t>
      </w:r>
      <w:r w:rsidR="00CD7581">
        <w:rPr>
          <w:b w:val="0"/>
          <w:bCs w:val="0"/>
          <w:sz w:val="22"/>
          <w:szCs w:val="22"/>
        </w:rPr>
        <w:t xml:space="preserve"> se sont allégés en conséquence, pour se situer à </w:t>
      </w:r>
      <w:r w:rsidR="00F610B1">
        <w:rPr>
          <w:b w:val="0"/>
          <w:bCs w:val="0"/>
          <w:sz w:val="22"/>
          <w:szCs w:val="22"/>
        </w:rPr>
        <w:t>6,5</w:t>
      </w:r>
      <w:r w:rsidR="00F610B1" w:rsidRPr="00782F49">
        <w:rPr>
          <w:b w:val="0"/>
          <w:bCs w:val="0"/>
          <w:sz w:val="22"/>
          <w:szCs w:val="22"/>
        </w:rPr>
        <w:t xml:space="preserve">% du PIB </w:t>
      </w:r>
      <w:r w:rsidR="00F610B1">
        <w:rPr>
          <w:b w:val="0"/>
          <w:bCs w:val="0"/>
          <w:sz w:val="22"/>
          <w:szCs w:val="22"/>
        </w:rPr>
        <w:t>au lieu de 9,6</w:t>
      </w:r>
      <w:r w:rsidR="00F610B1" w:rsidRPr="00782F49">
        <w:rPr>
          <w:b w:val="0"/>
          <w:bCs w:val="0"/>
          <w:sz w:val="22"/>
          <w:szCs w:val="22"/>
        </w:rPr>
        <w:t>% le même trimestre de l’année précédente.</w:t>
      </w:r>
    </w:p>
    <w:p w:rsidR="00F610B1" w:rsidRPr="00782F49" w:rsidRDefault="00F610B1" w:rsidP="00F610B1">
      <w:pPr>
        <w:pStyle w:val="Titre"/>
        <w:jc w:val="both"/>
        <w:rPr>
          <w:b w:val="0"/>
          <w:bCs w:val="0"/>
          <w:sz w:val="22"/>
          <w:szCs w:val="22"/>
        </w:rPr>
      </w:pPr>
    </w:p>
    <w:p w:rsidR="00F610B1" w:rsidRPr="00782F49" w:rsidRDefault="00F610B1" w:rsidP="00F610B1">
      <w:pPr>
        <w:pStyle w:val="Titre"/>
        <w:jc w:val="both"/>
        <w:rPr>
          <w:b w:val="0"/>
          <w:bCs w:val="0"/>
          <w:sz w:val="22"/>
          <w:szCs w:val="22"/>
        </w:rPr>
      </w:pPr>
    </w:p>
    <w:p w:rsidR="00F610B1" w:rsidRPr="00782F49" w:rsidRDefault="00F610B1" w:rsidP="00F610B1">
      <w:pPr>
        <w:rPr>
          <w:sz w:val="22"/>
          <w:szCs w:val="22"/>
        </w:rPr>
      </w:pPr>
      <w:r w:rsidRPr="00782F49">
        <w:rPr>
          <w:sz w:val="22"/>
          <w:szCs w:val="22"/>
        </w:rPr>
        <w:t xml:space="preserve">Ci-joint les tableaux présentant les résultats des comptes nationaux du </w:t>
      </w:r>
      <w:r>
        <w:rPr>
          <w:sz w:val="22"/>
          <w:szCs w:val="22"/>
        </w:rPr>
        <w:t>premier</w:t>
      </w:r>
      <w:r w:rsidRPr="00782F49">
        <w:rPr>
          <w:sz w:val="22"/>
          <w:szCs w:val="22"/>
        </w:rPr>
        <w:t xml:space="preserve"> trimestre 201</w:t>
      </w:r>
      <w:r>
        <w:rPr>
          <w:sz w:val="22"/>
          <w:szCs w:val="22"/>
        </w:rPr>
        <w:t>3</w:t>
      </w:r>
    </w:p>
    <w:p w:rsidR="00F610B1" w:rsidRPr="00782F49" w:rsidRDefault="00F610B1" w:rsidP="00F610B1">
      <w:pPr>
        <w:rPr>
          <w:sz w:val="22"/>
          <w:szCs w:val="22"/>
        </w:rPr>
      </w:pPr>
    </w:p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p w:rsidR="00F610B1" w:rsidRDefault="00F610B1" w:rsidP="00F610B1"/>
    <w:tbl>
      <w:tblPr>
        <w:tblW w:w="1065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0655"/>
      </w:tblGrid>
      <w:tr w:rsidR="00F610B1" w:rsidRPr="00627A37">
        <w:trPr>
          <w:trHeight w:val="343"/>
        </w:trPr>
        <w:tc>
          <w:tcPr>
            <w:tcW w:w="10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10B1" w:rsidRPr="00627A37" w:rsidRDefault="00F610B1" w:rsidP="002A42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610B1" w:rsidRPr="00627A37">
        <w:trPr>
          <w:trHeight w:val="300"/>
        </w:trPr>
        <w:tc>
          <w:tcPr>
            <w:tcW w:w="10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10B1" w:rsidRPr="00627A37" w:rsidRDefault="00B005FE" w:rsidP="002A42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BCB">
              <w:object w:dxaOrig="10961" w:dyaOrig="13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553.5pt" o:ole="">
                  <v:imagedata r:id="rId9" o:title=""/>
                </v:shape>
                <o:OLEObject Type="Embed" ProgID="Excel.Sheet.8" ShapeID="_x0000_i1025" DrawAspect="Content" ObjectID="_1434201507" r:id="rId10"/>
              </w:object>
            </w:r>
          </w:p>
        </w:tc>
      </w:tr>
    </w:tbl>
    <w:p w:rsidR="00F610B1" w:rsidRDefault="00F610B1" w:rsidP="00F610B1"/>
    <w:p w:rsidR="003C0365" w:rsidRDefault="003C0365"/>
    <w:sectPr w:rsidR="003C0365" w:rsidSect="002A42FF">
      <w:footerReference w:type="default" r:id="rId11"/>
      <w:pgSz w:w="12240" w:h="15840"/>
      <w:pgMar w:top="1417" w:right="1325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DC0" w:rsidRDefault="00CA6DC0" w:rsidP="00611FF6">
      <w:r>
        <w:separator/>
      </w:r>
    </w:p>
  </w:endnote>
  <w:endnote w:type="continuationSeparator" w:id="1">
    <w:p w:rsidR="00CA6DC0" w:rsidRDefault="00CA6DC0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FF" w:rsidRDefault="003A72BC">
    <w:pPr>
      <w:pStyle w:val="Pieddepage"/>
      <w:jc w:val="center"/>
    </w:pPr>
    <w:r>
      <w:fldChar w:fldCharType="begin"/>
    </w:r>
    <w:r w:rsidR="00BC4918">
      <w:instrText xml:space="preserve"> PAGE   \* MERGEFORMAT </w:instrText>
    </w:r>
    <w:r>
      <w:fldChar w:fldCharType="separate"/>
    </w:r>
    <w:r w:rsidR="00296A0C">
      <w:rPr>
        <w:noProof/>
      </w:rPr>
      <w:t>2</w:t>
    </w:r>
    <w:r>
      <w:fldChar w:fldCharType="end"/>
    </w:r>
  </w:p>
  <w:p w:rsidR="002A42FF" w:rsidRDefault="002A42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DC0" w:rsidRDefault="00CA6DC0" w:rsidP="00611FF6">
      <w:r>
        <w:separator/>
      </w:r>
    </w:p>
  </w:footnote>
  <w:footnote w:type="continuationSeparator" w:id="1">
    <w:p w:rsidR="00CA6DC0" w:rsidRDefault="00CA6DC0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0B1"/>
    <w:rsid w:val="00085217"/>
    <w:rsid w:val="00091B25"/>
    <w:rsid w:val="00252408"/>
    <w:rsid w:val="00296A0C"/>
    <w:rsid w:val="002A42FF"/>
    <w:rsid w:val="002B6FC8"/>
    <w:rsid w:val="00310172"/>
    <w:rsid w:val="00325671"/>
    <w:rsid w:val="00331ECC"/>
    <w:rsid w:val="00334BA3"/>
    <w:rsid w:val="003A72BC"/>
    <w:rsid w:val="003B489D"/>
    <w:rsid w:val="003C0365"/>
    <w:rsid w:val="003E1434"/>
    <w:rsid w:val="00467BEF"/>
    <w:rsid w:val="004D509B"/>
    <w:rsid w:val="00552317"/>
    <w:rsid w:val="005B53CC"/>
    <w:rsid w:val="005F4449"/>
    <w:rsid w:val="00611FF6"/>
    <w:rsid w:val="00684363"/>
    <w:rsid w:val="007052E2"/>
    <w:rsid w:val="00761185"/>
    <w:rsid w:val="007801D3"/>
    <w:rsid w:val="007D7B3D"/>
    <w:rsid w:val="00807C7B"/>
    <w:rsid w:val="008131FD"/>
    <w:rsid w:val="008330A0"/>
    <w:rsid w:val="00855C2B"/>
    <w:rsid w:val="008A0B6A"/>
    <w:rsid w:val="009733A9"/>
    <w:rsid w:val="009D3DC5"/>
    <w:rsid w:val="00A10BB9"/>
    <w:rsid w:val="00A40F5A"/>
    <w:rsid w:val="00A47AA8"/>
    <w:rsid w:val="00A52295"/>
    <w:rsid w:val="00A91B31"/>
    <w:rsid w:val="00AB0640"/>
    <w:rsid w:val="00B005FE"/>
    <w:rsid w:val="00B1446A"/>
    <w:rsid w:val="00B15B9E"/>
    <w:rsid w:val="00B463A1"/>
    <w:rsid w:val="00BC4918"/>
    <w:rsid w:val="00CA6DC0"/>
    <w:rsid w:val="00CC51B6"/>
    <w:rsid w:val="00CD7581"/>
    <w:rsid w:val="00D66084"/>
    <w:rsid w:val="00DD2554"/>
    <w:rsid w:val="00E027DA"/>
    <w:rsid w:val="00F461D5"/>
    <w:rsid w:val="00F610B1"/>
    <w:rsid w:val="00F640A6"/>
    <w:rsid w:val="00FC489D"/>
    <w:rsid w:val="00F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F610B1"/>
    <w:rPr>
      <w:rFonts w:ascii="Times New Roman" w:eastAsia="Times New Roman" w:hAnsi="Times New Roman" w:cs="Times New Roman"/>
      <w:b/>
      <w:bCs/>
      <w:sz w:val="24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0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F610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 </cp:lastModifiedBy>
  <cp:revision>2</cp:revision>
  <cp:lastPrinted>2013-07-01T12:39:00Z</cp:lastPrinted>
  <dcterms:created xsi:type="dcterms:W3CDTF">2013-07-01T15:32:00Z</dcterms:created>
  <dcterms:modified xsi:type="dcterms:W3CDTF">2013-07-01T15:32:00Z</dcterms:modified>
</cp:coreProperties>
</file>