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الأول من سنة 2013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8A5081">
      <w:pPr>
        <w:bidi/>
        <w:spacing w:before="24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الفصل الأول من سنة 2013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</w:t>
      </w:r>
      <w:r w:rsidR="00E43FA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نخفاضا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قدر ب </w:t>
      </w:r>
      <w:r w:rsidR="00E43FA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E43FA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6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E43FA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ط مقارنة مع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الرابع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2012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ب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,1 نقاط </w:t>
      </w:r>
      <w:r w:rsidRPr="00E32A8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نفس الفصل من سنة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2012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FB5154" w:rsidRDefault="00FB5154" w:rsidP="00C57243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الأول من سنة 2013، استقر</w:t>
      </w:r>
      <w:r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(غير معالج من التأثيرات الموسمية)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7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7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 مسجلا بذلك 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ب 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087AB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087AB0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087AB0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087AB0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Pr="00087AB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بالمقارنة مع نفس الفصل من السنة الفارطة (8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نقطة)، فقد  سجل هذا المؤشر</w:t>
      </w:r>
      <w:r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ا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5724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,1 نقاط. </w:t>
      </w:r>
    </w:p>
    <w:p w:rsidR="00FB5154" w:rsidRDefault="00FB5154" w:rsidP="00FB5154">
      <w:pPr>
        <w:bidi/>
        <w:jc w:val="both"/>
        <w:rPr>
          <w:rFonts w:cs="Simplified Arabic"/>
          <w:rtl/>
          <w:lang w:bidi="ar-MA"/>
        </w:rPr>
      </w:pPr>
    </w:p>
    <w:p w:rsidR="00FB5154" w:rsidRDefault="00FB5154" w:rsidP="00FB5154">
      <w:pPr>
        <w:bidi/>
        <w:spacing w:line="276" w:lineRule="auto"/>
        <w:jc w:val="both"/>
        <w:rPr>
          <w:rFonts w:cs="Simplified Arabic"/>
          <w:noProof/>
          <w:rtl/>
        </w:rPr>
      </w:pPr>
      <w:r w:rsidRPr="00166EA5">
        <w:rPr>
          <w:rFonts w:cs="Simplified Arabic"/>
          <w:noProof/>
          <w:rtl/>
        </w:rPr>
        <w:drawing>
          <wp:inline distT="0" distB="0" distL="0" distR="0">
            <wp:extent cx="5760720" cy="3089818"/>
            <wp:effectExtent l="19050" t="0" r="11430" b="0"/>
            <wp:docPr id="2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154" w:rsidRDefault="00FB5154" w:rsidP="00FB5154">
      <w:pPr>
        <w:bidi/>
        <w:jc w:val="both"/>
        <w:rPr>
          <w:rFonts w:cs="Simplified Arabic"/>
          <w:noProof/>
          <w:rtl/>
        </w:rPr>
      </w:pPr>
    </w:p>
    <w:p w:rsidR="00586C0D" w:rsidRDefault="00586C0D" w:rsidP="00586C0D">
      <w:pPr>
        <w:bidi/>
        <w:jc w:val="both"/>
        <w:rPr>
          <w:rFonts w:cs="Simplified Arabic"/>
          <w:noProof/>
          <w:rtl/>
        </w:rPr>
      </w:pPr>
    </w:p>
    <w:p w:rsidR="00586C0D" w:rsidRDefault="00586C0D" w:rsidP="00586C0D">
      <w:pPr>
        <w:bidi/>
        <w:jc w:val="both"/>
        <w:rPr>
          <w:rFonts w:cs="Simplified Arabic"/>
          <w:noProof/>
          <w:rtl/>
        </w:rPr>
      </w:pPr>
    </w:p>
    <w:p w:rsidR="00586C0D" w:rsidRDefault="00586C0D" w:rsidP="00586C0D">
      <w:pPr>
        <w:bidi/>
        <w:jc w:val="both"/>
        <w:rPr>
          <w:rFonts w:cs="Simplified Arabic"/>
          <w:noProof/>
          <w:rtl/>
        </w:rPr>
      </w:pPr>
    </w:p>
    <w:p w:rsidR="00FB5154" w:rsidRDefault="00FB5154" w:rsidP="00FB515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FB5154" w:rsidRPr="00087AB0" w:rsidRDefault="00FB5154" w:rsidP="00FB5154">
      <w:pPr>
        <w:widowControl/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087AB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إن تطور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Pr="00087AB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هو نتيجة لتغيرات مختلف مكوناته.</w:t>
      </w:r>
    </w:p>
    <w:p w:rsidR="00FB5154" w:rsidRPr="00DE73E0" w:rsidRDefault="00FB5154" w:rsidP="00FB5154">
      <w:pPr>
        <w:pStyle w:val="Paragraphedeliste"/>
        <w:widowControl/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FB5154" w:rsidRPr="003E265E" w:rsidRDefault="00FB5154" w:rsidP="006E4001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380" w:lineRule="exact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6E40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الأ</w:t>
      </w:r>
      <w:r w:rsidR="005C1C08">
        <w:rPr>
          <w:rFonts w:ascii="Times New Roman" w:hAnsi="Times New Roman" w:cs="Times New Roman" w:hint="cs"/>
          <w:b/>
          <w:bCs/>
          <w:sz w:val="30"/>
          <w:szCs w:val="30"/>
          <w:rtl/>
          <w:lang w:bidi="ar-MA"/>
        </w:rPr>
        <w:t>سر متشائمة</w:t>
      </w:r>
    </w:p>
    <w:p w:rsidR="00FB5154" w:rsidRDefault="00FB5154" w:rsidP="00884C67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الأول من سنة 2013، عرف الرصيد الخاص بالتطور السابق لمستوى المعيشة انخفاضا</w:t>
      </w:r>
      <w:r w:rsidR="005578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بالمقارنة مع </w:t>
      </w:r>
      <w:r w:rsidR="00557807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557807" w:rsidRPr="000169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578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مع نفس </w:t>
      </w:r>
      <w:r w:rsidR="00557807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الفترة من </w:t>
      </w:r>
      <w:r w:rsidR="005578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2011 حيث انخفض رصيد هذا </w:t>
      </w:r>
      <w:r w:rsidR="00630E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المؤشر ب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4C67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84C67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 و ب </w:t>
      </w:r>
      <w:r w:rsidR="00884C6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557807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التوالي.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586C0D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فيما يخص التطور المستقبل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لمستوى</w:t>
      </w:r>
      <w:r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المقبلة،  فقد 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آراء الأسر تدهورا قدر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3</w:t>
      </w:r>
      <w:r w:rsidR="00224CF5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9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>و ب 16</w:t>
      </w:r>
      <w:r w:rsidR="00224CF5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24CF5">
        <w:rPr>
          <w:rFonts w:ascii="Times New Roman" w:hAnsi="Times New Roman" w:cs="Simplified Arabic" w:hint="cs"/>
          <w:sz w:val="28"/>
          <w:szCs w:val="28"/>
          <w:rtl/>
          <w:lang w:bidi="ar-MA"/>
        </w:rPr>
        <w:t>3 نقطة 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ما كان عليه خلال نفس</w:t>
      </w:r>
      <w:r w:rsidRPr="000169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من 201</w:t>
      </w:r>
      <w:r w:rsidR="0051050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FB5154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166EA5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760720" cy="2643341"/>
            <wp:effectExtent l="19050" t="0" r="11430" b="4609"/>
            <wp:docPr id="29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154" w:rsidRPr="00DC2D0E" w:rsidRDefault="00FB5154" w:rsidP="00D554A9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D554A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بارتفاع حاد لمستواها</w:t>
      </w:r>
    </w:p>
    <w:p w:rsidR="00FB5154" w:rsidRDefault="00076021" w:rsidP="003639B6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تعبر الأسر عن آراء متشائمة فيما يخص تطور عدد العاطلين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المغرب حيث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يعود هذا التصور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لأكثر من سبع أسر من كل عشرة أي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7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التي تتوقع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المقبلة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مقابل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10</w:t>
      </w:r>
      <w:r w:rsidR="003F16A4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7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ذلك.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 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</w:t>
      </w:r>
      <w:r w:rsidR="003F16A4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ي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مستوى سلبي يقدر ب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61</w:t>
      </w:r>
      <w:r w:rsidR="003F16A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7- نقطة و هو أقل مستوى له منذ بداية البحث مسجلا بذلك 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0E598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E598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0E598D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ط  مقارنة مع الفصل السابق و ب 1</w:t>
      </w:r>
      <w:r w:rsidR="000E598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E598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مقارنة مع نفس الفصل من 201</w:t>
      </w:r>
      <w:r w:rsidR="00AB402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  <w:r w:rsidRPr="00FB5154">
        <w:rPr>
          <w:noProof/>
        </w:rPr>
        <w:lastRenderedPageBreak/>
        <w:drawing>
          <wp:inline distT="0" distB="0" distL="0" distR="0">
            <wp:extent cx="5764265" cy="2849526"/>
            <wp:effectExtent l="19050" t="0" r="26935" b="7974"/>
            <wp:docPr id="30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فرص اقتناء</w:t>
      </w:r>
      <w:r w:rsidRPr="00007D3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السلع المستديمة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: استرجاع طفيف لثقة الأسر</w:t>
      </w:r>
    </w:p>
    <w:p w:rsidR="00FB5154" w:rsidRDefault="00FB5154" w:rsidP="004335D4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11409B">
        <w:rPr>
          <w:rFonts w:ascii="Times New Roman" w:hAnsi="Times New Roman" w:cs="Simplified Arabic" w:hint="cs"/>
          <w:sz w:val="28"/>
          <w:szCs w:val="28"/>
          <w:rtl/>
          <w:lang w:bidi="ar-MA"/>
        </w:rPr>
        <w:t>نصف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أسر (</w:t>
      </w:r>
      <w:r w:rsidR="0011409B">
        <w:rPr>
          <w:rFonts w:ascii="Times New Roman" w:hAnsi="Times New Roman" w:cs="Simplified Arabic" w:hint="cs"/>
          <w:sz w:val="28"/>
          <w:szCs w:val="28"/>
          <w:rtl/>
          <w:lang w:bidi="ar-MA"/>
        </w:rPr>
        <w:t>50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1409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الأول من سنة 2013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غير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ملائمة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22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ترى 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وقد سجل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سلبيا قدر ب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مسجلا تحسنا قدر  ب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واحدة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ب 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,2 نقاط مقارنة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4335D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543D43" w:rsidP="00101EF8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tl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بال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رغم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استمرار مستواه ال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سلبي، </w:t>
      </w:r>
      <w:r w:rsidR="00101EF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الرصيد </w:t>
      </w:r>
      <w:r w:rsidR="00101EF8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منحاه التصاعدي مسجلا مستواه الأقل تشاؤما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منذ بداية البحث. </w:t>
      </w:r>
    </w:p>
    <w:p w:rsidR="00FB5154" w:rsidRDefault="00FB5154" w:rsidP="00FB5154">
      <w:pPr>
        <w:rPr>
          <w:rtl/>
        </w:rPr>
      </w:pPr>
    </w:p>
    <w:p w:rsidR="00FB5154" w:rsidRDefault="00FB5154" w:rsidP="00FB5154">
      <w:pPr>
        <w:rPr>
          <w:rtl/>
        </w:rPr>
      </w:pPr>
      <w:r w:rsidRPr="0070604D">
        <w:rPr>
          <w:noProof/>
        </w:rPr>
        <w:drawing>
          <wp:inline distT="0" distB="0" distL="0" distR="0">
            <wp:extent cx="5760720" cy="2836263"/>
            <wp:effectExtent l="19050" t="0" r="11430" b="2187"/>
            <wp:docPr id="31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5154" w:rsidRDefault="00FB5154" w:rsidP="00FB5154">
      <w:pPr>
        <w:rPr>
          <w:rtl/>
        </w:rPr>
      </w:pPr>
    </w:p>
    <w:p w:rsidR="00586C0D" w:rsidRDefault="00586C0D" w:rsidP="00FB5154">
      <w:pPr>
        <w:rPr>
          <w:rtl/>
        </w:rPr>
      </w:pPr>
    </w:p>
    <w:p w:rsidR="00586C0D" w:rsidRDefault="00586C0D" w:rsidP="00FB5154">
      <w:pPr>
        <w:rPr>
          <w:rtl/>
        </w:rPr>
      </w:pPr>
    </w:p>
    <w:p w:rsidR="00FB5154" w:rsidRPr="00933B5C" w:rsidRDefault="00FB5154" w:rsidP="00917745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ال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المالية للأسر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91774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إحساس بتدهورها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FB5154" w:rsidP="00CC6D5B">
      <w:pPr>
        <w:widowControl/>
        <w:autoSpaceDE/>
        <w:autoSpaceDN/>
        <w:bidi/>
        <w:adjustRightInd/>
        <w:spacing w:after="200"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3810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3810D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ت</w:t>
      </w:r>
      <w:r w:rsidR="00CC6D5B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آراء الأسر بخصوص وضعيتها المالية الحالية و كذا تطورها السابق و المستقبلي </w:t>
      </w:r>
      <w:r w:rsidR="00CC6D5B">
        <w:rPr>
          <w:rFonts w:ascii="Times New Roman" w:hAnsi="Times New Roman" w:cs="Simplified Arabic" w:hint="cs"/>
          <w:sz w:val="28"/>
          <w:szCs w:val="28"/>
          <w:rtl/>
          <w:lang w:bidi="ar-MA"/>
        </w:rPr>
        <w:t>سواء بال</w:t>
      </w:r>
      <w:r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6D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الفصل من سنة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CC6D5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FB5154" w:rsidP="0022035B">
      <w:pPr>
        <w:widowControl/>
        <w:autoSpaceDE/>
        <w:autoSpaceDN/>
        <w:bidi/>
        <w:adjustRightInd/>
        <w:spacing w:after="200"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بالنسبة ل5</w:t>
      </w:r>
      <w:r w:rsidR="006C6C3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الأسر، فإن مداخيلها  تغطي  مصاريفها في حين 3</w:t>
      </w:r>
      <w:r w:rsidR="00D41B8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41B8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بأنها تستنزف من مدخراتها أو </w:t>
      </w:r>
      <w:r w:rsidR="00A83C1A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الاستدان.  </w:t>
      </w:r>
      <w:r w:rsidR="001A0B0C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6,</w:t>
      </w:r>
      <w:r w:rsidR="00D41B8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صرحت بتمكنها من ادخار جزء من مدخولها. وهكذا استقر رصيد هذا المؤشر في مستوى سلبي قدر ب 29,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 انخفاضا قدر ب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ب 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,4 نقطة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FB5154" w:rsidP="00586C0D">
      <w:pPr>
        <w:widowControl/>
        <w:autoSpaceDE/>
        <w:autoSpaceDN/>
        <w:bidi/>
        <w:adjustRightInd/>
        <w:spacing w:after="200" w:line="380" w:lineRule="exact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بالنسبة للتطور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المستقبلي 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B35F02" w:rsidRPr="00F71F1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عرفت آراء الأسر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تدهورا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B35F0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,9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6,1 </w:t>
      </w:r>
      <w:r w:rsidR="00B35F02">
        <w:rPr>
          <w:rFonts w:ascii="Times New Roman" w:hAnsi="Times New Roman" w:cs="Simplified Arabic"/>
          <w:sz w:val="28"/>
          <w:szCs w:val="28"/>
          <w:rtl/>
          <w:lang w:bidi="ar-MA"/>
        </w:rPr>
        <w:t>–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التوالي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ومع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813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الفصل من سنة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2012 (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5,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03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و 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203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التوالي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FB5154" w:rsidP="00FB5154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rPr>
          <w:rtl/>
          <w:lang w:bidi="ar-MA"/>
        </w:rPr>
      </w:pPr>
      <w:r w:rsidRPr="0070604D">
        <w:rPr>
          <w:noProof/>
        </w:rPr>
        <w:drawing>
          <wp:inline distT="0" distB="0" distL="0" distR="0">
            <wp:extent cx="5563043" cy="3093440"/>
            <wp:effectExtent l="19050" t="0" r="18607" b="0"/>
            <wp:docPr id="32" name="Graphique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89053D" w:rsidRDefault="0089053D" w:rsidP="00FB5154">
      <w:pPr>
        <w:rPr>
          <w:rtl/>
          <w:lang w:bidi="ar-MA"/>
        </w:rPr>
      </w:pPr>
    </w:p>
    <w:p w:rsidR="00FB5154" w:rsidRPr="00A343E7" w:rsidRDefault="00FB5154" w:rsidP="00095E84">
      <w:pPr>
        <w:widowControl/>
        <w:autoSpaceDE/>
        <w:autoSpaceDN/>
        <w:bidi/>
        <w:adjustRightInd/>
        <w:spacing w:before="240"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</w:p>
    <w:p w:rsidR="00FB5154" w:rsidRDefault="00FB5154" w:rsidP="00456931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بالإضافة إلى المؤشرات السبع المكونة لمؤشر الثقة للأسر، يوفر البحث معطيات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مجالات أخرى.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يتعلق الأمر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 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3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الخصوص.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C40C8" w:rsidRDefault="00DC40C8" w:rsidP="00DC40C8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1247B" w:rsidRPr="00C1247B" w:rsidRDefault="00C1247B" w:rsidP="007B262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استمرار تشاؤم الأسر فيما يخص </w:t>
      </w:r>
      <w:r w:rsidR="00FB5154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تها</w:t>
      </w:r>
      <w:r w:rsidR="00FB5154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على الادخار</w:t>
      </w:r>
    </w:p>
    <w:p w:rsidR="00FB5154" w:rsidRPr="00C1247B" w:rsidRDefault="007B2624" w:rsidP="00C1247B">
      <w:pPr>
        <w:widowControl/>
        <w:autoSpaceDE/>
        <w:autoSpaceDN/>
        <w:bidi/>
        <w:adjustRightInd/>
        <w:spacing w:after="200" w:line="380" w:lineRule="exact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عبرت الأسر، خلال الفصل الأول من 2013، عن آراء أكثر تشاؤما فيما يخص قدرتها على الادخار خلال الشه</w:t>
      </w:r>
      <w:r w:rsidR="00313D8D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ر القادمة. ف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 من ثماني أسر من كل عشرة (8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)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ب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عدم قدرتها على </w:t>
      </w:r>
      <w:r w:rsidR="001C4A0B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82,2 </w:t>
      </w:r>
      <w:r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سابق 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81,3</w:t>
      </w:r>
      <w:r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من قبل.</w:t>
      </w:r>
    </w:p>
    <w:p w:rsidR="001C4A0B" w:rsidRDefault="001C4A0B" w:rsidP="00DC038B">
      <w:pPr>
        <w:widowControl/>
        <w:autoSpaceDE/>
        <w:autoSpaceDN/>
        <w:bidi/>
        <w:adjustRightInd/>
        <w:spacing w:after="200"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نسبة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16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التي تتوقع عكس ذلك، فقد استقر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مستوى سلبي يقدر ب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67- نقطة 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نخفض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2,5 نقطة  مقارنة مع الفصل السابق و ب 4,5 نق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الفصل من 2012.</w:t>
      </w:r>
      <w:r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pStyle w:val="Paragraphedeliste"/>
        <w:widowControl/>
        <w:autoSpaceDE/>
        <w:autoSpaceDN/>
        <w:bidi/>
        <w:adjustRightInd/>
        <w:spacing w:line="380" w:lineRule="exact"/>
        <w:ind w:left="0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Default="00FB5154" w:rsidP="00D033E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أثمنة المواد الغذائية: توقع </w:t>
      </w:r>
      <w:r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</w:t>
      </w:r>
      <w:r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F6791" w:rsidRPr="0077123D" w:rsidRDefault="00FF6791" w:rsidP="00FF6791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D80851" w:rsidRPr="00D80851" w:rsidRDefault="00D80851" w:rsidP="00472F8A">
      <w:pPr>
        <w:pStyle w:val="Paragraphedeliste"/>
        <w:widowControl/>
        <w:autoSpaceDE/>
        <w:autoSpaceDN/>
        <w:bidi/>
        <w:adjustRightInd/>
        <w:spacing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تمثل للأسر انطباع بأن أثمنة المواد الغذائية قد ارتفعت وسوف ترتفع خلال 12 شهرا القادمة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فخلال الفصل الأول 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يعتقد أزيد من تسع أسر من كل عشرة (9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92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,4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472F8A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أن أثمنة المواد الغذائية  عرفت ارتفاعا في السابق. كما يتوقع أكثر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ثلاث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أربعة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72,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72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التوالي) ارتفاعها في المستقبل.</w:t>
      </w:r>
    </w:p>
    <w:p w:rsidR="00FB5154" w:rsidRDefault="002C41F9" w:rsidP="00305668">
      <w:pPr>
        <w:pStyle w:val="Paragraphedeliste"/>
        <w:widowControl/>
        <w:autoSpaceDE/>
        <w:autoSpaceDN/>
        <w:bidi/>
        <w:adjustRightInd/>
        <w:spacing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لم يعرف الرصيد الخاص بالتطور السابق لأثمنة المواد الغذائية تغييرا ملحوظا خلال هذه الفترات في حين انخفض رصيد ا</w:t>
      </w:r>
      <w:r w:rsidR="00305668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 ب 6 نقاط مقارنة مع الفصل الرابع من 2012 و ب 6</w:t>
      </w:r>
      <w:r w:rsidR="00305668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05668">
        <w:rPr>
          <w:rFonts w:ascii="Times New Roman" w:hAnsi="Times New Roman" w:cs="Simplified Arabic" w:hint="cs"/>
          <w:sz w:val="28"/>
          <w:szCs w:val="28"/>
          <w:rtl/>
          <w:lang w:bidi="ar-MA"/>
        </w:rPr>
        <w:t>3 نقاط مقارنة مع نفس الفترة من 2012.</w:t>
      </w:r>
    </w:p>
    <w:p w:rsidR="00305668" w:rsidRPr="00B1244D" w:rsidRDefault="00305668" w:rsidP="00305668">
      <w:pPr>
        <w:pStyle w:val="Paragraphedeliste"/>
        <w:widowControl/>
        <w:autoSpaceDE/>
        <w:autoSpaceDN/>
        <w:bidi/>
        <w:adjustRightInd/>
        <w:spacing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Default="00FB5154">
      <w:pPr>
        <w:rPr>
          <w:noProof/>
        </w:rPr>
      </w:pPr>
      <w:r w:rsidRPr="00FB5154">
        <w:rPr>
          <w:noProof/>
        </w:rPr>
        <w:drawing>
          <wp:inline distT="0" distB="0" distL="0" distR="0">
            <wp:extent cx="2880936" cy="3147238"/>
            <wp:effectExtent l="19050" t="0" r="14664" b="0"/>
            <wp:docPr id="33" name="Graphique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B5154">
        <w:rPr>
          <w:noProof/>
        </w:rPr>
        <w:t xml:space="preserve"> </w:t>
      </w:r>
      <w:r w:rsidRPr="00FB5154">
        <w:rPr>
          <w:noProof/>
        </w:rPr>
        <w:drawing>
          <wp:inline distT="0" distB="0" distL="0" distR="0">
            <wp:extent cx="2648762" cy="3136605"/>
            <wp:effectExtent l="19050" t="0" r="18238" b="6645"/>
            <wp:docPr id="34" name="Graphique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48130A">
          <w:footerReference w:type="default" r:id="rId15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56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96"/>
        <w:gridCol w:w="556"/>
        <w:gridCol w:w="576"/>
        <w:gridCol w:w="576"/>
        <w:gridCol w:w="607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2395"/>
        <w:gridCol w:w="6"/>
      </w:tblGrid>
      <w:tr w:rsidR="00160CD6" w:rsidRPr="00160CD6" w:rsidTr="00176575">
        <w:trPr>
          <w:gridAfter w:val="1"/>
          <w:wAfter w:w="10" w:type="dxa"/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160CD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</w:p>
        </w:tc>
      </w:tr>
      <w:tr w:rsidR="00176575" w:rsidRPr="00160CD6" w:rsidTr="00176575">
        <w:trPr>
          <w:trHeight w:val="312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575" w:rsidRPr="00160CD6" w:rsidTr="00176575">
        <w:trPr>
          <w:trHeight w:val="312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575" w:rsidRPr="00160CD6" w:rsidTr="00176575">
        <w:trPr>
          <w:trHeight w:val="5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</w:rPr>
            </w:pPr>
            <w:r w:rsidRPr="008B7357">
              <w:rPr>
                <w:rFonts w:ascii="Calibri" w:hAnsi="Calibri" w:cs="Times New Roman"/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160CD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160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مؤشر الثقة لدى الأسر المغربية</w:t>
            </w:r>
          </w:p>
        </w:tc>
      </w:tr>
      <w:tr w:rsidR="00176575" w:rsidRPr="00160CD6" w:rsidTr="00176575">
        <w:trPr>
          <w:trHeight w:val="5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-61,7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-56,7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176575" w:rsidRPr="00160CD6" w:rsidTr="00176575">
        <w:trPr>
          <w:trHeight w:val="7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-29,2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-27,9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176575" w:rsidRPr="00160CD6" w:rsidTr="00176575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-5,1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-3,2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176575" w:rsidRPr="00160CD6" w:rsidTr="00176575">
        <w:trPr>
          <w:trHeight w:val="5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-28,3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-29,5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-43,4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176575" w:rsidRPr="00160CD6" w:rsidTr="00176575">
        <w:trPr>
          <w:trHeight w:val="7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-29,8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-30,8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176575" w:rsidRPr="00160CD6" w:rsidTr="00176575">
        <w:trPr>
          <w:trHeight w:val="7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-19,6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176575" w:rsidRPr="00160CD6" w:rsidTr="00176575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160CD6" w:rsidRPr="00160CD6" w:rsidTr="00176575">
        <w:trPr>
          <w:gridAfter w:val="1"/>
          <w:wAfter w:w="11" w:type="dxa"/>
          <w:trHeight w:val="530"/>
        </w:trPr>
        <w:tc>
          <w:tcPr>
            <w:tcW w:w="15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أرصـــدة الأخـــرى</w:t>
            </w:r>
          </w:p>
        </w:tc>
      </w:tr>
      <w:tr w:rsidR="00160CD6" w:rsidRPr="00160CD6" w:rsidTr="00176575">
        <w:trPr>
          <w:gridAfter w:val="1"/>
          <w:wAfter w:w="6" w:type="dxa"/>
          <w:trHeight w:val="7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-76,1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-73,6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-71,5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-73,4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-78,9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-74,1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160CD6" w:rsidRPr="00160CD6" w:rsidTr="00176575">
        <w:trPr>
          <w:gridAfter w:val="1"/>
          <w:wAfter w:w="6" w:type="dxa"/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-91,6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-91,7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-91,1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-91,6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-96,2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-93,6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160CD6" w:rsidRPr="00160CD6" w:rsidTr="00176575">
        <w:trPr>
          <w:gridAfter w:val="1"/>
          <w:wAfter w:w="6" w:type="dxa"/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357">
              <w:rPr>
                <w:rFonts w:ascii="Arial" w:hAnsi="Arial" w:cs="Arial"/>
                <w:sz w:val="18"/>
                <w:szCs w:val="18"/>
              </w:rPr>
              <w:t>-67,0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7357">
              <w:rPr>
                <w:rFonts w:ascii="Arial" w:hAnsi="Arial" w:cs="Arial"/>
                <w:color w:val="000000"/>
                <w:sz w:val="18"/>
                <w:szCs w:val="18"/>
              </w:rPr>
              <w:t>-65,3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8B7357" w:rsidRDefault="00160CD6" w:rsidP="008B73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-61,2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D6" w:rsidRPr="00160CD6" w:rsidRDefault="00160CD6" w:rsidP="00CE52E9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C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4F392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p w:rsidR="00B51E40" w:rsidRDefault="00B51E40" w:rsidP="00B51E40">
      <w:pPr>
        <w:bidi/>
        <w:rPr>
          <w:rFonts w:cs="Simplified Arabic"/>
          <w:rtl/>
          <w:lang w:bidi="ar-MA"/>
        </w:rPr>
      </w:pPr>
    </w:p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51E40" w:rsidRPr="00DC2D0E" w:rsidTr="00A34E4F">
        <w:tc>
          <w:tcPr>
            <w:tcW w:w="9212" w:type="dxa"/>
          </w:tcPr>
          <w:p w:rsidR="00B51E40" w:rsidRPr="004B7848" w:rsidRDefault="00B51E40" w:rsidP="00A34E4F">
            <w:pPr>
              <w:bidi/>
              <w:ind w:left="360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B51E40" w:rsidRPr="004B7848" w:rsidRDefault="00B51E40" w:rsidP="00B51E40">
            <w:pPr>
              <w:pStyle w:val="Paragraphedeliste"/>
              <w:numPr>
                <w:ilvl w:val="0"/>
                <w:numId w:val="4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B51E40" w:rsidRPr="004B7848" w:rsidRDefault="00B51E40" w:rsidP="00B51E40">
            <w:pPr>
              <w:pStyle w:val="Paragraphedeliste"/>
              <w:numPr>
                <w:ilvl w:val="0"/>
                <w:numId w:val="6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B51E40" w:rsidRPr="004B7848" w:rsidRDefault="00B51E40" w:rsidP="00A34E4F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للمزيد من المعلومات حول الجوانب المنهجية لهذا البحث:  زوروا الموقع الإلكتروني للمندوبية السامية للتخطيط   </w:t>
            </w:r>
            <w:hyperlink r:id="rId16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E5" w:rsidRDefault="001902E5" w:rsidP="00FB5154">
      <w:r>
        <w:separator/>
      </w:r>
    </w:p>
  </w:endnote>
  <w:endnote w:type="continuationSeparator" w:id="1">
    <w:p w:rsidR="001902E5" w:rsidRDefault="001902E5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40" w:rsidRDefault="00EF358E">
    <w:pPr>
      <w:pStyle w:val="Pieddepage"/>
      <w:jc w:val="center"/>
    </w:pPr>
    <w:fldSimple w:instr=" PAGE   \* MERGEFORMAT ">
      <w:r w:rsidR="00CA0D68">
        <w:rPr>
          <w:noProof/>
        </w:rPr>
        <w:t>2</w:t>
      </w:r>
    </w:fldSimple>
  </w:p>
  <w:p w:rsidR="00B51E40" w:rsidRDefault="00B51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E5" w:rsidRDefault="001902E5" w:rsidP="00FB5154">
      <w:r>
        <w:separator/>
      </w:r>
    </w:p>
  </w:footnote>
  <w:footnote w:type="continuationSeparator" w:id="1">
    <w:p w:rsidR="001902E5" w:rsidRDefault="001902E5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124FB"/>
    <w:rsid w:val="00014615"/>
    <w:rsid w:val="00023B39"/>
    <w:rsid w:val="0004224D"/>
    <w:rsid w:val="00076021"/>
    <w:rsid w:val="00095E84"/>
    <w:rsid w:val="000D626F"/>
    <w:rsid w:val="000E598D"/>
    <w:rsid w:val="00101EF8"/>
    <w:rsid w:val="0011409B"/>
    <w:rsid w:val="00122221"/>
    <w:rsid w:val="001527A3"/>
    <w:rsid w:val="00160CD6"/>
    <w:rsid w:val="001615E7"/>
    <w:rsid w:val="00176575"/>
    <w:rsid w:val="001902E5"/>
    <w:rsid w:val="001A0B0C"/>
    <w:rsid w:val="001C4A0B"/>
    <w:rsid w:val="001C707C"/>
    <w:rsid w:val="001D7239"/>
    <w:rsid w:val="0022035B"/>
    <w:rsid w:val="00224CF5"/>
    <w:rsid w:val="002539F4"/>
    <w:rsid w:val="00276571"/>
    <w:rsid w:val="002804A3"/>
    <w:rsid w:val="002A71C9"/>
    <w:rsid w:val="002B56E7"/>
    <w:rsid w:val="002C41F9"/>
    <w:rsid w:val="00305668"/>
    <w:rsid w:val="00313D8D"/>
    <w:rsid w:val="003639B6"/>
    <w:rsid w:val="003810D0"/>
    <w:rsid w:val="003F16A4"/>
    <w:rsid w:val="004137F0"/>
    <w:rsid w:val="004335D4"/>
    <w:rsid w:val="00456931"/>
    <w:rsid w:val="00472F8A"/>
    <w:rsid w:val="00510502"/>
    <w:rsid w:val="00512D03"/>
    <w:rsid w:val="00543D43"/>
    <w:rsid w:val="00557807"/>
    <w:rsid w:val="00586C0D"/>
    <w:rsid w:val="005C1C08"/>
    <w:rsid w:val="00630E9E"/>
    <w:rsid w:val="00642F6E"/>
    <w:rsid w:val="0068132A"/>
    <w:rsid w:val="006B7D9F"/>
    <w:rsid w:val="006C6C31"/>
    <w:rsid w:val="006E4001"/>
    <w:rsid w:val="006F6164"/>
    <w:rsid w:val="0074287F"/>
    <w:rsid w:val="007B2624"/>
    <w:rsid w:val="00822166"/>
    <w:rsid w:val="00884C67"/>
    <w:rsid w:val="0089053D"/>
    <w:rsid w:val="008A5081"/>
    <w:rsid w:val="008B7357"/>
    <w:rsid w:val="00917745"/>
    <w:rsid w:val="009478DB"/>
    <w:rsid w:val="009F00A5"/>
    <w:rsid w:val="009F1CF6"/>
    <w:rsid w:val="00A83C1A"/>
    <w:rsid w:val="00AB4028"/>
    <w:rsid w:val="00AF3E93"/>
    <w:rsid w:val="00B35F02"/>
    <w:rsid w:val="00B51E40"/>
    <w:rsid w:val="00B66797"/>
    <w:rsid w:val="00C1247B"/>
    <w:rsid w:val="00C308B8"/>
    <w:rsid w:val="00C57243"/>
    <w:rsid w:val="00CA0D68"/>
    <w:rsid w:val="00CB3F41"/>
    <w:rsid w:val="00CC6D5B"/>
    <w:rsid w:val="00CE52E9"/>
    <w:rsid w:val="00D033E3"/>
    <w:rsid w:val="00D41B86"/>
    <w:rsid w:val="00D554A9"/>
    <w:rsid w:val="00D726FE"/>
    <w:rsid w:val="00D80851"/>
    <w:rsid w:val="00DC038B"/>
    <w:rsid w:val="00DC40C8"/>
    <w:rsid w:val="00DF0E2A"/>
    <w:rsid w:val="00E15311"/>
    <w:rsid w:val="00E43FA4"/>
    <w:rsid w:val="00E77F57"/>
    <w:rsid w:val="00EC1FFE"/>
    <w:rsid w:val="00EF0DB8"/>
    <w:rsid w:val="00EF358E"/>
    <w:rsid w:val="00F640F9"/>
    <w:rsid w:val="00F92F53"/>
    <w:rsid w:val="00FB2760"/>
    <w:rsid w:val="00FB5154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1-20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800" b="1" i="0" baseline="0"/>
              <a:t>تطور مؤشر الثقة للأسر المغربية</a:t>
            </a:r>
            <a:endParaRPr lang="en-US" sz="1800" b="1" i="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ar'!$A$8</c:f>
              <c:strCache>
                <c:ptCount val="1"/>
              </c:strCache>
            </c:strRef>
          </c:tx>
          <c:dLbls>
            <c:showVal val="1"/>
          </c:dLbls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ar'!$B$8:$V$8</c:f>
              <c:numCache>
                <c:formatCode>General</c:formatCode>
                <c:ptCount val="21"/>
                <c:pt idx="0">
                  <c:v>85.9</c:v>
                </c:pt>
                <c:pt idx="1">
                  <c:v>77.7</c:v>
                </c:pt>
                <c:pt idx="2">
                  <c:v>75.599999999999994</c:v>
                </c:pt>
                <c:pt idx="3">
                  <c:v>80.099999999999994</c:v>
                </c:pt>
                <c:pt idx="4">
                  <c:v>76.900000000000006</c:v>
                </c:pt>
                <c:pt idx="5">
                  <c:v>77.599999999999994</c:v>
                </c:pt>
                <c:pt idx="6">
                  <c:v>79.099999999999994</c:v>
                </c:pt>
                <c:pt idx="7">
                  <c:v>79.5</c:v>
                </c:pt>
                <c:pt idx="8">
                  <c:v>80.099999999999994</c:v>
                </c:pt>
                <c:pt idx="9">
                  <c:v>78.8</c:v>
                </c:pt>
                <c:pt idx="10">
                  <c:v>78.599999999999994</c:v>
                </c:pt>
                <c:pt idx="11">
                  <c:v>74.7</c:v>
                </c:pt>
                <c:pt idx="12">
                  <c:v>78.400000000000006</c:v>
                </c:pt>
                <c:pt idx="13">
                  <c:v>85.8</c:v>
                </c:pt>
                <c:pt idx="14">
                  <c:v>86.5</c:v>
                </c:pt>
                <c:pt idx="15">
                  <c:v>84.5</c:v>
                </c:pt>
                <c:pt idx="16">
                  <c:v>82.9</c:v>
                </c:pt>
                <c:pt idx="17">
                  <c:v>80.7</c:v>
                </c:pt>
                <c:pt idx="18">
                  <c:v>77.599999999999994</c:v>
                </c:pt>
                <c:pt idx="19">
                  <c:v>78.400000000000006</c:v>
                </c:pt>
                <c:pt idx="20" formatCode="#,##0.0">
                  <c:v>75.830193123476278</c:v>
                </c:pt>
              </c:numCache>
            </c:numRef>
          </c:val>
        </c:ser>
        <c:axId val="116672384"/>
        <c:axId val="116673920"/>
      </c:barChart>
      <c:catAx>
        <c:axId val="1166723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6673920"/>
        <c:crosses val="autoZero"/>
        <c:auto val="1"/>
        <c:lblAlgn val="ctr"/>
        <c:lblOffset val="100"/>
      </c:catAx>
      <c:valAx>
        <c:axId val="116673920"/>
        <c:scaling>
          <c:orientation val="minMax"/>
        </c:scaling>
        <c:delete val="1"/>
        <c:axPos val="l"/>
        <c:numFmt formatCode="General" sourceLinked="1"/>
        <c:tickLblPos val="none"/>
        <c:crossAx val="1166723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تطور المستوى العام للمعيشة</a:t>
            </a:r>
            <a:endParaRPr lang="fr-FR" sz="1800" b="1" i="0" baseline="0"/>
          </a:p>
          <a:p>
            <a:pPr algn="ctr">
              <a:defRPr/>
            </a:pPr>
            <a:r>
              <a:rPr lang="ar-MA" sz="1800" b="1" i="0" baseline="0"/>
              <a:t> (</a:t>
            </a:r>
            <a:r>
              <a:rPr lang="ar-MA" sz="1800" b="0" i="0" baseline="0"/>
              <a:t>أرصدة الآراء</a:t>
            </a:r>
            <a:r>
              <a:rPr lang="ar-MA" sz="1800" b="1" i="0" baseline="0"/>
              <a:t>)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square"/>
            <c:size val="5"/>
          </c:marker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ar'!$B$10:$V$10</c:f>
              <c:numCache>
                <c:formatCode>General</c:formatCode>
                <c:ptCount val="21"/>
                <c:pt idx="0">
                  <c:v>-10.4</c:v>
                </c:pt>
                <c:pt idx="1">
                  <c:v>-25.2</c:v>
                </c:pt>
                <c:pt idx="2">
                  <c:v>-31.1</c:v>
                </c:pt>
                <c:pt idx="3">
                  <c:v>-29.4</c:v>
                </c:pt>
                <c:pt idx="4">
                  <c:v>-36.700000000000003</c:v>
                </c:pt>
                <c:pt idx="5">
                  <c:v>-29.1</c:v>
                </c:pt>
                <c:pt idx="6">
                  <c:v>-25.7</c:v>
                </c:pt>
                <c:pt idx="7">
                  <c:v>-26.5</c:v>
                </c:pt>
                <c:pt idx="8">
                  <c:v>-25.7</c:v>
                </c:pt>
                <c:pt idx="9">
                  <c:v>-28.6</c:v>
                </c:pt>
                <c:pt idx="10">
                  <c:v>-27.9</c:v>
                </c:pt>
                <c:pt idx="11">
                  <c:v>-37.200000000000003</c:v>
                </c:pt>
                <c:pt idx="12">
                  <c:v>-26.1</c:v>
                </c:pt>
                <c:pt idx="13">
                  <c:v>-17</c:v>
                </c:pt>
                <c:pt idx="14">
                  <c:v>-13.4</c:v>
                </c:pt>
                <c:pt idx="15">
                  <c:v>-20.2</c:v>
                </c:pt>
                <c:pt idx="16">
                  <c:v>-26.2</c:v>
                </c:pt>
                <c:pt idx="17">
                  <c:v>-21.8</c:v>
                </c:pt>
                <c:pt idx="18">
                  <c:v>-27.9</c:v>
                </c:pt>
                <c:pt idx="19">
                  <c:v>-28.1</c:v>
                </c:pt>
                <c:pt idx="20" formatCode="#,##0.0">
                  <c:v>-29.212341127418195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ar'!$B$11:$V$11</c:f>
              <c:numCache>
                <c:formatCode>General</c:formatCode>
                <c:ptCount val="21"/>
                <c:pt idx="0">
                  <c:v>14.4</c:v>
                </c:pt>
                <c:pt idx="1">
                  <c:v>-11.5</c:v>
                </c:pt>
                <c:pt idx="2">
                  <c:v>-21.4</c:v>
                </c:pt>
                <c:pt idx="3">
                  <c:v>-3.5</c:v>
                </c:pt>
                <c:pt idx="4">
                  <c:v>-9.3000000000000007</c:v>
                </c:pt>
                <c:pt idx="5">
                  <c:v>-3.5</c:v>
                </c:pt>
                <c:pt idx="6">
                  <c:v>0.1</c:v>
                </c:pt>
                <c:pt idx="7">
                  <c:v>2.2000000000000002</c:v>
                </c:pt>
                <c:pt idx="8">
                  <c:v>0.4</c:v>
                </c:pt>
                <c:pt idx="9">
                  <c:v>2.7</c:v>
                </c:pt>
                <c:pt idx="10">
                  <c:v>0.2</c:v>
                </c:pt>
                <c:pt idx="11">
                  <c:v>-11.4</c:v>
                </c:pt>
                <c:pt idx="12">
                  <c:v>-1.9000000000000001</c:v>
                </c:pt>
                <c:pt idx="13">
                  <c:v>18.100000000000001</c:v>
                </c:pt>
                <c:pt idx="14">
                  <c:v>11.9</c:v>
                </c:pt>
                <c:pt idx="15">
                  <c:v>13.1</c:v>
                </c:pt>
                <c:pt idx="16">
                  <c:v>11.2</c:v>
                </c:pt>
                <c:pt idx="17">
                  <c:v>9</c:v>
                </c:pt>
                <c:pt idx="18">
                  <c:v>-3.2</c:v>
                </c:pt>
                <c:pt idx="19">
                  <c:v>-1.2</c:v>
                </c:pt>
                <c:pt idx="20" formatCode="#,##0.0">
                  <c:v>-5.0957647237932591</c:v>
                </c:pt>
              </c:numCache>
            </c:numRef>
          </c:val>
        </c:ser>
        <c:marker val="1"/>
        <c:axId val="116633600"/>
        <c:axId val="116635136"/>
      </c:lineChart>
      <c:catAx>
        <c:axId val="1166336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6635136"/>
        <c:crosses val="autoZero"/>
        <c:auto val="1"/>
        <c:lblAlgn val="ctr"/>
        <c:lblOffset val="100"/>
      </c:catAx>
      <c:valAx>
        <c:axId val="11663513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66336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/>
              <a:t>التطور المستقبلي لعدد العاطلين حسب تصور ا</a:t>
            </a:r>
            <a:r>
              <a:rPr lang="ar-MA" sz="1400" baseline="0"/>
              <a:t>لأسر</a:t>
            </a:r>
            <a:endParaRPr lang="ar-MA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ar'!$B$9:$V$9</c:f>
              <c:numCache>
                <c:formatCode>General</c:formatCode>
                <c:ptCount val="21"/>
                <c:pt idx="0">
                  <c:v>-52.1</c:v>
                </c:pt>
                <c:pt idx="1">
                  <c:v>-56.6</c:v>
                </c:pt>
                <c:pt idx="2">
                  <c:v>-51.6</c:v>
                </c:pt>
                <c:pt idx="3">
                  <c:v>-51.1</c:v>
                </c:pt>
                <c:pt idx="4">
                  <c:v>-51</c:v>
                </c:pt>
                <c:pt idx="5">
                  <c:v>-59.1</c:v>
                </c:pt>
                <c:pt idx="6">
                  <c:v>-57.9</c:v>
                </c:pt>
                <c:pt idx="7">
                  <c:v>-57.5</c:v>
                </c:pt>
                <c:pt idx="8">
                  <c:v>-59.2</c:v>
                </c:pt>
                <c:pt idx="9">
                  <c:v>-61</c:v>
                </c:pt>
                <c:pt idx="10">
                  <c:v>-56.1</c:v>
                </c:pt>
                <c:pt idx="11">
                  <c:v>-52.3</c:v>
                </c:pt>
                <c:pt idx="12">
                  <c:v>-52.4</c:v>
                </c:pt>
                <c:pt idx="13">
                  <c:v>-46</c:v>
                </c:pt>
                <c:pt idx="14">
                  <c:v>-41</c:v>
                </c:pt>
                <c:pt idx="15">
                  <c:v>-41.6</c:v>
                </c:pt>
                <c:pt idx="16">
                  <c:v>-44.1</c:v>
                </c:pt>
                <c:pt idx="17">
                  <c:v>-48.6</c:v>
                </c:pt>
                <c:pt idx="18">
                  <c:v>-56.7</c:v>
                </c:pt>
                <c:pt idx="19">
                  <c:v>-58.1</c:v>
                </c:pt>
                <c:pt idx="20" formatCode="#,##0.0">
                  <c:v>-61.683132655398175</c:v>
                </c:pt>
              </c:numCache>
            </c:numRef>
          </c:val>
        </c:ser>
        <c:marker val="1"/>
        <c:axId val="116665728"/>
        <c:axId val="118621312"/>
      </c:lineChart>
      <c:catAx>
        <c:axId val="116665728"/>
        <c:scaling>
          <c:orientation val="minMax"/>
        </c:scaling>
        <c:axPos val="b"/>
        <c:tickLblPos val="nextTo"/>
        <c:crossAx val="118621312"/>
        <c:crosses val="autoZero"/>
        <c:auto val="1"/>
        <c:lblAlgn val="ctr"/>
        <c:lblOffset val="100"/>
      </c:catAx>
      <c:valAx>
        <c:axId val="118621312"/>
        <c:scaling>
          <c:orientation val="minMax"/>
        </c:scaling>
        <c:axPos val="l"/>
        <c:majorGridlines/>
        <c:numFmt formatCode="General" sourceLinked="1"/>
        <c:tickLblPos val="nextTo"/>
        <c:crossAx val="1166657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ملائمة الظروف للقيام بشراء السلع المستديمة </a:t>
            </a:r>
            <a:endParaRPr lang="en-US" sz="14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ar'!$B$12:$V$12</c:f>
              <c:numCache>
                <c:formatCode>General</c:formatCode>
                <c:ptCount val="21"/>
                <c:pt idx="0">
                  <c:v>-30</c:v>
                </c:pt>
                <c:pt idx="1">
                  <c:v>-34.300000000000004</c:v>
                </c:pt>
                <c:pt idx="2">
                  <c:v>-37.5</c:v>
                </c:pt>
                <c:pt idx="3">
                  <c:v>-39.1</c:v>
                </c:pt>
                <c:pt idx="4">
                  <c:v>-41.8</c:v>
                </c:pt>
                <c:pt idx="5">
                  <c:v>-46.5</c:v>
                </c:pt>
                <c:pt idx="6">
                  <c:v>-43.4</c:v>
                </c:pt>
                <c:pt idx="7">
                  <c:v>-42.6</c:v>
                </c:pt>
                <c:pt idx="8">
                  <c:v>-34.800000000000004</c:v>
                </c:pt>
                <c:pt idx="9">
                  <c:v>-37.5</c:v>
                </c:pt>
                <c:pt idx="10">
                  <c:v>-36</c:v>
                </c:pt>
                <c:pt idx="11">
                  <c:v>-44.3</c:v>
                </c:pt>
                <c:pt idx="12">
                  <c:v>-39.9</c:v>
                </c:pt>
                <c:pt idx="13">
                  <c:v>-39</c:v>
                </c:pt>
                <c:pt idx="14">
                  <c:v>-36.4</c:v>
                </c:pt>
                <c:pt idx="15">
                  <c:v>-38.5</c:v>
                </c:pt>
                <c:pt idx="16">
                  <c:v>-32.5</c:v>
                </c:pt>
                <c:pt idx="17">
                  <c:v>-37.4</c:v>
                </c:pt>
                <c:pt idx="18">
                  <c:v>-29.5</c:v>
                </c:pt>
                <c:pt idx="19">
                  <c:v>-29.3</c:v>
                </c:pt>
                <c:pt idx="20" formatCode="#,##0.0">
                  <c:v>-28.348240299081699</c:v>
                </c:pt>
              </c:numCache>
            </c:numRef>
          </c:val>
        </c:ser>
        <c:marker val="1"/>
        <c:axId val="118642176"/>
        <c:axId val="118643712"/>
      </c:lineChart>
      <c:catAx>
        <c:axId val="1186421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8643712"/>
        <c:crosses val="autoZero"/>
        <c:auto val="1"/>
        <c:lblAlgn val="ctr"/>
        <c:lblOffset val="100"/>
      </c:catAx>
      <c:valAx>
        <c:axId val="1186437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86421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100"/>
            </a:pPr>
            <a:r>
              <a:rPr lang="ar-MA" sz="1400" b="1" i="0" baseline="0"/>
              <a:t>تصور الأسر لوضعيتهم المالية</a:t>
            </a:r>
            <a:endParaRPr lang="fr-FR" sz="1400" b="1" i="0" baseline="0"/>
          </a:p>
          <a:p>
            <a:pPr algn="ctr">
              <a:defRPr sz="1100"/>
            </a:pPr>
            <a:r>
              <a:rPr lang="ar-MA" sz="1400" b="0" i="0" baseline="0"/>
              <a:t>(أرصدة الآراء)</a:t>
            </a:r>
            <a:endParaRPr lang="fr-FR" sz="1400" b="0" i="0" baseline="0"/>
          </a:p>
          <a:p>
            <a:pPr algn="ctr">
              <a:defRPr sz="1100"/>
            </a:pPr>
            <a:endParaRPr lang="fr-FR" sz="1100"/>
          </a:p>
        </c:rich>
      </c:tx>
    </c:title>
    <c:plotArea>
      <c:layout>
        <c:manualLayout>
          <c:layoutTarget val="inner"/>
          <c:xMode val="edge"/>
          <c:yMode val="edge"/>
          <c:x val="7.0043080568376478E-2"/>
          <c:y val="0.20174686444095491"/>
          <c:w val="0.91118358546758449"/>
          <c:h val="0.63944613183611854"/>
        </c:manualLayout>
      </c:layout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ar'!$B$13:$V$13</c:f>
              <c:numCache>
                <c:formatCode>General</c:formatCode>
                <c:ptCount val="21"/>
                <c:pt idx="0">
                  <c:v>-33</c:v>
                </c:pt>
                <c:pt idx="1">
                  <c:v>-32.9</c:v>
                </c:pt>
                <c:pt idx="2">
                  <c:v>-34.4</c:v>
                </c:pt>
                <c:pt idx="3">
                  <c:v>-33.1</c:v>
                </c:pt>
                <c:pt idx="4">
                  <c:v>-31.3</c:v>
                </c:pt>
                <c:pt idx="5">
                  <c:v>-26.9</c:v>
                </c:pt>
                <c:pt idx="6">
                  <c:v>-28.3</c:v>
                </c:pt>
                <c:pt idx="7">
                  <c:v>-25.3</c:v>
                </c:pt>
                <c:pt idx="8">
                  <c:v>-27.5</c:v>
                </c:pt>
                <c:pt idx="9">
                  <c:v>-27.6</c:v>
                </c:pt>
                <c:pt idx="10">
                  <c:v>-30</c:v>
                </c:pt>
                <c:pt idx="11">
                  <c:v>-28.1</c:v>
                </c:pt>
                <c:pt idx="12">
                  <c:v>-30.6</c:v>
                </c:pt>
                <c:pt idx="13">
                  <c:v>-27.1</c:v>
                </c:pt>
                <c:pt idx="14">
                  <c:v>-24.3</c:v>
                </c:pt>
                <c:pt idx="15">
                  <c:v>-25.7</c:v>
                </c:pt>
                <c:pt idx="16">
                  <c:v>-25.4</c:v>
                </c:pt>
                <c:pt idx="17">
                  <c:v>-31</c:v>
                </c:pt>
                <c:pt idx="18">
                  <c:v>-30.8</c:v>
                </c:pt>
                <c:pt idx="19">
                  <c:v>-29.4</c:v>
                </c:pt>
                <c:pt idx="20" formatCode="#,##0.0">
                  <c:v>-29.764200665198015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ar'!$B$14:$V$14</c:f>
              <c:numCache>
                <c:formatCode>General</c:formatCode>
                <c:ptCount val="21"/>
                <c:pt idx="0">
                  <c:v>-11.8</c:v>
                </c:pt>
                <c:pt idx="1">
                  <c:v>-11.4</c:v>
                </c:pt>
                <c:pt idx="2">
                  <c:v>-11.7</c:v>
                </c:pt>
                <c:pt idx="3">
                  <c:v>-9.5</c:v>
                </c:pt>
                <c:pt idx="4">
                  <c:v>-18.399999999999999</c:v>
                </c:pt>
                <c:pt idx="5">
                  <c:v>-13.4</c:v>
                </c:pt>
                <c:pt idx="6">
                  <c:v>-8.3000000000000007</c:v>
                </c:pt>
                <c:pt idx="7">
                  <c:v>-11</c:v>
                </c:pt>
                <c:pt idx="8">
                  <c:v>-10</c:v>
                </c:pt>
                <c:pt idx="9">
                  <c:v>-7.9</c:v>
                </c:pt>
                <c:pt idx="10">
                  <c:v>-7.5</c:v>
                </c:pt>
                <c:pt idx="11">
                  <c:v>-12.8</c:v>
                </c:pt>
                <c:pt idx="12">
                  <c:v>-10.5</c:v>
                </c:pt>
                <c:pt idx="13">
                  <c:v>-8.9</c:v>
                </c:pt>
                <c:pt idx="14">
                  <c:v>-6.4</c:v>
                </c:pt>
                <c:pt idx="15">
                  <c:v>-9.8000000000000007</c:v>
                </c:pt>
                <c:pt idx="16">
                  <c:v>-14.1</c:v>
                </c:pt>
                <c:pt idx="17">
                  <c:v>-16.600000000000001</c:v>
                </c:pt>
                <c:pt idx="18">
                  <c:v>-16.7</c:v>
                </c:pt>
                <c:pt idx="19">
                  <c:v>-15.7</c:v>
                </c:pt>
                <c:pt idx="20" formatCode="#,##0.0">
                  <c:v>-19.633449783694058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'graphes ar'!$B$7:$V$7</c:f>
              <c:strCache>
                <c:ptCount val="2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</c:strCache>
            </c:strRef>
          </c:cat>
          <c:val>
            <c:numRef>
              <c:f>'graphes ar'!$B$15:$V$15</c:f>
              <c:numCache>
                <c:formatCode>General</c:formatCode>
                <c:ptCount val="21"/>
                <c:pt idx="0">
                  <c:v>23.9</c:v>
                </c:pt>
                <c:pt idx="1">
                  <c:v>15.6</c:v>
                </c:pt>
                <c:pt idx="2">
                  <c:v>16.600000000000001</c:v>
                </c:pt>
                <c:pt idx="3">
                  <c:v>26.7</c:v>
                </c:pt>
                <c:pt idx="4">
                  <c:v>26.8</c:v>
                </c:pt>
                <c:pt idx="5">
                  <c:v>22</c:v>
                </c:pt>
                <c:pt idx="6">
                  <c:v>17.5</c:v>
                </c:pt>
                <c:pt idx="7">
                  <c:v>17.100000000000001</c:v>
                </c:pt>
                <c:pt idx="8">
                  <c:v>17.8</c:v>
                </c:pt>
                <c:pt idx="9">
                  <c:v>11.8</c:v>
                </c:pt>
                <c:pt idx="10">
                  <c:v>7.8</c:v>
                </c:pt>
                <c:pt idx="11">
                  <c:v>9.4</c:v>
                </c:pt>
                <c:pt idx="12">
                  <c:v>10.200000000000001</c:v>
                </c:pt>
                <c:pt idx="13">
                  <c:v>20.399999999999999</c:v>
                </c:pt>
                <c:pt idx="14">
                  <c:v>15.1</c:v>
                </c:pt>
                <c:pt idx="15">
                  <c:v>14</c:v>
                </c:pt>
                <c:pt idx="16">
                  <c:v>11.2</c:v>
                </c:pt>
                <c:pt idx="17">
                  <c:v>11.1</c:v>
                </c:pt>
                <c:pt idx="18">
                  <c:v>7.7</c:v>
                </c:pt>
                <c:pt idx="19">
                  <c:v>10.6</c:v>
                </c:pt>
                <c:pt idx="20" formatCode="#,##0.0">
                  <c:v>4.5484811189173895</c:v>
                </c:pt>
              </c:numCache>
            </c:numRef>
          </c:val>
        </c:ser>
        <c:marker val="1"/>
        <c:axId val="118678272"/>
        <c:axId val="118679808"/>
      </c:lineChart>
      <c:catAx>
        <c:axId val="1186782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8679808"/>
        <c:crosses val="autoZero"/>
        <c:auto val="1"/>
        <c:lblAlgn val="ctr"/>
        <c:lblOffset val="100"/>
      </c:catAx>
      <c:valAx>
        <c:axId val="118679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867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0035134497077054E-3"/>
          <c:y val="0.84886115817801744"/>
          <c:w val="0.97350157619186495"/>
          <c:h val="5.2239166138946733E-2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200"/>
            </a:pPr>
            <a:r>
              <a:rPr lang="ar-MA" sz="1200" b="1" i="0" baseline="0"/>
              <a:t>التطور السابق لأثمنة المواد الغذائية</a:t>
            </a:r>
            <a:endParaRPr lang="fr-FR" sz="1200"/>
          </a:p>
          <a:p>
            <a:pPr algn="ctr">
              <a:defRPr sz="1200"/>
            </a:pPr>
            <a:r>
              <a:rPr lang="ar-MA" sz="1200" b="1" i="0" baseline="0"/>
              <a:t>(ب %) </a:t>
            </a:r>
            <a:endParaRPr lang="fr-FR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0.92388173402329765</c:v>
                </c:pt>
                <c:pt idx="1">
                  <c:v>0.91822759954692856</c:v>
                </c:pt>
                <c:pt idx="2">
                  <c:v>0.92203066945779144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6.8489697798227028E-2</c:v>
                </c:pt>
                <c:pt idx="1">
                  <c:v>6.9567536305170818E-2</c:v>
                </c:pt>
                <c:pt idx="2">
                  <c:v>7.224194939421362E-2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7.6285681784758821E-3</c:v>
                </c:pt>
                <c:pt idx="1">
                  <c:v>1.2204864147900273E-2</c:v>
                </c:pt>
                <c:pt idx="2">
                  <c:v>5.7273811479935403E-3</c:v>
                </c:pt>
              </c:numCache>
            </c:numRef>
          </c:val>
        </c:ser>
        <c:gapWidth val="75"/>
        <c:overlap val="-25"/>
        <c:axId val="118504832"/>
        <c:axId val="118514816"/>
      </c:barChart>
      <c:catAx>
        <c:axId val="118504832"/>
        <c:scaling>
          <c:orientation val="minMax"/>
        </c:scaling>
        <c:axPos val="b"/>
        <c:majorTickMark val="none"/>
        <c:tickLblPos val="nextTo"/>
        <c:crossAx val="118514816"/>
        <c:crosses val="autoZero"/>
        <c:auto val="1"/>
        <c:lblAlgn val="ctr"/>
        <c:lblOffset val="100"/>
      </c:catAx>
      <c:valAx>
        <c:axId val="11851481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85048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200"/>
            </a:pPr>
            <a:r>
              <a:rPr lang="ar-MA" sz="1200" b="1" i="0" baseline="0"/>
              <a:t>التطور المستقبلي لأثمنة المواد الغذائية</a:t>
            </a:r>
            <a:endParaRPr lang="fr-FR" sz="1200"/>
          </a:p>
          <a:p>
            <a:pPr algn="ctr">
              <a:defRPr sz="1200"/>
            </a:pPr>
            <a:r>
              <a:rPr lang="ar-MA" sz="1200" b="1" i="0" baseline="0"/>
              <a:t>(ب %) </a:t>
            </a:r>
            <a:endParaRPr lang="fr-FR" sz="1200" b="1" i="0" baseline="0"/>
          </a:p>
          <a:p>
            <a:pPr algn="ctr">
              <a:defRPr sz="1200"/>
            </a:pPr>
            <a:r>
              <a:rPr lang="ar-MA" sz="1200" b="1" i="0" baseline="0"/>
              <a:t> </a:t>
            </a:r>
            <a:endParaRPr lang="fr-FR" sz="1200"/>
          </a:p>
        </c:rich>
      </c:tx>
      <c:layout>
        <c:manualLayout>
          <c:xMode val="edge"/>
          <c:yMode val="edge"/>
          <c:x val="0.1127542961613536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0.72311828711592652</c:v>
                </c:pt>
                <c:pt idx="1">
                  <c:v>0.72106883431187241</c:v>
                </c:pt>
                <c:pt idx="2">
                  <c:v>0.77989562270245671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0.25211063073674178</c:v>
                </c:pt>
                <c:pt idx="1">
                  <c:v>0.25835931383151728</c:v>
                </c:pt>
                <c:pt idx="2">
                  <c:v>0.20117172146809367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T1/12</c:v>
                </c:pt>
                <c:pt idx="1">
                  <c:v>T4/12</c:v>
                </c:pt>
                <c:pt idx="2">
                  <c:v>T1/13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2.4771082147335581E-2</c:v>
                </c:pt>
                <c:pt idx="1">
                  <c:v>2.0571851856611895E-2</c:v>
                </c:pt>
                <c:pt idx="2">
                  <c:v>1.8932655829451122E-2</c:v>
                </c:pt>
              </c:numCache>
            </c:numRef>
          </c:val>
        </c:ser>
        <c:gapWidth val="75"/>
        <c:overlap val="-25"/>
        <c:axId val="128003456"/>
        <c:axId val="128009344"/>
      </c:barChart>
      <c:catAx>
        <c:axId val="128003456"/>
        <c:scaling>
          <c:orientation val="minMax"/>
        </c:scaling>
        <c:axPos val="b"/>
        <c:majorTickMark val="none"/>
        <c:tickLblPos val="nextTo"/>
        <c:crossAx val="128009344"/>
        <c:crosses val="autoZero"/>
        <c:auto val="1"/>
        <c:lblAlgn val="ctr"/>
        <c:lblOffset val="100"/>
      </c:catAx>
      <c:valAx>
        <c:axId val="128009344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280034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E713-E4C6-4708-9D6C-998F791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2013-05-10T10:21:00Z</cp:lastPrinted>
  <dcterms:created xsi:type="dcterms:W3CDTF">2013-05-10T14:07:00Z</dcterms:created>
  <dcterms:modified xsi:type="dcterms:W3CDTF">2013-05-10T14:07:00Z</dcterms:modified>
</cp:coreProperties>
</file>