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77" w:rsidRDefault="00F37422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9A3366"/>
        </w:rPr>
      </w:pPr>
      <w:r>
        <w:rPr>
          <w:rFonts w:ascii="Book Antiqua" w:hAnsi="Book Antiqua" w:cs="Times New Roman"/>
          <w:b/>
          <w:bCs/>
          <w:color w:val="9A3366"/>
        </w:rPr>
        <w:t xml:space="preserve">          </w:t>
      </w:r>
    </w:p>
    <w:p w:rsidR="000D4077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9A3366"/>
        </w:rPr>
      </w:pPr>
    </w:p>
    <w:p w:rsidR="000D4077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9A3366"/>
        </w:rPr>
      </w:pPr>
    </w:p>
    <w:p w:rsidR="000D4077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9A3366"/>
        </w:rPr>
      </w:pPr>
    </w:p>
    <w:p w:rsidR="000D4077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9A3366"/>
        </w:rPr>
      </w:pPr>
    </w:p>
    <w:p w:rsidR="009E682C" w:rsidRDefault="009E68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9A3366"/>
        </w:rPr>
      </w:pPr>
    </w:p>
    <w:p w:rsidR="005D63D7" w:rsidRPr="005D63D7" w:rsidRDefault="005D63D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9A3366"/>
          <w:sz w:val="36"/>
          <w:szCs w:val="36"/>
        </w:rPr>
      </w:pPr>
    </w:p>
    <w:p w:rsidR="005041F1" w:rsidRDefault="005041F1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9A3366"/>
        </w:rPr>
      </w:pPr>
    </w:p>
    <w:p w:rsidR="00912704" w:rsidRPr="00BD2D08" w:rsidRDefault="00912704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9A3366"/>
        </w:rPr>
      </w:pPr>
      <w:r w:rsidRPr="00BD2D08">
        <w:rPr>
          <w:rFonts w:ascii="Book Antiqua" w:hAnsi="Book Antiqua" w:cs="Times New Roman"/>
          <w:b/>
          <w:bCs/>
          <w:color w:val="9A3366"/>
        </w:rPr>
        <w:t>Note d’information</w:t>
      </w:r>
      <w:r w:rsidR="0069792B">
        <w:rPr>
          <w:rFonts w:ascii="Book Antiqua" w:hAnsi="Book Antiqua" w:cs="Times New Roman"/>
          <w:b/>
          <w:bCs/>
          <w:color w:val="9A3366"/>
        </w:rPr>
        <w:t xml:space="preserve"> du Haut-commissariat au Plan</w:t>
      </w:r>
    </w:p>
    <w:p w:rsidR="00912704" w:rsidRPr="00BD2D08" w:rsidRDefault="00097300" w:rsidP="00CF7444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9A3366"/>
        </w:rPr>
      </w:pPr>
      <w:r>
        <w:rPr>
          <w:rFonts w:ascii="Book Antiqua" w:hAnsi="Book Antiqua" w:cs="Times New Roman"/>
          <w:b/>
          <w:bCs/>
          <w:color w:val="9A3366"/>
        </w:rPr>
        <w:t>R</w:t>
      </w:r>
      <w:r w:rsidR="00912704" w:rsidRPr="00BD2D08">
        <w:rPr>
          <w:rFonts w:ascii="Book Antiqua" w:hAnsi="Book Antiqua" w:cs="Times New Roman"/>
          <w:b/>
          <w:bCs/>
          <w:color w:val="9A3366"/>
        </w:rPr>
        <w:t xml:space="preserve">ésultats de l’enquête de conjoncture auprès des ménages </w:t>
      </w:r>
    </w:p>
    <w:p w:rsidR="00912704" w:rsidRPr="00BD2D08" w:rsidRDefault="008A4DF1" w:rsidP="003724EE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9A3366"/>
        </w:rPr>
      </w:pPr>
      <w:r>
        <w:rPr>
          <w:rFonts w:ascii="Book Antiqua" w:hAnsi="Book Antiqua" w:cs="Times New Roman"/>
          <w:b/>
          <w:bCs/>
          <w:color w:val="9A3366"/>
        </w:rPr>
        <w:t>Quatrième</w:t>
      </w:r>
      <w:r w:rsidR="003724EE">
        <w:rPr>
          <w:rFonts w:ascii="Book Antiqua" w:hAnsi="Book Antiqua" w:cs="Times New Roman"/>
          <w:b/>
          <w:bCs/>
          <w:color w:val="9A3366"/>
        </w:rPr>
        <w:t xml:space="preserve"> trimestre 2012</w:t>
      </w:r>
    </w:p>
    <w:p w:rsidR="004105E0" w:rsidRPr="005D63D7" w:rsidRDefault="004105E0" w:rsidP="00CF7444">
      <w:pPr>
        <w:widowControl/>
        <w:spacing w:line="276" w:lineRule="auto"/>
        <w:jc w:val="both"/>
        <w:rPr>
          <w:rFonts w:ascii="Book Antiqua" w:hAnsi="Book Antiqua" w:cs="Times New Roman"/>
          <w:color w:val="000000"/>
          <w:sz w:val="36"/>
          <w:szCs w:val="36"/>
        </w:rPr>
      </w:pPr>
    </w:p>
    <w:p w:rsidR="00A45128" w:rsidRDefault="00A45128" w:rsidP="003F059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60E86">
        <w:rPr>
          <w:rFonts w:ascii="Times New Roman" w:hAnsi="Times New Roman" w:cs="Times New Roman"/>
          <w:b/>
          <w:color w:val="000000"/>
        </w:rPr>
        <w:t>Selon les résultats de l’enquête permanente de conjoncture auprès des ménages, menée par le HCP, l’Indice de Confiance</w:t>
      </w:r>
      <w:r>
        <w:rPr>
          <w:rFonts w:ascii="Times New Roman" w:hAnsi="Times New Roman" w:cs="Times New Roman"/>
          <w:b/>
          <w:color w:val="000000"/>
        </w:rPr>
        <w:t xml:space="preserve"> des Ménages (ICM)</w:t>
      </w:r>
      <w:r w:rsidRPr="00860E86">
        <w:rPr>
          <w:rFonts w:ascii="Times New Roman" w:hAnsi="Times New Roman" w:cs="Times New Roman"/>
          <w:b/>
          <w:color w:val="000000"/>
        </w:rPr>
        <w:t xml:space="preserve"> </w:t>
      </w:r>
      <w:r w:rsidRPr="00860E86">
        <w:rPr>
          <w:rFonts w:ascii="Times New Roman" w:hAnsi="Times New Roman" w:cs="Times New Roman"/>
          <w:b/>
          <w:bCs/>
          <w:color w:val="000000"/>
        </w:rPr>
        <w:t>aura enregistré, au cours du quatrième trimestre de 201</w:t>
      </w:r>
      <w:r>
        <w:rPr>
          <w:rFonts w:ascii="Times New Roman" w:hAnsi="Times New Roman" w:cs="Times New Roman"/>
          <w:b/>
          <w:bCs/>
          <w:color w:val="000000"/>
        </w:rPr>
        <w:t>2</w:t>
      </w:r>
      <w:r w:rsidRPr="00860E86">
        <w:rPr>
          <w:rFonts w:ascii="Times New Roman" w:hAnsi="Times New Roman" w:cs="Times New Roman"/>
          <w:b/>
          <w:bCs/>
          <w:color w:val="000000"/>
        </w:rPr>
        <w:t xml:space="preserve">, une </w:t>
      </w:r>
      <w:r>
        <w:rPr>
          <w:rFonts w:ascii="Times New Roman" w:hAnsi="Times New Roman" w:cs="Times New Roman"/>
          <w:b/>
          <w:bCs/>
          <w:color w:val="000000"/>
        </w:rPr>
        <w:t>légère amélioration de 0,8</w:t>
      </w:r>
      <w:r w:rsidRPr="00860E86">
        <w:rPr>
          <w:rFonts w:ascii="Times New Roman" w:hAnsi="Times New Roman" w:cs="Times New Roman"/>
          <w:b/>
          <w:bCs/>
          <w:color w:val="000000"/>
        </w:rPr>
        <w:t xml:space="preserve"> point par rapport au troisième trimestre</w:t>
      </w:r>
      <w:r w:rsidR="003F0597">
        <w:rPr>
          <w:rFonts w:ascii="Times New Roman" w:hAnsi="Times New Roman" w:cs="Times New Roman"/>
          <w:b/>
          <w:bCs/>
          <w:color w:val="000000"/>
        </w:rPr>
        <w:t xml:space="preserve"> de</w:t>
      </w:r>
      <w:r w:rsidRPr="00860E86">
        <w:rPr>
          <w:rFonts w:ascii="Times New Roman" w:hAnsi="Times New Roman" w:cs="Times New Roman"/>
          <w:b/>
          <w:bCs/>
          <w:color w:val="000000"/>
        </w:rPr>
        <w:t xml:space="preserve"> 201</w:t>
      </w:r>
      <w:r>
        <w:rPr>
          <w:rFonts w:ascii="Times New Roman" w:hAnsi="Times New Roman" w:cs="Times New Roman"/>
          <w:b/>
          <w:bCs/>
          <w:color w:val="000000"/>
        </w:rPr>
        <w:t>2</w:t>
      </w:r>
      <w:r w:rsidRPr="00A4512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60E86">
        <w:rPr>
          <w:rFonts w:ascii="Times New Roman" w:hAnsi="Times New Roman" w:cs="Times New Roman"/>
          <w:b/>
          <w:bCs/>
          <w:color w:val="000000"/>
        </w:rPr>
        <w:t xml:space="preserve">mais reste inférieur, de </w:t>
      </w:r>
      <w:r>
        <w:rPr>
          <w:rFonts w:ascii="Times New Roman" w:hAnsi="Times New Roman" w:cs="Times New Roman"/>
          <w:b/>
          <w:bCs/>
          <w:color w:val="000000"/>
        </w:rPr>
        <w:t>6,1</w:t>
      </w:r>
      <w:r w:rsidRPr="00860E86">
        <w:rPr>
          <w:rFonts w:ascii="Times New Roman" w:hAnsi="Times New Roman" w:cs="Times New Roman"/>
          <w:b/>
          <w:bCs/>
          <w:color w:val="000000"/>
        </w:rPr>
        <w:t xml:space="preserve"> points, à son niveau</w:t>
      </w:r>
      <w:r>
        <w:rPr>
          <w:rFonts w:ascii="Times New Roman" w:hAnsi="Times New Roman" w:cs="Times New Roman"/>
          <w:b/>
          <w:bCs/>
          <w:color w:val="000000"/>
        </w:rPr>
        <w:t xml:space="preserve"> du quatrième </w:t>
      </w:r>
      <w:r w:rsidRPr="00860E86">
        <w:rPr>
          <w:rFonts w:ascii="Times New Roman" w:hAnsi="Times New Roman" w:cs="Times New Roman"/>
          <w:b/>
          <w:bCs/>
          <w:color w:val="000000"/>
        </w:rPr>
        <w:t>trimestre de l’année 201</w:t>
      </w:r>
      <w:r>
        <w:rPr>
          <w:rFonts w:ascii="Times New Roman" w:hAnsi="Times New Roman" w:cs="Times New Roman"/>
          <w:b/>
          <w:bCs/>
          <w:color w:val="000000"/>
        </w:rPr>
        <w:t>1.</w:t>
      </w:r>
    </w:p>
    <w:p w:rsidR="00F80F35" w:rsidRDefault="00A45128" w:rsidP="00717A01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60E86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A45128" w:rsidRPr="00DB06E9" w:rsidRDefault="00A45128" w:rsidP="00441375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 w:rsidRPr="00DB06E9">
        <w:rPr>
          <w:rFonts w:ascii="Times New Roman" w:hAnsi="Times New Roman" w:cs="Times New Roman"/>
          <w:color w:val="000000"/>
        </w:rPr>
        <w:t>u quatrième trimestre de 201</w:t>
      </w:r>
      <w:r>
        <w:rPr>
          <w:rFonts w:ascii="Times New Roman" w:hAnsi="Times New Roman" w:cs="Times New Roman"/>
          <w:color w:val="000000"/>
        </w:rPr>
        <w:t xml:space="preserve">2, </w:t>
      </w:r>
      <w:r w:rsidRPr="00DB06E9">
        <w:rPr>
          <w:rFonts w:ascii="Times New Roman" w:hAnsi="Times New Roman" w:cs="Times New Roman"/>
          <w:color w:val="000000"/>
        </w:rPr>
        <w:t xml:space="preserve">l'ICM (non corrigé des variations saisonnières) s’établit  à </w:t>
      </w:r>
      <w:r>
        <w:rPr>
          <w:rFonts w:ascii="Times New Roman" w:hAnsi="Times New Roman" w:cs="Times New Roman"/>
          <w:color w:val="000000"/>
        </w:rPr>
        <w:t xml:space="preserve">78,4 </w:t>
      </w:r>
      <w:r w:rsidRPr="00DB06E9">
        <w:rPr>
          <w:rFonts w:ascii="Times New Roman" w:hAnsi="Times New Roman" w:cs="Times New Roman"/>
          <w:color w:val="000000"/>
        </w:rPr>
        <w:t xml:space="preserve">points </w:t>
      </w:r>
      <w:r>
        <w:rPr>
          <w:rFonts w:ascii="Times New Roman" w:hAnsi="Times New Roman" w:cs="Times New Roman"/>
          <w:color w:val="000000"/>
        </w:rPr>
        <w:t xml:space="preserve">contre 77,6 points un trimestre auparavant </w:t>
      </w:r>
      <w:r w:rsidRPr="00DB06E9">
        <w:rPr>
          <w:rFonts w:ascii="Times New Roman" w:hAnsi="Times New Roman" w:cs="Times New Roman"/>
          <w:color w:val="000000"/>
        </w:rPr>
        <w:t xml:space="preserve">marquant </w:t>
      </w:r>
      <w:r>
        <w:rPr>
          <w:rFonts w:ascii="Times New Roman" w:hAnsi="Times New Roman" w:cs="Times New Roman"/>
          <w:color w:val="000000"/>
        </w:rPr>
        <w:t xml:space="preserve">ainsi </w:t>
      </w:r>
      <w:r w:rsidRPr="00DB06E9">
        <w:rPr>
          <w:rFonts w:ascii="Times New Roman" w:hAnsi="Times New Roman" w:cs="Times New Roman"/>
          <w:color w:val="000000"/>
        </w:rPr>
        <w:t xml:space="preserve">une </w:t>
      </w:r>
      <w:r>
        <w:rPr>
          <w:rFonts w:ascii="Times New Roman" w:hAnsi="Times New Roman" w:cs="Times New Roman"/>
          <w:color w:val="000000"/>
        </w:rPr>
        <w:t>légère hau</w:t>
      </w:r>
      <w:r w:rsidRPr="00DB06E9">
        <w:rPr>
          <w:rFonts w:ascii="Times New Roman" w:hAnsi="Times New Roman" w:cs="Times New Roman"/>
          <w:color w:val="000000"/>
        </w:rPr>
        <w:t xml:space="preserve">sse de </w:t>
      </w:r>
      <w:r>
        <w:rPr>
          <w:rFonts w:ascii="Times New Roman" w:hAnsi="Times New Roman" w:cs="Times New Roman"/>
          <w:color w:val="000000"/>
        </w:rPr>
        <w:t xml:space="preserve">0,8 point. Comparé à son niveau </w:t>
      </w:r>
      <w:r w:rsidR="00717A01">
        <w:rPr>
          <w:rFonts w:ascii="Times New Roman" w:hAnsi="Times New Roman" w:cs="Times New Roman"/>
          <w:color w:val="000000"/>
        </w:rPr>
        <w:t xml:space="preserve">au même trimestre de l'année </w:t>
      </w:r>
      <w:r w:rsidR="00441375">
        <w:rPr>
          <w:rFonts w:ascii="Times New Roman" w:hAnsi="Times New Roman" w:cs="Times New Roman"/>
          <w:color w:val="000000"/>
        </w:rPr>
        <w:t xml:space="preserve"> </w:t>
      </w:r>
      <w:r w:rsidR="00717A01">
        <w:rPr>
          <w:rFonts w:ascii="Times New Roman" w:hAnsi="Times New Roman" w:cs="Times New Roman"/>
          <w:color w:val="000000"/>
        </w:rPr>
        <w:t xml:space="preserve">précédente </w:t>
      </w:r>
      <w:r w:rsidR="0044137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r w:rsidR="00717A01">
        <w:rPr>
          <w:rFonts w:ascii="Times New Roman" w:hAnsi="Times New Roman" w:cs="Times New Roman"/>
          <w:color w:val="000000"/>
        </w:rPr>
        <w:t xml:space="preserve">84,5 </w:t>
      </w:r>
      <w:r>
        <w:rPr>
          <w:rFonts w:ascii="Times New Roman" w:hAnsi="Times New Roman" w:cs="Times New Roman"/>
          <w:color w:val="000000"/>
        </w:rPr>
        <w:t xml:space="preserve">points), </w:t>
      </w:r>
      <w:r w:rsidR="0044137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l’ICM aura enregistré </w:t>
      </w:r>
      <w:r w:rsidR="00717A01">
        <w:rPr>
          <w:rFonts w:ascii="Times New Roman" w:hAnsi="Times New Roman" w:cs="Times New Roman"/>
          <w:color w:val="000000"/>
        </w:rPr>
        <w:t>une baisse de 6,1 points</w:t>
      </w:r>
      <w:r>
        <w:rPr>
          <w:rFonts w:ascii="Times New Roman" w:hAnsi="Times New Roman" w:cs="Times New Roman"/>
          <w:color w:val="000000"/>
        </w:rPr>
        <w:t xml:space="preserve">.  </w:t>
      </w:r>
      <w:r w:rsidRPr="00DB06E9">
        <w:rPr>
          <w:rFonts w:ascii="Times New Roman" w:hAnsi="Times New Roman" w:cs="Times New Roman"/>
          <w:color w:val="000000"/>
        </w:rPr>
        <w:t xml:space="preserve">  </w:t>
      </w:r>
    </w:p>
    <w:p w:rsidR="00267298" w:rsidRPr="00860E86" w:rsidRDefault="00267298" w:rsidP="00A45128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12704" w:rsidRPr="00BD2D08" w:rsidRDefault="00912704" w:rsidP="00CF7444">
      <w:pPr>
        <w:widowControl/>
        <w:spacing w:line="276" w:lineRule="auto"/>
        <w:jc w:val="both"/>
        <w:rPr>
          <w:rFonts w:ascii="Book Antiqua" w:hAnsi="Book Antiqua" w:cs="Times New Roman"/>
          <w:color w:val="000000"/>
        </w:rPr>
      </w:pPr>
    </w:p>
    <w:p w:rsidR="00E5224B" w:rsidRPr="00BD2D08" w:rsidRDefault="00E41E05" w:rsidP="008C02D0">
      <w:pPr>
        <w:widowControl/>
        <w:spacing w:line="276" w:lineRule="auto"/>
        <w:jc w:val="center"/>
        <w:rPr>
          <w:rFonts w:ascii="Book Antiqua" w:hAnsi="Book Antiqua" w:cs="Times New Roman"/>
          <w:color w:val="000000"/>
        </w:rPr>
      </w:pPr>
      <w:r w:rsidRPr="00E41E05">
        <w:rPr>
          <w:rFonts w:ascii="Book Antiqua" w:hAnsi="Book Antiqua" w:cs="Times New Roman"/>
          <w:noProof/>
          <w:color w:val="000000"/>
        </w:rPr>
        <w:drawing>
          <wp:inline distT="0" distB="0" distL="0" distR="0">
            <wp:extent cx="5972810" cy="3164205"/>
            <wp:effectExtent l="19050" t="0" r="2794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B1014" w:rsidRDefault="005B1014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80F35" w:rsidRDefault="00F80F35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80F35" w:rsidRDefault="00F80F35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80F35" w:rsidRDefault="00F80F35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80F35" w:rsidRDefault="00F80F35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F1D72" w:rsidRDefault="009D614B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B06E9">
        <w:rPr>
          <w:rFonts w:ascii="Times New Roman" w:hAnsi="Times New Roman" w:cs="Times New Roman"/>
          <w:b/>
          <w:bCs/>
          <w:color w:val="000000"/>
        </w:rPr>
        <w:lastRenderedPageBreak/>
        <w:t>1</w:t>
      </w:r>
      <w:r w:rsidR="00912704" w:rsidRPr="00DB06E9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6F1D72" w:rsidRPr="00DB06E9">
        <w:rPr>
          <w:rFonts w:ascii="Times New Roman" w:hAnsi="Times New Roman" w:cs="Times New Roman"/>
          <w:b/>
          <w:bCs/>
          <w:color w:val="000000"/>
        </w:rPr>
        <w:t xml:space="preserve">Evolution des </w:t>
      </w:r>
      <w:r w:rsidR="00860E86">
        <w:rPr>
          <w:rFonts w:ascii="Times New Roman" w:hAnsi="Times New Roman" w:cs="Times New Roman"/>
          <w:b/>
          <w:bCs/>
          <w:color w:val="000000"/>
        </w:rPr>
        <w:t>composantes de</w:t>
      </w:r>
      <w:r w:rsidR="006F1D72" w:rsidRPr="00DB06E9">
        <w:rPr>
          <w:rFonts w:ascii="Times New Roman" w:hAnsi="Times New Roman" w:cs="Times New Roman"/>
          <w:b/>
          <w:bCs/>
          <w:color w:val="000000"/>
        </w:rPr>
        <w:t xml:space="preserve"> l'ICM</w:t>
      </w:r>
    </w:p>
    <w:p w:rsidR="00435631" w:rsidRDefault="002C0E6A" w:rsidP="00276077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2C0E6A">
        <w:rPr>
          <w:rFonts w:ascii="Times New Roman" w:hAnsi="Times New Roman" w:cs="Times New Roman"/>
          <w:color w:val="000000"/>
        </w:rPr>
        <w:t xml:space="preserve">Cette évolution de l’ICM est le résultat </w:t>
      </w:r>
      <w:r w:rsidR="00276077">
        <w:rPr>
          <w:rFonts w:ascii="Times New Roman" w:hAnsi="Times New Roman" w:cs="Times New Roman"/>
          <w:color w:val="000000"/>
        </w:rPr>
        <w:t>des</w:t>
      </w:r>
      <w:r w:rsidR="007E0D7B">
        <w:rPr>
          <w:rFonts w:ascii="Times New Roman" w:hAnsi="Times New Roman" w:cs="Times New Roman"/>
          <w:color w:val="000000"/>
        </w:rPr>
        <w:t xml:space="preserve"> </w:t>
      </w:r>
      <w:r w:rsidR="00276077">
        <w:rPr>
          <w:rFonts w:ascii="Times New Roman" w:hAnsi="Times New Roman" w:cs="Times New Roman"/>
          <w:color w:val="000000"/>
        </w:rPr>
        <w:t>variations</w:t>
      </w:r>
      <w:r w:rsidR="007E0D7B">
        <w:rPr>
          <w:rFonts w:ascii="Times New Roman" w:hAnsi="Times New Roman" w:cs="Times New Roman"/>
          <w:color w:val="000000"/>
        </w:rPr>
        <w:t xml:space="preserve"> de ses différentes </w:t>
      </w:r>
      <w:r w:rsidRPr="002C0E6A">
        <w:rPr>
          <w:rFonts w:ascii="Times New Roman" w:hAnsi="Times New Roman" w:cs="Times New Roman"/>
          <w:color w:val="000000"/>
        </w:rPr>
        <w:t xml:space="preserve">composantes. </w:t>
      </w:r>
    </w:p>
    <w:p w:rsidR="00912704" w:rsidRPr="005B1014" w:rsidRDefault="005B1014" w:rsidP="009E6C61">
      <w:pPr>
        <w:pStyle w:val="Paragraphedeliste"/>
        <w:numPr>
          <w:ilvl w:val="0"/>
          <w:numId w:val="8"/>
        </w:numPr>
        <w:spacing w:before="240"/>
        <w:ind w:left="142" w:hanging="142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2532B">
        <w:rPr>
          <w:rFonts w:ascii="Times New Roman" w:hAnsi="Times New Roman" w:cs="Times New Roman"/>
          <w:b/>
          <w:bCs/>
          <w:color w:val="000000"/>
        </w:rPr>
        <w:t>Niveaux de vie des ménages au Maroc :</w:t>
      </w:r>
      <w:r w:rsidR="006E7B2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E6C61">
        <w:rPr>
          <w:rFonts w:ascii="Times New Roman" w:hAnsi="Times New Roman" w:cs="Times New Roman"/>
          <w:b/>
          <w:bCs/>
          <w:color w:val="000000"/>
        </w:rPr>
        <w:t>perception</w:t>
      </w:r>
      <w:r w:rsidR="0023094A">
        <w:rPr>
          <w:rFonts w:ascii="Times New Roman" w:hAnsi="Times New Roman" w:cs="Times New Roman"/>
          <w:b/>
          <w:bCs/>
          <w:color w:val="000000"/>
        </w:rPr>
        <w:t xml:space="preserve"> d’</w:t>
      </w:r>
      <w:r w:rsidR="000D24FA" w:rsidRPr="005B1014">
        <w:rPr>
          <w:rFonts w:ascii="Times New Roman" w:hAnsi="Times New Roman" w:cs="Times New Roman"/>
          <w:b/>
          <w:bCs/>
          <w:color w:val="000000"/>
        </w:rPr>
        <w:t>une détérioration</w:t>
      </w:r>
      <w:r w:rsidR="00106E19"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AD2999" w:rsidRPr="00AD2999" w:rsidRDefault="002478EF" w:rsidP="00EB13D8">
      <w:pPr>
        <w:widowControl/>
        <w:spacing w:before="240" w:line="276" w:lineRule="auto"/>
        <w:jc w:val="both"/>
        <w:rPr>
          <w:rFonts w:ascii="Book Antiqua" w:hAnsi="Book Antiqua" w:cs="Times New Roman"/>
          <w:color w:val="000000"/>
        </w:rPr>
      </w:pPr>
      <w:r w:rsidRPr="00F80F35">
        <w:rPr>
          <w:rFonts w:ascii="Times New Roman" w:hAnsi="Times New Roman" w:cs="Times New Roman"/>
          <w:color w:val="000000"/>
        </w:rPr>
        <w:t xml:space="preserve">Au cours du </w:t>
      </w:r>
      <w:r w:rsidR="008A4DF1" w:rsidRPr="00F80F35">
        <w:rPr>
          <w:rFonts w:ascii="Times New Roman" w:hAnsi="Times New Roman" w:cs="Times New Roman"/>
          <w:color w:val="000000"/>
        </w:rPr>
        <w:t>quatrième</w:t>
      </w:r>
      <w:r w:rsidRPr="00F80F35">
        <w:rPr>
          <w:rFonts w:ascii="Times New Roman" w:hAnsi="Times New Roman" w:cs="Times New Roman"/>
          <w:color w:val="000000"/>
        </w:rPr>
        <w:t xml:space="preserve"> trimestre de 2012,  </w:t>
      </w:r>
      <w:r w:rsidR="00E8699E">
        <w:rPr>
          <w:rFonts w:ascii="Times New Roman" w:hAnsi="Times New Roman" w:cs="Times New Roman"/>
          <w:color w:val="000000"/>
        </w:rPr>
        <w:t>l</w:t>
      </w:r>
      <w:r w:rsidR="00E8699E" w:rsidRPr="00F80F35">
        <w:rPr>
          <w:rFonts w:ascii="Times New Roman" w:hAnsi="Times New Roman" w:cs="Times New Roman"/>
          <w:color w:val="000000"/>
        </w:rPr>
        <w:t xml:space="preserve">e solde relatif à </w:t>
      </w:r>
      <w:r w:rsidR="00AD2999" w:rsidRPr="00F80F35">
        <w:rPr>
          <w:rFonts w:ascii="Times New Roman" w:hAnsi="Times New Roman" w:cs="Times New Roman"/>
          <w:color w:val="000000"/>
        </w:rPr>
        <w:t>l’opinion des ménages sur l</w:t>
      </w:r>
      <w:r w:rsidR="003B2D07">
        <w:rPr>
          <w:rFonts w:ascii="Times New Roman" w:hAnsi="Times New Roman" w:cs="Times New Roman"/>
          <w:color w:val="000000"/>
        </w:rPr>
        <w:t>’évolution passée</w:t>
      </w:r>
      <w:r w:rsidR="004E42E4">
        <w:rPr>
          <w:rFonts w:ascii="Times New Roman" w:hAnsi="Times New Roman" w:cs="Times New Roman"/>
          <w:color w:val="000000"/>
        </w:rPr>
        <w:t xml:space="preserve"> du niveau </w:t>
      </w:r>
      <w:r w:rsidR="003B2D07">
        <w:rPr>
          <w:rFonts w:ascii="Times New Roman" w:hAnsi="Times New Roman" w:cs="Times New Roman"/>
          <w:color w:val="000000"/>
        </w:rPr>
        <w:t xml:space="preserve"> de la vie au</w:t>
      </w:r>
      <w:r w:rsidR="00AC22CF" w:rsidRPr="00F80F35">
        <w:rPr>
          <w:rFonts w:ascii="Times New Roman" w:hAnsi="Times New Roman" w:cs="Times New Roman"/>
          <w:color w:val="000000"/>
        </w:rPr>
        <w:t xml:space="preserve"> Maroc</w:t>
      </w:r>
      <w:r w:rsidRPr="00F80F35">
        <w:rPr>
          <w:rFonts w:ascii="Times New Roman" w:hAnsi="Times New Roman" w:cs="Times New Roman"/>
          <w:color w:val="000000"/>
        </w:rPr>
        <w:t xml:space="preserve"> </w:t>
      </w:r>
      <w:r w:rsidR="00AD2999" w:rsidRPr="00F80F35">
        <w:rPr>
          <w:rFonts w:ascii="Times New Roman" w:hAnsi="Times New Roman" w:cs="Times New Roman"/>
          <w:color w:val="000000"/>
        </w:rPr>
        <w:t>s’est dégradé</w:t>
      </w:r>
      <w:r w:rsidR="00E8699E">
        <w:rPr>
          <w:rFonts w:ascii="Times New Roman" w:hAnsi="Times New Roman" w:cs="Times New Roman"/>
          <w:color w:val="000000"/>
        </w:rPr>
        <w:t xml:space="preserve"> de</w:t>
      </w:r>
      <w:r w:rsidR="00AD2999" w:rsidRPr="00F80F35">
        <w:rPr>
          <w:rFonts w:ascii="Times New Roman" w:hAnsi="Times New Roman" w:cs="Times New Roman"/>
          <w:color w:val="000000"/>
        </w:rPr>
        <w:t xml:space="preserve"> </w:t>
      </w:r>
      <w:r w:rsidR="00E8699E" w:rsidRPr="00F80F35">
        <w:rPr>
          <w:rFonts w:ascii="Times New Roman" w:hAnsi="Times New Roman" w:cs="Times New Roman"/>
          <w:color w:val="000000"/>
        </w:rPr>
        <w:t xml:space="preserve">0,2 point </w:t>
      </w:r>
      <w:r w:rsidR="00441375">
        <w:rPr>
          <w:rFonts w:ascii="Times New Roman" w:hAnsi="Times New Roman" w:cs="Times New Roman"/>
          <w:color w:val="000000"/>
        </w:rPr>
        <w:t xml:space="preserve">en comparaison avec le </w:t>
      </w:r>
      <w:r w:rsidR="00E55C95" w:rsidRPr="00F80F35">
        <w:rPr>
          <w:rFonts w:ascii="Times New Roman" w:hAnsi="Times New Roman" w:cs="Times New Roman"/>
          <w:color w:val="000000"/>
        </w:rPr>
        <w:t xml:space="preserve">trimestre précédent </w:t>
      </w:r>
      <w:r w:rsidR="00E8699E" w:rsidRPr="00F80F35">
        <w:rPr>
          <w:rFonts w:ascii="Times New Roman" w:hAnsi="Times New Roman" w:cs="Times New Roman"/>
          <w:color w:val="000000"/>
        </w:rPr>
        <w:t xml:space="preserve">et </w:t>
      </w:r>
      <w:r w:rsidR="00E8699E">
        <w:rPr>
          <w:rFonts w:ascii="Times New Roman" w:hAnsi="Times New Roman" w:cs="Times New Roman"/>
          <w:color w:val="000000"/>
        </w:rPr>
        <w:t xml:space="preserve">de </w:t>
      </w:r>
      <w:r w:rsidR="00E8699E" w:rsidRPr="00F80F35">
        <w:rPr>
          <w:rFonts w:ascii="Times New Roman" w:hAnsi="Times New Roman" w:cs="Times New Roman"/>
          <w:color w:val="000000"/>
        </w:rPr>
        <w:t xml:space="preserve">7,9 points </w:t>
      </w:r>
      <w:r w:rsidR="00E8699E">
        <w:rPr>
          <w:rFonts w:ascii="Times New Roman" w:hAnsi="Times New Roman" w:cs="Times New Roman"/>
          <w:color w:val="000000"/>
        </w:rPr>
        <w:t>par rapport au</w:t>
      </w:r>
      <w:r w:rsidR="00441375">
        <w:rPr>
          <w:rFonts w:ascii="Times New Roman" w:hAnsi="Times New Roman" w:cs="Times New Roman"/>
          <w:color w:val="000000"/>
        </w:rPr>
        <w:t xml:space="preserve"> </w:t>
      </w:r>
      <w:r w:rsidR="00E55C95" w:rsidRPr="00F80F35">
        <w:rPr>
          <w:rFonts w:ascii="Times New Roman" w:hAnsi="Times New Roman" w:cs="Times New Roman"/>
          <w:color w:val="000000"/>
        </w:rPr>
        <w:t xml:space="preserve">quatrième trimestre de l’année précédente. </w:t>
      </w:r>
    </w:p>
    <w:p w:rsidR="00AD2999" w:rsidRDefault="00AD2999" w:rsidP="00457115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DB5B40" w:rsidRDefault="00EB13D8" w:rsidP="00EB13D8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Concernant les perspectives d</w:t>
      </w:r>
      <w:r w:rsidR="00AD2999">
        <w:rPr>
          <w:rFonts w:ascii="Times New Roman" w:hAnsi="Times New Roman" w:cs="Times New Roman"/>
          <w:color w:val="000000"/>
        </w:rPr>
        <w:t>’évolution du niveau de vie</w:t>
      </w:r>
      <w:r>
        <w:rPr>
          <w:rFonts w:ascii="Times New Roman" w:hAnsi="Times New Roman" w:cs="Times New Roman"/>
          <w:color w:val="000000"/>
        </w:rPr>
        <w:t xml:space="preserve"> au cours des 12 prochains mois</w:t>
      </w:r>
      <w:r w:rsidR="00AD2999">
        <w:rPr>
          <w:rFonts w:ascii="Times New Roman" w:hAnsi="Times New Roman" w:cs="Times New Roman"/>
          <w:color w:val="000000"/>
        </w:rPr>
        <w:t xml:space="preserve">,  </w:t>
      </w:r>
      <w:r>
        <w:rPr>
          <w:rFonts w:ascii="Times New Roman" w:hAnsi="Times New Roman" w:cs="Times New Roman"/>
          <w:color w:val="000000"/>
        </w:rPr>
        <w:t>l</w:t>
      </w:r>
      <w:r w:rsidR="00754325">
        <w:rPr>
          <w:rFonts w:ascii="Times New Roman" w:hAnsi="Times New Roman" w:cs="Times New Roman"/>
          <w:color w:val="000000"/>
        </w:rPr>
        <w:t xml:space="preserve">e solde </w:t>
      </w:r>
      <w:r>
        <w:rPr>
          <w:rFonts w:ascii="Times New Roman" w:hAnsi="Times New Roman" w:cs="Times New Roman"/>
          <w:color w:val="000000"/>
        </w:rPr>
        <w:t xml:space="preserve">correspondant s’est pour la </w:t>
      </w:r>
      <w:r w:rsidR="00AD2999" w:rsidRPr="00F80F35">
        <w:rPr>
          <w:rFonts w:ascii="Times New Roman" w:hAnsi="Times New Roman" w:cs="Times New Roman"/>
          <w:color w:val="000000"/>
        </w:rPr>
        <w:t xml:space="preserve">première fois </w:t>
      </w:r>
      <w:r>
        <w:rPr>
          <w:rFonts w:ascii="Times New Roman" w:hAnsi="Times New Roman" w:cs="Times New Roman"/>
          <w:color w:val="000000"/>
        </w:rPr>
        <w:t xml:space="preserve">amélioré </w:t>
      </w:r>
      <w:r w:rsidR="00AD2999" w:rsidRPr="00F80F35">
        <w:rPr>
          <w:rFonts w:ascii="Times New Roman" w:hAnsi="Times New Roman" w:cs="Times New Roman"/>
          <w:color w:val="000000"/>
        </w:rPr>
        <w:t>depuis le quatrième trimestre de 2011</w:t>
      </w:r>
      <w:r w:rsidR="00E55C95" w:rsidRPr="00F80F35">
        <w:rPr>
          <w:rFonts w:ascii="Times New Roman" w:hAnsi="Times New Roman" w:cs="Times New Roman"/>
          <w:color w:val="000000"/>
        </w:rPr>
        <w:t xml:space="preserve"> gagnant</w:t>
      </w:r>
      <w:r w:rsidR="00AD2999" w:rsidRPr="00F80F35">
        <w:rPr>
          <w:rFonts w:ascii="Times New Roman" w:hAnsi="Times New Roman" w:cs="Times New Roman"/>
          <w:color w:val="000000"/>
        </w:rPr>
        <w:t xml:space="preserve"> 2 points par rapport au trimestre précédent mais reste nettement inférieur à son niveau de la même période de 2011</w:t>
      </w:r>
      <w:r w:rsidR="00E55C95" w:rsidRPr="00F80F35">
        <w:rPr>
          <w:rFonts w:ascii="Times New Roman" w:hAnsi="Times New Roman" w:cs="Times New Roman"/>
          <w:color w:val="000000"/>
        </w:rPr>
        <w:t xml:space="preserve"> (-14,</w:t>
      </w:r>
      <w:r w:rsidR="000A20DC" w:rsidRPr="00ED3373">
        <w:rPr>
          <w:rFonts w:ascii="Times New Roman" w:hAnsi="Times New Roman" w:cs="Times New Roman"/>
          <w:color w:val="000000"/>
        </w:rPr>
        <w:t>3</w:t>
      </w:r>
      <w:r w:rsidR="00E55C95" w:rsidRPr="00F80F35">
        <w:rPr>
          <w:rFonts w:ascii="Times New Roman" w:hAnsi="Times New Roman" w:cs="Times New Roman"/>
          <w:color w:val="000000"/>
        </w:rPr>
        <w:t xml:space="preserve"> points)</w:t>
      </w:r>
      <w:r w:rsidR="00AD2999" w:rsidRPr="00F80F35">
        <w:rPr>
          <w:rFonts w:ascii="Times New Roman" w:hAnsi="Times New Roman" w:cs="Times New Roman"/>
          <w:color w:val="000000"/>
        </w:rPr>
        <w:t>.</w:t>
      </w:r>
      <w:r w:rsidR="00DB5B40">
        <w:rPr>
          <w:rFonts w:ascii="Times New Roman" w:hAnsi="Times New Roman" w:cs="Times New Roman"/>
          <w:color w:val="000000"/>
        </w:rPr>
        <w:t xml:space="preserve"> </w:t>
      </w:r>
    </w:p>
    <w:p w:rsidR="00DB5B40" w:rsidRDefault="00DB5B40" w:rsidP="00DB5B40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92695A" w:rsidRDefault="00E41E05" w:rsidP="004660F5">
      <w:pPr>
        <w:widowControl/>
        <w:spacing w:line="276" w:lineRule="auto"/>
        <w:jc w:val="center"/>
        <w:rPr>
          <w:rFonts w:ascii="Book Antiqua" w:hAnsi="Book Antiqua" w:cs="Times New Roman"/>
          <w:color w:val="000000"/>
          <w:rtl/>
        </w:rPr>
      </w:pPr>
      <w:r w:rsidRPr="00E41E05">
        <w:rPr>
          <w:rFonts w:ascii="Book Antiqua" w:hAnsi="Book Antiqua" w:cs="Times New Roman"/>
          <w:noProof/>
          <w:color w:val="000000"/>
        </w:rPr>
        <w:drawing>
          <wp:inline distT="0" distB="0" distL="0" distR="0">
            <wp:extent cx="6257925" cy="2830830"/>
            <wp:effectExtent l="19050" t="0" r="9525" b="762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457C" w:rsidRDefault="0032457C" w:rsidP="00222682">
      <w:pPr>
        <w:widowControl/>
        <w:spacing w:line="276" w:lineRule="auto"/>
        <w:jc w:val="both"/>
        <w:rPr>
          <w:rFonts w:ascii="Book Antiqua" w:hAnsi="Book Antiqua" w:cs="Times New Roman"/>
          <w:b/>
          <w:bCs/>
          <w:color w:val="000000"/>
        </w:rPr>
      </w:pPr>
    </w:p>
    <w:p w:rsidR="002C5954" w:rsidRPr="00DB06E9" w:rsidRDefault="002C5954" w:rsidP="009E6C61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B06E9">
        <w:rPr>
          <w:rFonts w:ascii="Times New Roman" w:hAnsi="Times New Roman" w:cs="Times New Roman"/>
          <w:b/>
          <w:bCs/>
          <w:color w:val="000000"/>
        </w:rPr>
        <w:t xml:space="preserve">• </w:t>
      </w:r>
      <w:r w:rsidR="009E6C61">
        <w:rPr>
          <w:rFonts w:ascii="Times New Roman" w:hAnsi="Times New Roman" w:cs="Times New Roman"/>
          <w:b/>
          <w:bCs/>
          <w:color w:val="000000"/>
        </w:rPr>
        <w:t xml:space="preserve">Anticipation d’un chômage en </w:t>
      </w:r>
      <w:r w:rsidR="0023094A">
        <w:rPr>
          <w:rFonts w:ascii="Times New Roman" w:hAnsi="Times New Roman" w:cs="Times New Roman"/>
          <w:b/>
          <w:bCs/>
          <w:color w:val="000000"/>
        </w:rPr>
        <w:t>hausse</w:t>
      </w:r>
      <w:r w:rsidR="000A40C3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4C26D2" w:rsidRDefault="00966CAF" w:rsidP="000B0EC8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Cette anticipation est le f</w:t>
      </w:r>
      <w:r w:rsidR="006F1BCD">
        <w:rPr>
          <w:rFonts w:ascii="Times New Roman" w:hAnsi="Times New Roman" w:cs="Times New Roman"/>
          <w:color w:val="000000"/>
        </w:rPr>
        <w:t>ai</w:t>
      </w:r>
      <w:r>
        <w:rPr>
          <w:rFonts w:ascii="Times New Roman" w:hAnsi="Times New Roman" w:cs="Times New Roman"/>
          <w:color w:val="000000"/>
        </w:rPr>
        <w:t xml:space="preserve">t de 70,3% </w:t>
      </w:r>
      <w:r w:rsidR="00FD62BA">
        <w:rPr>
          <w:rFonts w:ascii="Times New Roman" w:hAnsi="Times New Roman" w:cs="Times New Roman"/>
          <w:color w:val="000000"/>
        </w:rPr>
        <w:t xml:space="preserve">des ménages qui </w:t>
      </w:r>
      <w:r w:rsidR="000B0EC8">
        <w:rPr>
          <w:rFonts w:ascii="Times New Roman" w:hAnsi="Times New Roman" w:cs="Times New Roman"/>
          <w:color w:val="000000"/>
        </w:rPr>
        <w:t>prévoi</w:t>
      </w:r>
      <w:r w:rsidR="00FD62BA">
        <w:rPr>
          <w:rFonts w:ascii="Times New Roman" w:hAnsi="Times New Roman" w:cs="Times New Roman"/>
          <w:color w:val="000000"/>
        </w:rPr>
        <w:t xml:space="preserve">ent une hausse du nombre de chômeurs pour les 12 mois à venir  </w:t>
      </w:r>
      <w:r w:rsidR="00174DE2">
        <w:rPr>
          <w:rFonts w:ascii="Times New Roman" w:hAnsi="Times New Roman" w:cs="Times New Roman"/>
          <w:color w:val="000000"/>
        </w:rPr>
        <w:t>contre 69,3% un trimestre auparavant et 60,6% un an auparavant</w:t>
      </w:r>
      <w:r w:rsidR="000B0EC8">
        <w:rPr>
          <w:rFonts w:ascii="Times New Roman" w:hAnsi="Times New Roman" w:cs="Times New Roman"/>
          <w:color w:val="000000"/>
        </w:rPr>
        <w:t>.</w:t>
      </w:r>
      <w:r w:rsidR="00174DE2">
        <w:rPr>
          <w:rFonts w:ascii="Times New Roman" w:hAnsi="Times New Roman" w:cs="Times New Roman"/>
          <w:color w:val="000000"/>
        </w:rPr>
        <w:t xml:space="preserve"> </w:t>
      </w:r>
      <w:r w:rsidR="00745483">
        <w:rPr>
          <w:rFonts w:ascii="Times New Roman" w:hAnsi="Times New Roman" w:cs="Times New Roman"/>
          <w:color w:val="000000"/>
        </w:rPr>
        <w:t>Avec 1</w:t>
      </w:r>
      <w:r w:rsidR="00DB5B40">
        <w:rPr>
          <w:rFonts w:ascii="Times New Roman" w:hAnsi="Times New Roman" w:cs="Times New Roman"/>
          <w:color w:val="000000"/>
        </w:rPr>
        <w:t>2</w:t>
      </w:r>
      <w:r w:rsidR="00745483">
        <w:rPr>
          <w:rFonts w:ascii="Times New Roman" w:hAnsi="Times New Roman" w:cs="Times New Roman"/>
          <w:color w:val="000000"/>
        </w:rPr>
        <w:t>,</w:t>
      </w:r>
      <w:r w:rsidR="008944F4">
        <w:rPr>
          <w:rFonts w:ascii="Times New Roman" w:hAnsi="Times New Roman" w:cs="Times New Roman"/>
          <w:color w:val="000000"/>
        </w:rPr>
        <w:t>2</w:t>
      </w:r>
      <w:r w:rsidR="00745483">
        <w:rPr>
          <w:rFonts w:ascii="Times New Roman" w:hAnsi="Times New Roman" w:cs="Times New Roman"/>
          <w:color w:val="000000"/>
        </w:rPr>
        <w:t>% qui anticipent plutôt une baisse, l</w:t>
      </w:r>
      <w:r w:rsidR="00174DE2">
        <w:rPr>
          <w:rFonts w:ascii="Times New Roman" w:hAnsi="Times New Roman" w:cs="Times New Roman"/>
          <w:color w:val="000000"/>
        </w:rPr>
        <w:t>’</w:t>
      </w:r>
      <w:r w:rsidR="00D7152A">
        <w:rPr>
          <w:rFonts w:ascii="Times New Roman" w:hAnsi="Times New Roman" w:cs="Times New Roman"/>
          <w:color w:val="000000"/>
        </w:rPr>
        <w:t>indicateur s'établit</w:t>
      </w:r>
      <w:r w:rsidR="00C429E3">
        <w:rPr>
          <w:rFonts w:ascii="Times New Roman" w:hAnsi="Times New Roman" w:cs="Times New Roman"/>
          <w:color w:val="000000"/>
        </w:rPr>
        <w:t xml:space="preserve"> ainsi </w:t>
      </w:r>
      <w:r w:rsidR="00D7152A">
        <w:rPr>
          <w:rFonts w:ascii="Times New Roman" w:hAnsi="Times New Roman" w:cs="Times New Roman"/>
          <w:color w:val="000000"/>
        </w:rPr>
        <w:t xml:space="preserve"> à un </w:t>
      </w:r>
      <w:r w:rsidR="00174DE2">
        <w:rPr>
          <w:rFonts w:ascii="Times New Roman" w:hAnsi="Times New Roman" w:cs="Times New Roman"/>
          <w:color w:val="000000"/>
        </w:rPr>
        <w:t>solde</w:t>
      </w:r>
      <w:r w:rsidR="00D7152A">
        <w:rPr>
          <w:rFonts w:ascii="Times New Roman" w:hAnsi="Times New Roman" w:cs="Times New Roman"/>
          <w:color w:val="000000"/>
        </w:rPr>
        <w:t xml:space="preserve"> négatif de</w:t>
      </w:r>
      <w:r w:rsidR="00745483">
        <w:rPr>
          <w:rFonts w:ascii="Times New Roman" w:hAnsi="Times New Roman" w:cs="Times New Roman"/>
          <w:color w:val="000000"/>
        </w:rPr>
        <w:t xml:space="preserve"> </w:t>
      </w:r>
      <w:r w:rsidR="00D7152A">
        <w:rPr>
          <w:rFonts w:ascii="Times New Roman" w:hAnsi="Times New Roman" w:cs="Times New Roman"/>
          <w:color w:val="000000"/>
        </w:rPr>
        <w:t>-</w:t>
      </w:r>
      <w:r w:rsidR="00DB5B40">
        <w:rPr>
          <w:rFonts w:ascii="Times New Roman" w:hAnsi="Times New Roman" w:cs="Times New Roman"/>
          <w:color w:val="000000"/>
        </w:rPr>
        <w:t>5</w:t>
      </w:r>
      <w:r w:rsidR="008944F4">
        <w:rPr>
          <w:rFonts w:ascii="Times New Roman" w:hAnsi="Times New Roman" w:cs="Times New Roman"/>
          <w:color w:val="000000"/>
        </w:rPr>
        <w:t>8</w:t>
      </w:r>
      <w:r w:rsidR="00D7152A">
        <w:rPr>
          <w:rFonts w:ascii="Times New Roman" w:hAnsi="Times New Roman" w:cs="Times New Roman"/>
          <w:color w:val="000000"/>
        </w:rPr>
        <w:t>,</w:t>
      </w:r>
      <w:r w:rsidR="008944F4">
        <w:rPr>
          <w:rFonts w:ascii="Times New Roman" w:hAnsi="Times New Roman" w:cs="Times New Roman"/>
          <w:color w:val="000000"/>
        </w:rPr>
        <w:t>1</w:t>
      </w:r>
      <w:r w:rsidR="00D7152A">
        <w:rPr>
          <w:rFonts w:ascii="Times New Roman" w:hAnsi="Times New Roman" w:cs="Times New Roman"/>
          <w:color w:val="000000"/>
        </w:rPr>
        <w:t xml:space="preserve"> points</w:t>
      </w:r>
      <w:r w:rsidR="00B36132">
        <w:rPr>
          <w:rFonts w:ascii="Times New Roman" w:hAnsi="Times New Roman" w:cs="Times New Roman"/>
          <w:color w:val="000000"/>
        </w:rPr>
        <w:t>,</w:t>
      </w:r>
      <w:r w:rsidR="001438AB">
        <w:rPr>
          <w:rFonts w:ascii="Times New Roman" w:hAnsi="Times New Roman" w:cs="Times New Roman"/>
          <w:color w:val="000000"/>
        </w:rPr>
        <w:t xml:space="preserve"> </w:t>
      </w:r>
      <w:r w:rsidR="00B36132">
        <w:rPr>
          <w:rFonts w:ascii="Times New Roman" w:hAnsi="Times New Roman" w:cs="Times New Roman"/>
          <w:color w:val="000000"/>
        </w:rPr>
        <w:t>soit</w:t>
      </w:r>
      <w:r w:rsidR="00D7152A">
        <w:rPr>
          <w:rFonts w:ascii="Times New Roman" w:hAnsi="Times New Roman" w:cs="Times New Roman"/>
          <w:color w:val="000000"/>
        </w:rPr>
        <w:t xml:space="preserve"> une détérioration de </w:t>
      </w:r>
      <w:r w:rsidR="008944F4">
        <w:rPr>
          <w:rFonts w:ascii="Times New Roman" w:hAnsi="Times New Roman" w:cs="Times New Roman"/>
          <w:color w:val="000000"/>
        </w:rPr>
        <w:t>1</w:t>
      </w:r>
      <w:r w:rsidR="00DB5B40">
        <w:rPr>
          <w:rFonts w:ascii="Times New Roman" w:hAnsi="Times New Roman" w:cs="Times New Roman"/>
          <w:color w:val="000000"/>
        </w:rPr>
        <w:t>,</w:t>
      </w:r>
      <w:r w:rsidR="008944F4">
        <w:rPr>
          <w:rFonts w:ascii="Times New Roman" w:hAnsi="Times New Roman" w:cs="Times New Roman"/>
          <w:color w:val="000000"/>
        </w:rPr>
        <w:t>4</w:t>
      </w:r>
      <w:r w:rsidR="00D7152A">
        <w:rPr>
          <w:rFonts w:ascii="Times New Roman" w:hAnsi="Times New Roman" w:cs="Times New Roman"/>
          <w:color w:val="000000"/>
        </w:rPr>
        <w:t xml:space="preserve"> points par rapport à son niveau un trimestre auparavant </w:t>
      </w:r>
      <w:r w:rsidR="001A0F65">
        <w:rPr>
          <w:rFonts w:ascii="Times New Roman" w:hAnsi="Times New Roman" w:cs="Times New Roman"/>
          <w:color w:val="000000"/>
        </w:rPr>
        <w:t xml:space="preserve">et de </w:t>
      </w:r>
      <w:r w:rsidR="00DB5B40">
        <w:rPr>
          <w:rFonts w:ascii="Times New Roman" w:hAnsi="Times New Roman" w:cs="Times New Roman"/>
          <w:color w:val="000000"/>
        </w:rPr>
        <w:t>1</w:t>
      </w:r>
      <w:r w:rsidR="008944F4">
        <w:rPr>
          <w:rFonts w:ascii="Times New Roman" w:hAnsi="Times New Roman" w:cs="Times New Roman"/>
          <w:color w:val="000000"/>
        </w:rPr>
        <w:t>6</w:t>
      </w:r>
      <w:r w:rsidR="00DB5B40">
        <w:rPr>
          <w:rFonts w:ascii="Times New Roman" w:hAnsi="Times New Roman" w:cs="Times New Roman"/>
          <w:color w:val="000000"/>
        </w:rPr>
        <w:t>,</w:t>
      </w:r>
      <w:r w:rsidR="001D0C73" w:rsidRPr="00ED3373">
        <w:rPr>
          <w:rFonts w:ascii="Times New Roman" w:hAnsi="Times New Roman" w:cs="Times New Roman"/>
          <w:color w:val="000000"/>
        </w:rPr>
        <w:t>5</w:t>
      </w:r>
      <w:r w:rsidR="001D0C73">
        <w:rPr>
          <w:rFonts w:ascii="Times New Roman" w:hAnsi="Times New Roman" w:cs="Times New Roman"/>
          <w:color w:val="FFFF00"/>
        </w:rPr>
        <w:t xml:space="preserve"> </w:t>
      </w:r>
      <w:r w:rsidR="001A0F65">
        <w:rPr>
          <w:rFonts w:ascii="Times New Roman" w:hAnsi="Times New Roman" w:cs="Times New Roman"/>
          <w:color w:val="000000"/>
        </w:rPr>
        <w:t>points</w:t>
      </w:r>
      <w:r w:rsidR="00D7152A">
        <w:rPr>
          <w:rFonts w:ascii="Times New Roman" w:hAnsi="Times New Roman" w:cs="Times New Roman"/>
          <w:color w:val="000000"/>
        </w:rPr>
        <w:t xml:space="preserve"> par rapport au </w:t>
      </w:r>
      <w:r w:rsidR="00C93FD8">
        <w:rPr>
          <w:rFonts w:ascii="Times New Roman" w:hAnsi="Times New Roman" w:cs="Times New Roman"/>
          <w:color w:val="000000"/>
        </w:rPr>
        <w:t>même</w:t>
      </w:r>
      <w:r w:rsidR="00D7152A">
        <w:rPr>
          <w:rFonts w:ascii="Times New Roman" w:hAnsi="Times New Roman" w:cs="Times New Roman"/>
          <w:color w:val="000000"/>
        </w:rPr>
        <w:t xml:space="preserve"> trimestre de 2011</w:t>
      </w:r>
      <w:r w:rsidR="001A0F65">
        <w:rPr>
          <w:rFonts w:ascii="Times New Roman" w:hAnsi="Times New Roman" w:cs="Times New Roman"/>
          <w:color w:val="000000"/>
        </w:rPr>
        <w:t>.</w:t>
      </w:r>
    </w:p>
    <w:p w:rsidR="00D7152A" w:rsidRDefault="00D7152A" w:rsidP="00531247">
      <w:pPr>
        <w:widowControl/>
        <w:spacing w:line="276" w:lineRule="auto"/>
        <w:jc w:val="both"/>
        <w:rPr>
          <w:rFonts w:ascii="Book Antiqua" w:hAnsi="Book Antiqua" w:cs="Times New Roman"/>
          <w:b/>
          <w:bCs/>
          <w:color w:val="000000"/>
        </w:rPr>
      </w:pPr>
    </w:p>
    <w:p w:rsidR="003F0597" w:rsidRDefault="005D733B" w:rsidP="006E7B20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B06E9">
        <w:rPr>
          <w:rFonts w:ascii="Times New Roman" w:hAnsi="Times New Roman" w:cs="Times New Roman"/>
          <w:b/>
          <w:bCs/>
          <w:color w:val="000000"/>
        </w:rPr>
        <w:t>•</w:t>
      </w:r>
      <w:r w:rsidR="006E7B20" w:rsidRPr="006E7B2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6E7B20">
        <w:rPr>
          <w:rFonts w:ascii="Times New Roman" w:hAnsi="Times New Roman" w:cs="Times New Roman"/>
          <w:b/>
          <w:bCs/>
          <w:color w:val="000000"/>
        </w:rPr>
        <w:t>Opportunité d’a</w:t>
      </w:r>
      <w:r w:rsidR="00400110">
        <w:rPr>
          <w:rFonts w:ascii="Times New Roman" w:hAnsi="Times New Roman" w:cs="Times New Roman"/>
          <w:b/>
          <w:bCs/>
          <w:color w:val="000000"/>
        </w:rPr>
        <w:t>chat</w:t>
      </w:r>
      <w:r w:rsidR="0044137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00110">
        <w:rPr>
          <w:rFonts w:ascii="Times New Roman" w:hAnsi="Times New Roman" w:cs="Times New Roman"/>
          <w:b/>
          <w:bCs/>
          <w:color w:val="000000"/>
        </w:rPr>
        <w:t xml:space="preserve">de biens </w:t>
      </w:r>
      <w:r w:rsidRPr="00DB06E9">
        <w:rPr>
          <w:rFonts w:ascii="Times New Roman" w:hAnsi="Times New Roman" w:cs="Times New Roman"/>
          <w:b/>
          <w:bCs/>
          <w:color w:val="000000"/>
        </w:rPr>
        <w:t>durables</w:t>
      </w:r>
      <w:r w:rsidR="00400110">
        <w:rPr>
          <w:rFonts w:ascii="Times New Roman" w:hAnsi="Times New Roman" w:cs="Times New Roman"/>
          <w:b/>
          <w:bCs/>
          <w:color w:val="000000"/>
        </w:rPr>
        <w:t xml:space="preserve"> : </w:t>
      </w:r>
      <w:r w:rsidR="003F0597">
        <w:rPr>
          <w:rFonts w:ascii="Times New Roman" w:hAnsi="Times New Roman" w:cs="Times New Roman"/>
          <w:b/>
          <w:bCs/>
          <w:color w:val="000000"/>
        </w:rPr>
        <w:t xml:space="preserve">léger regain de confiance </w:t>
      </w:r>
    </w:p>
    <w:p w:rsidR="003F0597" w:rsidRDefault="003F0597" w:rsidP="003F059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C0BC4" w:rsidRDefault="002D2970" w:rsidP="00EF2581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Plus d</w:t>
      </w:r>
      <w:r w:rsidR="00441375">
        <w:rPr>
          <w:rFonts w:ascii="Times New Roman" w:hAnsi="Times New Roman" w:cs="Times New Roman"/>
          <w:color w:val="000000"/>
        </w:rPr>
        <w:t xml:space="preserve">’un </w:t>
      </w:r>
      <w:r>
        <w:rPr>
          <w:rFonts w:ascii="Times New Roman" w:hAnsi="Times New Roman" w:cs="Times New Roman"/>
          <w:color w:val="000000"/>
        </w:rPr>
        <w:t>ménage</w:t>
      </w:r>
      <w:r w:rsidR="00441375">
        <w:rPr>
          <w:rFonts w:ascii="Times New Roman" w:hAnsi="Times New Roman" w:cs="Times New Roman"/>
          <w:color w:val="000000"/>
        </w:rPr>
        <w:t xml:space="preserve"> sur cinq </w:t>
      </w:r>
      <w:r>
        <w:rPr>
          <w:rFonts w:ascii="Times New Roman" w:hAnsi="Times New Roman" w:cs="Times New Roman"/>
          <w:color w:val="000000"/>
        </w:rPr>
        <w:t>(</w:t>
      </w:r>
      <w:r w:rsidR="00441375">
        <w:rPr>
          <w:rFonts w:ascii="Times New Roman" w:hAnsi="Times New Roman" w:cs="Times New Roman"/>
          <w:color w:val="000000"/>
        </w:rPr>
        <w:t xml:space="preserve">21,3%) </w:t>
      </w:r>
      <w:r w:rsidR="00E265E4" w:rsidRPr="00DB06E9">
        <w:rPr>
          <w:rFonts w:ascii="Times New Roman" w:hAnsi="Times New Roman" w:cs="Times New Roman"/>
          <w:color w:val="000000"/>
        </w:rPr>
        <w:t>considèrent</w:t>
      </w:r>
      <w:r>
        <w:rPr>
          <w:rFonts w:ascii="Times New Roman" w:hAnsi="Times New Roman" w:cs="Times New Roman"/>
          <w:color w:val="000000"/>
        </w:rPr>
        <w:t>,</w:t>
      </w:r>
      <w:r w:rsidR="00E265E4" w:rsidRPr="00DB06E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 w:rsidRPr="00DB06E9">
        <w:rPr>
          <w:rFonts w:ascii="Times New Roman" w:hAnsi="Times New Roman" w:cs="Times New Roman"/>
          <w:color w:val="000000"/>
        </w:rPr>
        <w:t xml:space="preserve">u </w:t>
      </w:r>
      <w:r w:rsidR="008A4DF1">
        <w:rPr>
          <w:rFonts w:ascii="Times New Roman" w:hAnsi="Times New Roman" w:cs="Times New Roman"/>
          <w:color w:val="000000"/>
        </w:rPr>
        <w:t>quatrième</w:t>
      </w:r>
      <w:r>
        <w:rPr>
          <w:rFonts w:ascii="Times New Roman" w:hAnsi="Times New Roman" w:cs="Times New Roman"/>
          <w:color w:val="000000"/>
        </w:rPr>
        <w:t xml:space="preserve"> </w:t>
      </w:r>
      <w:r w:rsidRPr="00DB06E9">
        <w:rPr>
          <w:rFonts w:ascii="Times New Roman" w:hAnsi="Times New Roman" w:cs="Times New Roman"/>
          <w:color w:val="000000"/>
        </w:rPr>
        <w:t>trimestre de 201</w:t>
      </w:r>
      <w:r>
        <w:rPr>
          <w:rFonts w:ascii="Times New Roman" w:hAnsi="Times New Roman" w:cs="Times New Roman"/>
          <w:color w:val="000000"/>
        </w:rPr>
        <w:t>2</w:t>
      </w:r>
      <w:r w:rsidRPr="00DB06E9">
        <w:rPr>
          <w:rFonts w:ascii="Times New Roman" w:hAnsi="Times New Roman" w:cs="Times New Roman"/>
          <w:color w:val="000000"/>
        </w:rPr>
        <w:t xml:space="preserve">, </w:t>
      </w:r>
      <w:r w:rsidR="0019435A" w:rsidRPr="00DB06E9">
        <w:rPr>
          <w:rFonts w:ascii="Times New Roman" w:hAnsi="Times New Roman" w:cs="Times New Roman"/>
          <w:color w:val="000000"/>
        </w:rPr>
        <w:t xml:space="preserve">le moment </w:t>
      </w:r>
      <w:r w:rsidR="00E9062C" w:rsidRPr="00DB06E9">
        <w:rPr>
          <w:rFonts w:ascii="Times New Roman" w:hAnsi="Times New Roman" w:cs="Times New Roman"/>
          <w:color w:val="000000"/>
        </w:rPr>
        <w:t xml:space="preserve">opportun </w:t>
      </w:r>
      <w:r w:rsidR="00A7325E" w:rsidRPr="00DB06E9">
        <w:rPr>
          <w:rFonts w:ascii="Times New Roman" w:hAnsi="Times New Roman" w:cs="Times New Roman"/>
          <w:color w:val="000000"/>
        </w:rPr>
        <w:t>pour</w:t>
      </w:r>
      <w:r w:rsidR="00E9062C" w:rsidRPr="00DB06E9">
        <w:rPr>
          <w:rFonts w:ascii="Times New Roman" w:hAnsi="Times New Roman" w:cs="Times New Roman"/>
          <w:color w:val="000000"/>
        </w:rPr>
        <w:t xml:space="preserve"> faire des achats </w:t>
      </w:r>
      <w:r w:rsidR="0019435A" w:rsidRPr="00DB06E9">
        <w:rPr>
          <w:rFonts w:ascii="Times New Roman" w:hAnsi="Times New Roman" w:cs="Times New Roman"/>
          <w:color w:val="000000"/>
        </w:rPr>
        <w:t>de biens durables</w:t>
      </w:r>
      <w:r w:rsidR="00097300">
        <w:rPr>
          <w:rFonts w:ascii="Times New Roman" w:hAnsi="Times New Roman" w:cs="Times New Roman"/>
          <w:color w:val="000000"/>
        </w:rPr>
        <w:t xml:space="preserve"> </w:t>
      </w:r>
      <w:r w:rsidR="0025205F">
        <w:rPr>
          <w:rFonts w:ascii="Times New Roman" w:hAnsi="Times New Roman" w:cs="Times New Roman"/>
          <w:color w:val="000000"/>
        </w:rPr>
        <w:t>contre un ménage sur deux (</w:t>
      </w:r>
      <w:r w:rsidR="00441375" w:rsidRPr="000D24FA">
        <w:rPr>
          <w:rFonts w:ascii="Times New Roman" w:hAnsi="Times New Roman" w:cs="Times New Roman"/>
          <w:color w:val="000000"/>
        </w:rPr>
        <w:t>5</w:t>
      </w:r>
      <w:r w:rsidR="00441375">
        <w:rPr>
          <w:rFonts w:ascii="Times New Roman" w:hAnsi="Times New Roman" w:cs="Times New Roman"/>
          <w:color w:val="000000"/>
        </w:rPr>
        <w:t>0</w:t>
      </w:r>
      <w:r w:rsidR="00441375" w:rsidRPr="000D24FA">
        <w:rPr>
          <w:rFonts w:ascii="Times New Roman" w:hAnsi="Times New Roman" w:cs="Times New Roman"/>
          <w:color w:val="000000"/>
        </w:rPr>
        <w:t>,</w:t>
      </w:r>
      <w:r w:rsidR="00441375">
        <w:rPr>
          <w:rFonts w:ascii="Times New Roman" w:hAnsi="Times New Roman" w:cs="Times New Roman"/>
          <w:color w:val="000000"/>
        </w:rPr>
        <w:t>6</w:t>
      </w:r>
      <w:r w:rsidR="007D0511" w:rsidRPr="000D24FA">
        <w:rPr>
          <w:rFonts w:ascii="Times New Roman" w:hAnsi="Times New Roman" w:cs="Times New Roman"/>
          <w:color w:val="000000"/>
        </w:rPr>
        <w:t>%</w:t>
      </w:r>
      <w:r w:rsidR="007D0511">
        <w:rPr>
          <w:rFonts w:ascii="Times New Roman" w:hAnsi="Times New Roman" w:cs="Times New Roman"/>
          <w:color w:val="000000"/>
        </w:rPr>
        <w:t>)</w:t>
      </w:r>
      <w:r w:rsidR="0025205F">
        <w:rPr>
          <w:rFonts w:ascii="Times New Roman" w:hAnsi="Times New Roman" w:cs="Times New Roman"/>
          <w:color w:val="000000"/>
        </w:rPr>
        <w:t xml:space="preserve"> qui</w:t>
      </w:r>
      <w:r w:rsidR="00441375">
        <w:rPr>
          <w:rFonts w:ascii="Times New Roman" w:hAnsi="Times New Roman" w:cs="Times New Roman"/>
          <w:color w:val="000000"/>
        </w:rPr>
        <w:t xml:space="preserve"> </w:t>
      </w:r>
      <w:r w:rsidR="00097300">
        <w:rPr>
          <w:rFonts w:ascii="Times New Roman" w:hAnsi="Times New Roman" w:cs="Times New Roman"/>
          <w:color w:val="000000"/>
        </w:rPr>
        <w:t>pens</w:t>
      </w:r>
      <w:r w:rsidR="00381490">
        <w:rPr>
          <w:rFonts w:ascii="Times New Roman" w:hAnsi="Times New Roman" w:cs="Times New Roman"/>
          <w:color w:val="000000"/>
        </w:rPr>
        <w:t>ent le contraire</w:t>
      </w:r>
      <w:r w:rsidR="00C334F9">
        <w:rPr>
          <w:rFonts w:ascii="Times New Roman" w:hAnsi="Times New Roman" w:cs="Times New Roman"/>
          <w:color w:val="000000"/>
        </w:rPr>
        <w:t xml:space="preserve">. </w:t>
      </w:r>
      <w:r w:rsidR="00C5608F">
        <w:rPr>
          <w:rFonts w:ascii="Times New Roman" w:hAnsi="Times New Roman" w:cs="Times New Roman"/>
          <w:color w:val="000000"/>
        </w:rPr>
        <w:t>Cet indicateur enregistre ainsi un</w:t>
      </w:r>
      <w:r w:rsidR="00381490">
        <w:rPr>
          <w:rFonts w:ascii="Times New Roman" w:hAnsi="Times New Roman" w:cs="Times New Roman"/>
          <w:color w:val="000000"/>
        </w:rPr>
        <w:t xml:space="preserve"> solde </w:t>
      </w:r>
      <w:r w:rsidR="00C5608F">
        <w:rPr>
          <w:rFonts w:ascii="Times New Roman" w:hAnsi="Times New Roman" w:cs="Times New Roman"/>
          <w:color w:val="000000"/>
        </w:rPr>
        <w:t xml:space="preserve">négatif de </w:t>
      </w:r>
      <w:r w:rsidR="00381490">
        <w:rPr>
          <w:rFonts w:ascii="Times New Roman" w:hAnsi="Times New Roman" w:cs="Times New Roman"/>
          <w:color w:val="000000"/>
        </w:rPr>
        <w:t>-</w:t>
      </w:r>
      <w:r w:rsidR="003C4254">
        <w:rPr>
          <w:rFonts w:ascii="Times New Roman" w:hAnsi="Times New Roman" w:cs="Times New Roman"/>
          <w:color w:val="000000"/>
        </w:rPr>
        <w:t>29</w:t>
      </w:r>
      <w:r w:rsidR="00381490">
        <w:rPr>
          <w:rFonts w:ascii="Times New Roman" w:hAnsi="Times New Roman" w:cs="Times New Roman"/>
          <w:color w:val="000000"/>
        </w:rPr>
        <w:t>,</w:t>
      </w:r>
      <w:r w:rsidR="00CB2C1A">
        <w:rPr>
          <w:rFonts w:ascii="Times New Roman" w:hAnsi="Times New Roman" w:cs="Times New Roman"/>
          <w:color w:val="000000"/>
        </w:rPr>
        <w:t>3</w:t>
      </w:r>
      <w:r w:rsidR="001438AB">
        <w:rPr>
          <w:rFonts w:ascii="Times New Roman" w:hAnsi="Times New Roman" w:cs="Times New Roman"/>
          <w:color w:val="000000"/>
        </w:rPr>
        <w:t xml:space="preserve"> points</w:t>
      </w:r>
      <w:r w:rsidR="003C4254">
        <w:rPr>
          <w:rFonts w:ascii="Times New Roman" w:hAnsi="Times New Roman" w:cs="Times New Roman"/>
          <w:color w:val="000000"/>
        </w:rPr>
        <w:t xml:space="preserve"> en</w:t>
      </w:r>
      <w:r w:rsidR="00705867">
        <w:rPr>
          <w:rFonts w:ascii="Times New Roman" w:hAnsi="Times New Roman" w:cs="Times New Roman"/>
          <w:color w:val="000000"/>
        </w:rPr>
        <w:t xml:space="preserve"> </w:t>
      </w:r>
      <w:r w:rsidR="00D454E7">
        <w:rPr>
          <w:rFonts w:ascii="Times New Roman" w:hAnsi="Times New Roman" w:cs="Times New Roman"/>
          <w:color w:val="000000"/>
        </w:rPr>
        <w:t xml:space="preserve">amélioration </w:t>
      </w:r>
      <w:r w:rsidR="00705867">
        <w:rPr>
          <w:rFonts w:ascii="Times New Roman" w:hAnsi="Times New Roman" w:cs="Times New Roman"/>
          <w:color w:val="000000"/>
        </w:rPr>
        <w:t xml:space="preserve">de </w:t>
      </w:r>
      <w:r w:rsidR="00CB2C1A">
        <w:rPr>
          <w:rFonts w:ascii="Times New Roman" w:hAnsi="Times New Roman" w:cs="Times New Roman"/>
          <w:color w:val="000000"/>
        </w:rPr>
        <w:t>0,2</w:t>
      </w:r>
      <w:r w:rsidR="00705867" w:rsidRPr="00DB06E9">
        <w:rPr>
          <w:rFonts w:ascii="Times New Roman" w:hAnsi="Times New Roman" w:cs="Times New Roman"/>
          <w:color w:val="000000"/>
        </w:rPr>
        <w:t xml:space="preserve"> point</w:t>
      </w:r>
      <w:r w:rsidR="00705867">
        <w:rPr>
          <w:rFonts w:ascii="Times New Roman" w:hAnsi="Times New Roman" w:cs="Times New Roman"/>
          <w:color w:val="000000"/>
        </w:rPr>
        <w:t xml:space="preserve"> </w:t>
      </w:r>
      <w:r w:rsidR="003C4254">
        <w:rPr>
          <w:rFonts w:ascii="Times New Roman" w:hAnsi="Times New Roman" w:cs="Times New Roman"/>
          <w:color w:val="000000"/>
        </w:rPr>
        <w:t xml:space="preserve">par rapport </w:t>
      </w:r>
      <w:r w:rsidR="003C4254" w:rsidRPr="00DB06E9">
        <w:rPr>
          <w:rFonts w:ascii="Times New Roman" w:hAnsi="Times New Roman" w:cs="Times New Roman"/>
          <w:color w:val="000000"/>
        </w:rPr>
        <w:t xml:space="preserve">au trimestre précédent </w:t>
      </w:r>
      <w:r w:rsidR="00705867">
        <w:rPr>
          <w:rFonts w:ascii="Times New Roman" w:hAnsi="Times New Roman" w:cs="Times New Roman"/>
          <w:color w:val="000000"/>
        </w:rPr>
        <w:t xml:space="preserve">et de </w:t>
      </w:r>
      <w:r w:rsidR="00CB2C1A">
        <w:rPr>
          <w:rFonts w:ascii="Times New Roman" w:hAnsi="Times New Roman" w:cs="Times New Roman"/>
          <w:color w:val="000000"/>
        </w:rPr>
        <w:t>9,2</w:t>
      </w:r>
      <w:r w:rsidR="00705867">
        <w:rPr>
          <w:rFonts w:ascii="Times New Roman" w:hAnsi="Times New Roman" w:cs="Times New Roman"/>
          <w:color w:val="000000"/>
        </w:rPr>
        <w:t xml:space="preserve"> </w:t>
      </w:r>
      <w:r w:rsidR="00705867" w:rsidRPr="00DB06E9">
        <w:rPr>
          <w:rFonts w:ascii="Times New Roman" w:hAnsi="Times New Roman" w:cs="Times New Roman"/>
          <w:color w:val="000000"/>
        </w:rPr>
        <w:t xml:space="preserve"> </w:t>
      </w:r>
      <w:r w:rsidR="00705867">
        <w:rPr>
          <w:rFonts w:ascii="Times New Roman" w:hAnsi="Times New Roman" w:cs="Times New Roman"/>
          <w:color w:val="000000"/>
        </w:rPr>
        <w:t>points</w:t>
      </w:r>
      <w:r w:rsidR="003C4254">
        <w:rPr>
          <w:rFonts w:ascii="Times New Roman" w:hAnsi="Times New Roman" w:cs="Times New Roman"/>
          <w:color w:val="000000"/>
        </w:rPr>
        <w:t xml:space="preserve"> </w:t>
      </w:r>
      <w:r w:rsidR="00586FA1" w:rsidRPr="00DB06E9">
        <w:rPr>
          <w:rFonts w:ascii="Times New Roman" w:hAnsi="Times New Roman" w:cs="Times New Roman"/>
          <w:color w:val="000000"/>
        </w:rPr>
        <w:t xml:space="preserve"> par rapport </w:t>
      </w:r>
      <w:r w:rsidR="003C4254">
        <w:rPr>
          <w:rFonts w:ascii="Times New Roman" w:hAnsi="Times New Roman" w:cs="Times New Roman"/>
          <w:color w:val="000000"/>
        </w:rPr>
        <w:t xml:space="preserve">à la même période </w:t>
      </w:r>
      <w:r w:rsidR="003C4254" w:rsidRPr="00DB06E9">
        <w:rPr>
          <w:rFonts w:ascii="Times New Roman" w:hAnsi="Times New Roman" w:cs="Times New Roman"/>
          <w:color w:val="000000"/>
        </w:rPr>
        <w:t xml:space="preserve">de </w:t>
      </w:r>
      <w:r w:rsidR="003C4254">
        <w:rPr>
          <w:rFonts w:ascii="Times New Roman" w:hAnsi="Times New Roman" w:cs="Times New Roman"/>
          <w:color w:val="000000"/>
        </w:rPr>
        <w:t>2011.</w:t>
      </w:r>
      <w:r w:rsidR="00586FA1">
        <w:rPr>
          <w:rFonts w:ascii="Times New Roman" w:hAnsi="Times New Roman" w:cs="Times New Roman"/>
          <w:color w:val="000000"/>
        </w:rPr>
        <w:t xml:space="preserve"> </w:t>
      </w:r>
      <w:r w:rsidR="003B2D07">
        <w:rPr>
          <w:rFonts w:ascii="Times New Roman" w:hAnsi="Times New Roman" w:cs="Times New Roman"/>
          <w:color w:val="000000"/>
        </w:rPr>
        <w:t>Ce</w:t>
      </w:r>
      <w:r w:rsidR="002C0BC4">
        <w:rPr>
          <w:rFonts w:ascii="Times New Roman" w:hAnsi="Times New Roman" w:cs="Times New Roman"/>
          <w:color w:val="000000"/>
        </w:rPr>
        <w:t xml:space="preserve"> solde </w:t>
      </w:r>
      <w:r w:rsidR="00EF2581">
        <w:rPr>
          <w:rFonts w:ascii="Times New Roman" w:hAnsi="Times New Roman" w:cs="Times New Roman"/>
          <w:color w:val="000000"/>
        </w:rPr>
        <w:t xml:space="preserve">révèle l’opinion la </w:t>
      </w:r>
      <w:r w:rsidR="002C0BC4">
        <w:rPr>
          <w:rFonts w:ascii="Times New Roman" w:hAnsi="Times New Roman" w:cs="Times New Roman"/>
          <w:color w:val="000000"/>
        </w:rPr>
        <w:t>moins pessimis</w:t>
      </w:r>
      <w:r w:rsidR="003B2D07">
        <w:rPr>
          <w:rFonts w:ascii="Times New Roman" w:hAnsi="Times New Roman" w:cs="Times New Roman"/>
          <w:color w:val="000000"/>
        </w:rPr>
        <w:t>te depuis le début de l’enquête en 2008.</w:t>
      </w:r>
    </w:p>
    <w:p w:rsidR="001672BD" w:rsidRDefault="001672BD" w:rsidP="00547601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5C473B" w:rsidRDefault="00E41E05" w:rsidP="00547601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E41E05">
        <w:rPr>
          <w:rFonts w:ascii="Times New Roman" w:hAnsi="Times New Roman" w:cs="Times New Roman"/>
          <w:noProof/>
          <w:color w:val="000000"/>
        </w:rPr>
        <w:lastRenderedPageBreak/>
        <w:drawing>
          <wp:inline distT="0" distB="0" distL="0" distR="0">
            <wp:extent cx="5972810" cy="3238500"/>
            <wp:effectExtent l="19050" t="0" r="27940" b="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2E23" w:rsidRPr="00DB06E9" w:rsidRDefault="00562E23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41375" w:rsidRDefault="00441375" w:rsidP="00B82E10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41375" w:rsidRDefault="00441375" w:rsidP="00B82E10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22682" w:rsidRPr="00DB06E9" w:rsidRDefault="00222682" w:rsidP="00E84D01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B06E9">
        <w:rPr>
          <w:rFonts w:ascii="Times New Roman" w:hAnsi="Times New Roman" w:cs="Times New Roman"/>
          <w:b/>
          <w:bCs/>
          <w:color w:val="000000"/>
        </w:rPr>
        <w:t>•</w:t>
      </w:r>
      <w:r w:rsidR="008F01C0" w:rsidRPr="00DB06E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F01C0">
        <w:rPr>
          <w:rFonts w:ascii="Times New Roman" w:hAnsi="Times New Roman" w:cs="Times New Roman"/>
          <w:b/>
          <w:bCs/>
          <w:color w:val="000000"/>
        </w:rPr>
        <w:t>S</w:t>
      </w:r>
      <w:r w:rsidRPr="00DB06E9">
        <w:rPr>
          <w:rFonts w:ascii="Times New Roman" w:hAnsi="Times New Roman" w:cs="Times New Roman"/>
          <w:b/>
          <w:bCs/>
          <w:color w:val="000000"/>
        </w:rPr>
        <w:t>ituation financière</w:t>
      </w:r>
      <w:r w:rsidR="008F01C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84D01">
        <w:rPr>
          <w:rFonts w:ascii="Times New Roman" w:hAnsi="Times New Roman" w:cs="Times New Roman"/>
          <w:b/>
          <w:bCs/>
          <w:color w:val="000000"/>
        </w:rPr>
        <w:t>des ménages</w:t>
      </w:r>
      <w:r w:rsidR="008F01C0">
        <w:rPr>
          <w:rFonts w:ascii="Times New Roman" w:hAnsi="Times New Roman" w:cs="Times New Roman"/>
          <w:b/>
          <w:bCs/>
          <w:color w:val="000000"/>
        </w:rPr>
        <w:t>:</w:t>
      </w:r>
      <w:r w:rsidR="009E6C61">
        <w:rPr>
          <w:rFonts w:ascii="Times New Roman" w:hAnsi="Times New Roman" w:cs="Times New Roman"/>
          <w:b/>
          <w:bCs/>
          <w:color w:val="000000"/>
        </w:rPr>
        <w:t xml:space="preserve"> perception d’une</w:t>
      </w:r>
      <w:r w:rsidR="00B82E1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D59C5">
        <w:rPr>
          <w:rFonts w:ascii="Times New Roman" w:hAnsi="Times New Roman" w:cs="Times New Roman"/>
          <w:b/>
          <w:bCs/>
          <w:color w:val="000000"/>
        </w:rPr>
        <w:t>légère amélioration</w:t>
      </w:r>
    </w:p>
    <w:p w:rsidR="00195D2E" w:rsidRDefault="00195D2E" w:rsidP="00F54270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Au </w:t>
      </w:r>
      <w:r w:rsidR="008A4DF1">
        <w:rPr>
          <w:rFonts w:ascii="Times New Roman" w:hAnsi="Times New Roman" w:cs="Times New Roman"/>
          <w:color w:val="000000"/>
        </w:rPr>
        <w:t>quatrième</w:t>
      </w:r>
      <w:r>
        <w:rPr>
          <w:rFonts w:ascii="Times New Roman" w:hAnsi="Times New Roman" w:cs="Times New Roman"/>
          <w:color w:val="000000"/>
        </w:rPr>
        <w:t xml:space="preserve"> trimestre de 2012,</w:t>
      </w:r>
      <w:r w:rsidR="00B3617A">
        <w:rPr>
          <w:rFonts w:ascii="Times New Roman" w:hAnsi="Times New Roman" w:cs="Times New Roman"/>
          <w:color w:val="000000"/>
        </w:rPr>
        <w:t xml:space="preserve"> l</w:t>
      </w:r>
      <w:r w:rsidR="00536CD5">
        <w:rPr>
          <w:rFonts w:ascii="Times New Roman" w:hAnsi="Times New Roman" w:cs="Times New Roman"/>
          <w:color w:val="000000"/>
        </w:rPr>
        <w:t xml:space="preserve">a perception </w:t>
      </w:r>
      <w:r w:rsidR="00B3617A">
        <w:rPr>
          <w:rFonts w:ascii="Times New Roman" w:hAnsi="Times New Roman" w:cs="Times New Roman"/>
          <w:color w:val="000000"/>
        </w:rPr>
        <w:t xml:space="preserve">des ménages </w:t>
      </w:r>
      <w:r w:rsidR="00F54270">
        <w:rPr>
          <w:rFonts w:ascii="Times New Roman" w:hAnsi="Times New Roman" w:cs="Times New Roman"/>
          <w:color w:val="000000"/>
        </w:rPr>
        <w:t>de</w:t>
      </w:r>
      <w:r w:rsidR="00B3617A">
        <w:rPr>
          <w:rFonts w:ascii="Times New Roman" w:hAnsi="Times New Roman" w:cs="Times New Roman"/>
          <w:color w:val="000000"/>
        </w:rPr>
        <w:t xml:space="preserve"> leur situation</w:t>
      </w:r>
      <w:r>
        <w:rPr>
          <w:rFonts w:ascii="Times New Roman" w:hAnsi="Times New Roman" w:cs="Times New Roman"/>
          <w:color w:val="000000"/>
        </w:rPr>
        <w:t xml:space="preserve"> financière actuelle</w:t>
      </w:r>
      <w:r w:rsidR="00057262">
        <w:rPr>
          <w:rFonts w:ascii="Times New Roman" w:hAnsi="Times New Roman" w:cs="Times New Roman"/>
          <w:color w:val="000000"/>
        </w:rPr>
        <w:t xml:space="preserve"> et </w:t>
      </w:r>
      <w:r w:rsidR="00F54270">
        <w:rPr>
          <w:rFonts w:ascii="Times New Roman" w:hAnsi="Times New Roman" w:cs="Times New Roman"/>
          <w:color w:val="000000"/>
        </w:rPr>
        <w:t>de</w:t>
      </w:r>
      <w:r w:rsidR="00057262">
        <w:rPr>
          <w:rFonts w:ascii="Times New Roman" w:hAnsi="Times New Roman" w:cs="Times New Roman"/>
          <w:color w:val="000000"/>
        </w:rPr>
        <w:t xml:space="preserve"> </w:t>
      </w:r>
      <w:r w:rsidR="000779C2">
        <w:rPr>
          <w:rFonts w:ascii="Times New Roman" w:hAnsi="Times New Roman" w:cs="Times New Roman"/>
          <w:color w:val="000000"/>
        </w:rPr>
        <w:t>ses</w:t>
      </w:r>
      <w:r>
        <w:rPr>
          <w:rFonts w:ascii="Times New Roman" w:hAnsi="Times New Roman" w:cs="Times New Roman"/>
          <w:color w:val="000000"/>
        </w:rPr>
        <w:t xml:space="preserve"> évolution</w:t>
      </w:r>
      <w:r w:rsidR="000779C2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 passée </w:t>
      </w:r>
      <w:r w:rsidR="00057262">
        <w:rPr>
          <w:rFonts w:ascii="Times New Roman" w:hAnsi="Times New Roman" w:cs="Times New Roman"/>
          <w:color w:val="000000"/>
        </w:rPr>
        <w:t>et</w:t>
      </w:r>
      <w:r>
        <w:rPr>
          <w:rFonts w:ascii="Times New Roman" w:hAnsi="Times New Roman" w:cs="Times New Roman"/>
          <w:color w:val="000000"/>
        </w:rPr>
        <w:t xml:space="preserve"> future </w:t>
      </w:r>
      <w:r w:rsidR="00536CD5">
        <w:rPr>
          <w:rFonts w:ascii="Times New Roman" w:hAnsi="Times New Roman" w:cs="Times New Roman"/>
          <w:color w:val="000000"/>
        </w:rPr>
        <w:t>connaît une légère amélioration</w:t>
      </w:r>
      <w:r w:rsidR="009D59C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par rapport au trimestre précédent </w:t>
      </w:r>
      <w:r w:rsidR="008E6F7E">
        <w:rPr>
          <w:rFonts w:ascii="Times New Roman" w:hAnsi="Times New Roman" w:cs="Times New Roman"/>
          <w:color w:val="000000"/>
        </w:rPr>
        <w:t xml:space="preserve">mais enregistre une tendance inverse </w:t>
      </w:r>
      <w:r>
        <w:rPr>
          <w:rFonts w:ascii="Times New Roman" w:hAnsi="Times New Roman" w:cs="Times New Roman"/>
          <w:color w:val="000000"/>
        </w:rPr>
        <w:t xml:space="preserve"> </w:t>
      </w:r>
      <w:r w:rsidR="00335AA7">
        <w:rPr>
          <w:rFonts w:ascii="Times New Roman" w:hAnsi="Times New Roman" w:cs="Times New Roman"/>
          <w:color w:val="000000"/>
        </w:rPr>
        <w:t xml:space="preserve">par rapport au </w:t>
      </w:r>
      <w:r>
        <w:rPr>
          <w:rFonts w:ascii="Times New Roman" w:hAnsi="Times New Roman" w:cs="Times New Roman"/>
          <w:color w:val="000000"/>
        </w:rPr>
        <w:t xml:space="preserve">même trimestre de </w:t>
      </w:r>
      <w:r w:rsidR="00881FD0">
        <w:rPr>
          <w:rFonts w:ascii="Times New Roman" w:hAnsi="Times New Roman" w:cs="Times New Roman"/>
          <w:color w:val="000000"/>
        </w:rPr>
        <w:t>2011</w:t>
      </w:r>
      <w:r>
        <w:rPr>
          <w:rFonts w:ascii="Times New Roman" w:hAnsi="Times New Roman" w:cs="Times New Roman"/>
          <w:color w:val="000000"/>
        </w:rPr>
        <w:t>.</w:t>
      </w:r>
    </w:p>
    <w:p w:rsidR="004D3202" w:rsidRDefault="000D784D" w:rsidP="002F2C37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Pour</w:t>
      </w:r>
      <w:r w:rsidR="004D3202">
        <w:rPr>
          <w:rFonts w:ascii="Times New Roman" w:hAnsi="Times New Roman" w:cs="Times New Roman"/>
          <w:color w:val="000000"/>
        </w:rPr>
        <w:t xml:space="preserve"> 5</w:t>
      </w:r>
      <w:r w:rsidR="00570BDD">
        <w:rPr>
          <w:rFonts w:ascii="Times New Roman" w:hAnsi="Times New Roman" w:cs="Times New Roman"/>
          <w:color w:val="000000"/>
        </w:rPr>
        <w:t>8</w:t>
      </w:r>
      <w:r w:rsidR="004D3202">
        <w:rPr>
          <w:rFonts w:ascii="Times New Roman" w:hAnsi="Times New Roman" w:cs="Times New Roman"/>
          <w:color w:val="000000"/>
        </w:rPr>
        <w:t>,</w:t>
      </w:r>
      <w:r w:rsidR="00570BDD">
        <w:rPr>
          <w:rFonts w:ascii="Times New Roman" w:hAnsi="Times New Roman" w:cs="Times New Roman"/>
          <w:color w:val="000000"/>
        </w:rPr>
        <w:t>5</w:t>
      </w:r>
      <w:r w:rsidR="004D3202">
        <w:rPr>
          <w:rFonts w:ascii="Times New Roman" w:hAnsi="Times New Roman" w:cs="Times New Roman"/>
          <w:color w:val="000000"/>
        </w:rPr>
        <w:t xml:space="preserve">% </w:t>
      </w:r>
      <w:r w:rsidR="00490E21">
        <w:rPr>
          <w:rFonts w:ascii="Times New Roman" w:hAnsi="Times New Roman" w:cs="Times New Roman"/>
          <w:color w:val="000000"/>
        </w:rPr>
        <w:t>des ménages</w:t>
      </w:r>
      <w:r>
        <w:rPr>
          <w:rFonts w:ascii="Times New Roman" w:hAnsi="Times New Roman" w:cs="Times New Roman"/>
          <w:color w:val="000000"/>
        </w:rPr>
        <w:t>, leurs revenus couvre</w:t>
      </w:r>
      <w:r w:rsidR="00207DF3">
        <w:rPr>
          <w:rFonts w:ascii="Times New Roman" w:hAnsi="Times New Roman" w:cs="Times New Roman"/>
          <w:color w:val="000000"/>
        </w:rPr>
        <w:t>nt</w:t>
      </w:r>
      <w:r>
        <w:rPr>
          <w:rFonts w:ascii="Times New Roman" w:hAnsi="Times New Roman" w:cs="Times New Roman"/>
          <w:color w:val="000000"/>
        </w:rPr>
        <w:t xml:space="preserve"> leurs dép</w:t>
      </w:r>
      <w:r w:rsidR="000D24FA">
        <w:rPr>
          <w:rFonts w:ascii="Times New Roman" w:hAnsi="Times New Roman" w:cs="Times New Roman"/>
          <w:color w:val="000000"/>
        </w:rPr>
        <w:t>enses</w:t>
      </w:r>
      <w:r w:rsidR="004D3202">
        <w:rPr>
          <w:rFonts w:ascii="Times New Roman" w:hAnsi="Times New Roman" w:cs="Times New Roman"/>
          <w:color w:val="000000"/>
        </w:rPr>
        <w:t xml:space="preserve">, </w:t>
      </w:r>
      <w:r w:rsidR="00207DF3">
        <w:rPr>
          <w:rFonts w:ascii="Times New Roman" w:hAnsi="Times New Roman" w:cs="Times New Roman"/>
          <w:color w:val="000000"/>
        </w:rPr>
        <w:t xml:space="preserve">alors que </w:t>
      </w:r>
      <w:r w:rsidR="00570BDD">
        <w:rPr>
          <w:rFonts w:ascii="Times New Roman" w:hAnsi="Times New Roman" w:cs="Times New Roman"/>
          <w:color w:val="000000"/>
        </w:rPr>
        <w:t>35</w:t>
      </w:r>
      <w:r w:rsidR="004D3202">
        <w:rPr>
          <w:rFonts w:ascii="Times New Roman" w:hAnsi="Times New Roman" w:cs="Times New Roman"/>
          <w:color w:val="000000"/>
        </w:rPr>
        <w:t>,</w:t>
      </w:r>
      <w:r w:rsidR="00570BDD">
        <w:rPr>
          <w:rFonts w:ascii="Times New Roman" w:hAnsi="Times New Roman" w:cs="Times New Roman"/>
          <w:color w:val="000000"/>
        </w:rPr>
        <w:t>5</w:t>
      </w:r>
      <w:r w:rsidR="004D3202">
        <w:rPr>
          <w:rFonts w:ascii="Times New Roman" w:hAnsi="Times New Roman" w:cs="Times New Roman"/>
          <w:color w:val="000000"/>
        </w:rPr>
        <w:t xml:space="preserve">% </w:t>
      </w:r>
      <w:r w:rsidR="00207DF3">
        <w:rPr>
          <w:rFonts w:ascii="Times New Roman" w:hAnsi="Times New Roman" w:cs="Times New Roman"/>
          <w:color w:val="000000"/>
        </w:rPr>
        <w:t>d’entre eux s’endettent</w:t>
      </w:r>
      <w:r w:rsidR="004D3202">
        <w:rPr>
          <w:rFonts w:ascii="Times New Roman" w:hAnsi="Times New Roman" w:cs="Times New Roman"/>
          <w:color w:val="000000"/>
        </w:rPr>
        <w:t xml:space="preserve"> </w:t>
      </w:r>
      <w:r w:rsidR="000D24FA">
        <w:rPr>
          <w:rFonts w:ascii="Times New Roman" w:hAnsi="Times New Roman" w:cs="Times New Roman"/>
          <w:color w:val="000000"/>
        </w:rPr>
        <w:t>ou puise</w:t>
      </w:r>
      <w:r w:rsidR="00207DF3">
        <w:rPr>
          <w:rFonts w:ascii="Times New Roman" w:hAnsi="Times New Roman" w:cs="Times New Roman"/>
          <w:color w:val="000000"/>
        </w:rPr>
        <w:t xml:space="preserve">nt pour </w:t>
      </w:r>
      <w:r w:rsidR="002F2C37">
        <w:rPr>
          <w:rFonts w:ascii="Times New Roman" w:hAnsi="Times New Roman" w:cs="Times New Roman"/>
          <w:color w:val="000000"/>
        </w:rPr>
        <w:t>cela</w:t>
      </w:r>
      <w:r w:rsidR="000D24FA">
        <w:rPr>
          <w:rFonts w:ascii="Times New Roman" w:hAnsi="Times New Roman" w:cs="Times New Roman"/>
          <w:color w:val="000000"/>
        </w:rPr>
        <w:t xml:space="preserve"> dans leur</w:t>
      </w:r>
      <w:r w:rsidR="002F2C37">
        <w:rPr>
          <w:rFonts w:ascii="Times New Roman" w:hAnsi="Times New Roman" w:cs="Times New Roman"/>
          <w:color w:val="000000"/>
        </w:rPr>
        <w:t>s</w:t>
      </w:r>
      <w:r w:rsidR="000D24FA">
        <w:rPr>
          <w:rFonts w:ascii="Times New Roman" w:hAnsi="Times New Roman" w:cs="Times New Roman"/>
          <w:color w:val="000000"/>
        </w:rPr>
        <w:t xml:space="preserve"> épargne</w:t>
      </w:r>
      <w:r w:rsidR="002F2C37">
        <w:rPr>
          <w:rFonts w:ascii="Times New Roman" w:hAnsi="Times New Roman" w:cs="Times New Roman"/>
          <w:color w:val="000000"/>
        </w:rPr>
        <w:t>s. S</w:t>
      </w:r>
      <w:r w:rsidR="004D3202">
        <w:rPr>
          <w:rFonts w:ascii="Times New Roman" w:hAnsi="Times New Roman" w:cs="Times New Roman"/>
          <w:color w:val="000000"/>
        </w:rPr>
        <w:t xml:space="preserve">euls </w:t>
      </w:r>
      <w:r w:rsidR="00DF0119">
        <w:rPr>
          <w:rFonts w:ascii="Times New Roman" w:hAnsi="Times New Roman" w:cs="Times New Roman"/>
          <w:color w:val="000000"/>
        </w:rPr>
        <w:t>6</w:t>
      </w:r>
      <w:r w:rsidR="004D3202">
        <w:rPr>
          <w:rFonts w:ascii="Times New Roman" w:hAnsi="Times New Roman" w:cs="Times New Roman"/>
          <w:color w:val="000000"/>
        </w:rPr>
        <w:t>,</w:t>
      </w:r>
      <w:r w:rsidR="00570BDD">
        <w:rPr>
          <w:rFonts w:ascii="Times New Roman" w:hAnsi="Times New Roman" w:cs="Times New Roman"/>
          <w:color w:val="000000"/>
        </w:rPr>
        <w:t>1</w:t>
      </w:r>
      <w:r w:rsidR="004D3202">
        <w:rPr>
          <w:rFonts w:ascii="Times New Roman" w:hAnsi="Times New Roman" w:cs="Times New Roman"/>
          <w:color w:val="000000"/>
        </w:rPr>
        <w:t>%</w:t>
      </w:r>
      <w:r w:rsidR="002F2C37">
        <w:rPr>
          <w:rFonts w:ascii="Times New Roman" w:hAnsi="Times New Roman" w:cs="Times New Roman"/>
          <w:color w:val="000000"/>
        </w:rPr>
        <w:t xml:space="preserve"> des ménages </w:t>
      </w:r>
      <w:r w:rsidR="004D3202">
        <w:rPr>
          <w:rFonts w:ascii="Times New Roman" w:hAnsi="Times New Roman" w:cs="Times New Roman"/>
          <w:color w:val="000000"/>
        </w:rPr>
        <w:t xml:space="preserve">déclarent </w:t>
      </w:r>
      <w:r w:rsidR="00705867">
        <w:rPr>
          <w:rFonts w:ascii="Times New Roman" w:hAnsi="Times New Roman" w:cs="Times New Roman"/>
          <w:color w:val="000000"/>
        </w:rPr>
        <w:t xml:space="preserve">pouvoir </w:t>
      </w:r>
      <w:r w:rsidR="004D3202">
        <w:rPr>
          <w:rFonts w:ascii="Times New Roman" w:hAnsi="Times New Roman" w:cs="Times New Roman"/>
          <w:color w:val="000000"/>
        </w:rPr>
        <w:t>épargner</w:t>
      </w:r>
      <w:r w:rsidR="00705867">
        <w:rPr>
          <w:rFonts w:ascii="Times New Roman" w:hAnsi="Times New Roman" w:cs="Times New Roman"/>
          <w:color w:val="000000"/>
        </w:rPr>
        <w:t xml:space="preserve"> une partie de leur</w:t>
      </w:r>
      <w:r w:rsidR="002F2C37">
        <w:rPr>
          <w:rFonts w:ascii="Times New Roman" w:hAnsi="Times New Roman" w:cs="Times New Roman"/>
          <w:color w:val="000000"/>
        </w:rPr>
        <w:t>s</w:t>
      </w:r>
      <w:r w:rsidR="00705867">
        <w:rPr>
          <w:rFonts w:ascii="Times New Roman" w:hAnsi="Times New Roman" w:cs="Times New Roman"/>
          <w:color w:val="000000"/>
        </w:rPr>
        <w:t xml:space="preserve"> revenu</w:t>
      </w:r>
      <w:r w:rsidR="002F2C37">
        <w:rPr>
          <w:rFonts w:ascii="Times New Roman" w:hAnsi="Times New Roman" w:cs="Times New Roman"/>
          <w:color w:val="000000"/>
        </w:rPr>
        <w:t>s</w:t>
      </w:r>
      <w:r w:rsidR="004D3202">
        <w:rPr>
          <w:rFonts w:ascii="Times New Roman" w:hAnsi="Times New Roman" w:cs="Times New Roman"/>
          <w:color w:val="000000"/>
        </w:rPr>
        <w:t xml:space="preserve">. </w:t>
      </w:r>
      <w:r w:rsidR="002F2C37">
        <w:rPr>
          <w:rFonts w:ascii="Times New Roman" w:hAnsi="Times New Roman" w:cs="Times New Roman"/>
          <w:color w:val="000000"/>
        </w:rPr>
        <w:t xml:space="preserve">Demeurant négatif de </w:t>
      </w:r>
      <w:r w:rsidR="00857F10">
        <w:rPr>
          <w:rFonts w:ascii="Times New Roman" w:hAnsi="Times New Roman" w:cs="Times New Roman"/>
          <w:color w:val="000000"/>
        </w:rPr>
        <w:t>-</w:t>
      </w:r>
      <w:r w:rsidR="00570BDD">
        <w:rPr>
          <w:rFonts w:ascii="Times New Roman" w:hAnsi="Times New Roman" w:cs="Times New Roman"/>
          <w:color w:val="000000"/>
        </w:rPr>
        <w:t>29</w:t>
      </w:r>
      <w:r w:rsidR="00DF0119">
        <w:rPr>
          <w:rFonts w:ascii="Times New Roman" w:hAnsi="Times New Roman" w:cs="Times New Roman"/>
          <w:color w:val="000000"/>
        </w:rPr>
        <w:t>,</w:t>
      </w:r>
      <w:r w:rsidR="00570BDD">
        <w:rPr>
          <w:rFonts w:ascii="Times New Roman" w:hAnsi="Times New Roman" w:cs="Times New Roman"/>
          <w:color w:val="000000"/>
        </w:rPr>
        <w:t>4</w:t>
      </w:r>
      <w:r w:rsidR="004D3202">
        <w:rPr>
          <w:rFonts w:ascii="Times New Roman" w:hAnsi="Times New Roman" w:cs="Times New Roman"/>
          <w:color w:val="000000"/>
        </w:rPr>
        <w:t xml:space="preserve"> points, </w:t>
      </w:r>
      <w:r w:rsidR="002F2C37">
        <w:rPr>
          <w:rFonts w:ascii="Times New Roman" w:hAnsi="Times New Roman" w:cs="Times New Roman"/>
          <w:color w:val="000000"/>
        </w:rPr>
        <w:t xml:space="preserve">le solde de cet indicateur est en </w:t>
      </w:r>
      <w:r w:rsidR="006A0913">
        <w:rPr>
          <w:rFonts w:ascii="Times New Roman" w:hAnsi="Times New Roman" w:cs="Times New Roman"/>
          <w:color w:val="000000"/>
        </w:rPr>
        <w:t xml:space="preserve">baisse </w:t>
      </w:r>
      <w:r w:rsidR="004D3202">
        <w:rPr>
          <w:rFonts w:ascii="Times New Roman" w:hAnsi="Times New Roman" w:cs="Times New Roman"/>
          <w:color w:val="000000"/>
        </w:rPr>
        <w:t xml:space="preserve">de </w:t>
      </w:r>
      <w:r w:rsidR="00570BDD">
        <w:rPr>
          <w:rFonts w:ascii="Times New Roman" w:hAnsi="Times New Roman" w:cs="Times New Roman"/>
          <w:color w:val="000000"/>
        </w:rPr>
        <w:t>3,</w:t>
      </w:r>
      <w:r w:rsidR="001D0C73" w:rsidRPr="00ED3373">
        <w:rPr>
          <w:rFonts w:ascii="Times New Roman" w:hAnsi="Times New Roman" w:cs="Times New Roman"/>
          <w:color w:val="000000"/>
        </w:rPr>
        <w:t>7</w:t>
      </w:r>
      <w:r w:rsidR="004D3202">
        <w:rPr>
          <w:rFonts w:ascii="Times New Roman" w:hAnsi="Times New Roman" w:cs="Times New Roman"/>
          <w:color w:val="000000"/>
        </w:rPr>
        <w:t xml:space="preserve"> points par ra</w:t>
      </w:r>
      <w:r w:rsidR="00C35BF2">
        <w:rPr>
          <w:rFonts w:ascii="Times New Roman" w:hAnsi="Times New Roman" w:cs="Times New Roman"/>
          <w:color w:val="000000"/>
        </w:rPr>
        <w:t>pport au même trimestre de 2011</w:t>
      </w:r>
      <w:r w:rsidR="00705867" w:rsidRPr="00705867">
        <w:rPr>
          <w:rFonts w:ascii="Times New Roman" w:hAnsi="Times New Roman" w:cs="Times New Roman"/>
          <w:color w:val="000000"/>
        </w:rPr>
        <w:t xml:space="preserve"> </w:t>
      </w:r>
      <w:r w:rsidR="00C35BF2">
        <w:rPr>
          <w:rFonts w:ascii="Times New Roman" w:hAnsi="Times New Roman" w:cs="Times New Roman"/>
          <w:color w:val="000000"/>
        </w:rPr>
        <w:t>e</w:t>
      </w:r>
      <w:r w:rsidR="00705867">
        <w:rPr>
          <w:rFonts w:ascii="Times New Roman" w:hAnsi="Times New Roman" w:cs="Times New Roman"/>
          <w:color w:val="000000"/>
        </w:rPr>
        <w:t>t</w:t>
      </w:r>
      <w:r w:rsidR="002B2EC5">
        <w:rPr>
          <w:rFonts w:ascii="Times New Roman" w:hAnsi="Times New Roman" w:cs="Times New Roman"/>
          <w:color w:val="000000"/>
        </w:rPr>
        <w:t xml:space="preserve"> </w:t>
      </w:r>
      <w:r w:rsidR="00705867">
        <w:rPr>
          <w:rFonts w:ascii="Times New Roman" w:hAnsi="Times New Roman" w:cs="Times New Roman"/>
          <w:color w:val="000000"/>
        </w:rPr>
        <w:t xml:space="preserve">en hausse  de </w:t>
      </w:r>
      <w:r w:rsidR="00570BDD">
        <w:rPr>
          <w:rFonts w:ascii="Times New Roman" w:hAnsi="Times New Roman" w:cs="Times New Roman"/>
          <w:color w:val="000000"/>
        </w:rPr>
        <w:t>1</w:t>
      </w:r>
      <w:r w:rsidR="00705867">
        <w:rPr>
          <w:rFonts w:ascii="Times New Roman" w:hAnsi="Times New Roman" w:cs="Times New Roman"/>
          <w:color w:val="000000"/>
        </w:rPr>
        <w:t>,</w:t>
      </w:r>
      <w:r w:rsidR="00570BDD">
        <w:rPr>
          <w:rFonts w:ascii="Times New Roman" w:hAnsi="Times New Roman" w:cs="Times New Roman"/>
          <w:color w:val="000000"/>
        </w:rPr>
        <w:t>4</w:t>
      </w:r>
      <w:r w:rsidR="00705867">
        <w:rPr>
          <w:rFonts w:ascii="Times New Roman" w:hAnsi="Times New Roman" w:cs="Times New Roman"/>
          <w:color w:val="000000"/>
        </w:rPr>
        <w:t xml:space="preserve"> point par rapport au trimestre précédent</w:t>
      </w:r>
      <w:r w:rsidR="00C35BF2">
        <w:rPr>
          <w:rFonts w:ascii="Times New Roman" w:hAnsi="Times New Roman" w:cs="Times New Roman"/>
          <w:color w:val="000000"/>
        </w:rPr>
        <w:t>.</w:t>
      </w:r>
      <w:r w:rsidRPr="000D784D">
        <w:rPr>
          <w:rFonts w:ascii="Times New Roman" w:hAnsi="Times New Roman" w:cs="Times New Roman"/>
          <w:color w:val="000000"/>
        </w:rPr>
        <w:t xml:space="preserve"> </w:t>
      </w:r>
    </w:p>
    <w:p w:rsidR="00B10F10" w:rsidRPr="00B10F10" w:rsidRDefault="00D814A7" w:rsidP="00294219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D’une façon générale, le solde de la perception des ménages </w:t>
      </w:r>
      <w:r w:rsidR="00E70CCE">
        <w:rPr>
          <w:rFonts w:ascii="Times New Roman" w:hAnsi="Times New Roman" w:cs="Times New Roman"/>
          <w:color w:val="000000"/>
        </w:rPr>
        <w:t>de</w:t>
      </w:r>
      <w:r w:rsidR="00B10F10" w:rsidRPr="00B10F10">
        <w:rPr>
          <w:rFonts w:ascii="Times New Roman" w:hAnsi="Times New Roman" w:cs="Times New Roman"/>
          <w:color w:val="000000"/>
        </w:rPr>
        <w:t xml:space="preserve"> leur situation financière passée</w:t>
      </w:r>
      <w:r w:rsidR="003670AA">
        <w:rPr>
          <w:rFonts w:ascii="Times New Roman" w:hAnsi="Times New Roman" w:cs="Times New Roman"/>
          <w:color w:val="000000"/>
        </w:rPr>
        <w:t xml:space="preserve"> et</w:t>
      </w:r>
      <w:r w:rsidR="00B10F10" w:rsidRPr="00B10F10">
        <w:rPr>
          <w:rFonts w:ascii="Times New Roman" w:hAnsi="Times New Roman" w:cs="Times New Roman"/>
          <w:color w:val="000000"/>
        </w:rPr>
        <w:t xml:space="preserve"> future</w:t>
      </w:r>
      <w:r w:rsidR="00BD46C6">
        <w:rPr>
          <w:rFonts w:ascii="Times New Roman" w:hAnsi="Times New Roman" w:cs="Times New Roman"/>
          <w:color w:val="000000"/>
        </w:rPr>
        <w:t>,</w:t>
      </w:r>
      <w:r w:rsidR="00B10F10" w:rsidRPr="00B10F10">
        <w:rPr>
          <w:rFonts w:ascii="Times New Roman" w:hAnsi="Times New Roman" w:cs="Times New Roman"/>
          <w:color w:val="000000"/>
        </w:rPr>
        <w:t xml:space="preserve"> s’</w:t>
      </w:r>
      <w:r w:rsidR="00E70CCE">
        <w:rPr>
          <w:rFonts w:ascii="Times New Roman" w:hAnsi="Times New Roman" w:cs="Times New Roman"/>
          <w:color w:val="000000"/>
        </w:rPr>
        <w:t xml:space="preserve">est </w:t>
      </w:r>
      <w:r w:rsidR="00B10F10" w:rsidRPr="00B10F10">
        <w:rPr>
          <w:rFonts w:ascii="Times New Roman" w:hAnsi="Times New Roman" w:cs="Times New Roman"/>
          <w:color w:val="000000"/>
        </w:rPr>
        <w:t>amélio</w:t>
      </w:r>
      <w:r w:rsidR="00E70CCE">
        <w:rPr>
          <w:rFonts w:ascii="Times New Roman" w:hAnsi="Times New Roman" w:cs="Times New Roman"/>
          <w:color w:val="000000"/>
        </w:rPr>
        <w:t>rée</w:t>
      </w:r>
      <w:r w:rsidR="00B10F10" w:rsidRPr="00B10F10">
        <w:rPr>
          <w:rFonts w:ascii="Times New Roman" w:hAnsi="Times New Roman" w:cs="Times New Roman"/>
          <w:color w:val="000000"/>
        </w:rPr>
        <w:t xml:space="preserve"> par rapport à un trimestre auparavant</w:t>
      </w:r>
      <w:r w:rsidR="00E70CCE">
        <w:rPr>
          <w:rFonts w:ascii="Times New Roman" w:hAnsi="Times New Roman" w:cs="Times New Roman"/>
          <w:color w:val="000000"/>
        </w:rPr>
        <w:t xml:space="preserve"> de </w:t>
      </w:r>
      <w:r w:rsidR="00290A7A">
        <w:rPr>
          <w:rFonts w:ascii="Times New Roman" w:hAnsi="Times New Roman" w:cs="Times New Roman"/>
          <w:color w:val="000000"/>
        </w:rPr>
        <w:t xml:space="preserve">1 point et </w:t>
      </w:r>
      <w:r w:rsidR="00660A7D" w:rsidRPr="00660A7D">
        <w:rPr>
          <w:rFonts w:ascii="Times New Roman" w:hAnsi="Times New Roman" w:cs="Times New Roman"/>
          <w:color w:val="000000"/>
        </w:rPr>
        <w:t>2</w:t>
      </w:r>
      <w:r w:rsidR="00B82E10" w:rsidRPr="00ED3373">
        <w:rPr>
          <w:rFonts w:ascii="Times New Roman" w:hAnsi="Times New Roman" w:cs="Times New Roman"/>
          <w:color w:val="000000"/>
        </w:rPr>
        <w:t>,9</w:t>
      </w:r>
      <w:r w:rsidR="00B82E10">
        <w:rPr>
          <w:rFonts w:ascii="Times New Roman" w:hAnsi="Times New Roman" w:cs="Times New Roman"/>
          <w:color w:val="000000"/>
        </w:rPr>
        <w:t xml:space="preserve"> </w:t>
      </w:r>
      <w:r w:rsidR="00B10F10" w:rsidRPr="00B10F10">
        <w:rPr>
          <w:rFonts w:ascii="Times New Roman" w:hAnsi="Times New Roman" w:cs="Times New Roman"/>
          <w:color w:val="000000"/>
        </w:rPr>
        <w:t>points respectivement</w:t>
      </w:r>
      <w:r w:rsidR="00E70CCE">
        <w:rPr>
          <w:rFonts w:ascii="Times New Roman" w:hAnsi="Times New Roman" w:cs="Times New Roman"/>
          <w:color w:val="000000"/>
        </w:rPr>
        <w:t>. Il se détériore cependant comparativement au</w:t>
      </w:r>
      <w:r w:rsidR="006E7B20">
        <w:rPr>
          <w:rFonts w:ascii="Times New Roman" w:hAnsi="Times New Roman" w:cs="Times New Roman"/>
          <w:color w:val="000000"/>
        </w:rPr>
        <w:t>x</w:t>
      </w:r>
      <w:r w:rsidR="00E70CCE">
        <w:rPr>
          <w:rFonts w:ascii="Times New Roman" w:hAnsi="Times New Roman" w:cs="Times New Roman"/>
          <w:color w:val="000000"/>
        </w:rPr>
        <w:t xml:space="preserve"> niveau</w:t>
      </w:r>
      <w:r w:rsidR="006E7B20">
        <w:rPr>
          <w:rFonts w:ascii="Times New Roman" w:hAnsi="Times New Roman" w:cs="Times New Roman"/>
          <w:color w:val="000000"/>
        </w:rPr>
        <w:t>x</w:t>
      </w:r>
      <w:r w:rsidR="00E70CCE">
        <w:rPr>
          <w:rFonts w:ascii="Times New Roman" w:hAnsi="Times New Roman" w:cs="Times New Roman"/>
          <w:color w:val="000000"/>
        </w:rPr>
        <w:t xml:space="preserve"> qu’il avait enregistré</w:t>
      </w:r>
      <w:r w:rsidR="006E7B20">
        <w:rPr>
          <w:rFonts w:ascii="Times New Roman" w:hAnsi="Times New Roman" w:cs="Times New Roman"/>
          <w:color w:val="000000"/>
        </w:rPr>
        <w:t>s</w:t>
      </w:r>
      <w:r w:rsidR="00E70CCE">
        <w:rPr>
          <w:rFonts w:ascii="Times New Roman" w:hAnsi="Times New Roman" w:cs="Times New Roman"/>
          <w:color w:val="000000"/>
        </w:rPr>
        <w:t xml:space="preserve"> </w:t>
      </w:r>
      <w:r w:rsidR="00B10F10" w:rsidRPr="00B10F10">
        <w:rPr>
          <w:rFonts w:ascii="Times New Roman" w:hAnsi="Times New Roman" w:cs="Times New Roman"/>
          <w:color w:val="000000"/>
        </w:rPr>
        <w:t>la même période de 2011</w:t>
      </w:r>
      <w:r w:rsidR="00294219">
        <w:rPr>
          <w:rFonts w:ascii="Times New Roman" w:hAnsi="Times New Roman" w:cs="Times New Roman"/>
          <w:color w:val="000000"/>
        </w:rPr>
        <w:t xml:space="preserve"> </w:t>
      </w:r>
      <w:r w:rsidR="00E70CCE">
        <w:rPr>
          <w:rFonts w:ascii="Times New Roman" w:hAnsi="Times New Roman" w:cs="Times New Roman"/>
          <w:color w:val="000000"/>
        </w:rPr>
        <w:t xml:space="preserve">de </w:t>
      </w:r>
      <w:r w:rsidR="00660A7D" w:rsidRPr="00660A7D">
        <w:rPr>
          <w:rFonts w:ascii="Times New Roman" w:hAnsi="Times New Roman" w:cs="Times New Roman"/>
          <w:color w:val="000000"/>
        </w:rPr>
        <w:t>5</w:t>
      </w:r>
      <w:r w:rsidR="00B10F10" w:rsidRPr="00B10F10">
        <w:rPr>
          <w:rFonts w:ascii="Times New Roman" w:hAnsi="Times New Roman" w:cs="Times New Roman"/>
          <w:color w:val="000000"/>
        </w:rPr>
        <w:t>,9 points et</w:t>
      </w:r>
      <w:r w:rsidR="00E70CCE">
        <w:rPr>
          <w:rFonts w:ascii="Times New Roman" w:hAnsi="Times New Roman" w:cs="Times New Roman"/>
          <w:color w:val="000000"/>
        </w:rPr>
        <w:t xml:space="preserve"> de</w:t>
      </w:r>
      <w:r w:rsidR="00294219">
        <w:rPr>
          <w:rFonts w:ascii="Times New Roman" w:hAnsi="Times New Roman" w:cs="Times New Roman"/>
          <w:color w:val="000000"/>
        </w:rPr>
        <w:t xml:space="preserve"> 3,4 points.</w:t>
      </w:r>
    </w:p>
    <w:p w:rsidR="00C51C29" w:rsidRDefault="00C51C29" w:rsidP="00C049EB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F06A6A" w:rsidRDefault="00E41E05" w:rsidP="003A5245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E41E05">
        <w:rPr>
          <w:rFonts w:ascii="Times New Roman" w:hAnsi="Times New Roman" w:cs="Times New Roman"/>
          <w:noProof/>
          <w:color w:val="000000"/>
        </w:rPr>
        <w:lastRenderedPageBreak/>
        <w:drawing>
          <wp:inline distT="0" distB="0" distL="0" distR="0">
            <wp:extent cx="6286500" cy="3086100"/>
            <wp:effectExtent l="19050" t="0" r="19050" b="0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95D2E" w:rsidRDefault="00195D2E" w:rsidP="00195D2E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C62F85" w:rsidRDefault="00C62F85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rtl/>
        </w:rPr>
      </w:pPr>
    </w:p>
    <w:p w:rsidR="00073079" w:rsidRPr="00DB06E9" w:rsidRDefault="00073079" w:rsidP="0013143D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B06E9">
        <w:rPr>
          <w:rFonts w:ascii="Times New Roman" w:hAnsi="Times New Roman" w:cs="Times New Roman"/>
          <w:b/>
          <w:bCs/>
          <w:color w:val="000000"/>
        </w:rPr>
        <w:t xml:space="preserve">2. Evolution d’autres indicateurs </w:t>
      </w:r>
      <w:r w:rsidR="00541974">
        <w:rPr>
          <w:rFonts w:ascii="Times New Roman" w:hAnsi="Times New Roman" w:cs="Times New Roman"/>
          <w:b/>
          <w:bCs/>
          <w:color w:val="000000"/>
        </w:rPr>
        <w:t>trimestriels</w:t>
      </w:r>
      <w:r w:rsidR="00541974" w:rsidRPr="00DB06E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B06E9">
        <w:rPr>
          <w:rFonts w:ascii="Times New Roman" w:hAnsi="Times New Roman" w:cs="Times New Roman"/>
          <w:b/>
          <w:bCs/>
          <w:color w:val="000000"/>
        </w:rPr>
        <w:t>d</w:t>
      </w:r>
      <w:r w:rsidR="0067027B">
        <w:rPr>
          <w:rFonts w:ascii="Times New Roman" w:hAnsi="Times New Roman" w:cs="Times New Roman"/>
          <w:b/>
          <w:bCs/>
          <w:color w:val="000000"/>
        </w:rPr>
        <w:t xml:space="preserve">e </w:t>
      </w:r>
      <w:r w:rsidR="009E6C61">
        <w:rPr>
          <w:rFonts w:ascii="Times New Roman" w:hAnsi="Times New Roman" w:cs="Times New Roman"/>
          <w:b/>
          <w:bCs/>
          <w:color w:val="000000"/>
        </w:rPr>
        <w:t>perception</w:t>
      </w:r>
      <w:r w:rsidRPr="00DB06E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E6C61">
        <w:rPr>
          <w:rFonts w:ascii="Times New Roman" w:hAnsi="Times New Roman" w:cs="Times New Roman"/>
          <w:b/>
          <w:bCs/>
          <w:color w:val="000000"/>
        </w:rPr>
        <w:t>de la conjoncture p</w:t>
      </w:r>
      <w:r w:rsidR="0013143D">
        <w:rPr>
          <w:rFonts w:ascii="Times New Roman" w:hAnsi="Times New Roman" w:cs="Times New Roman"/>
          <w:b/>
          <w:bCs/>
          <w:color w:val="000000"/>
        </w:rPr>
        <w:t>a</w:t>
      </w:r>
      <w:r w:rsidR="009E6C61">
        <w:rPr>
          <w:rFonts w:ascii="Times New Roman" w:hAnsi="Times New Roman" w:cs="Times New Roman"/>
          <w:b/>
          <w:bCs/>
          <w:color w:val="000000"/>
        </w:rPr>
        <w:t>r les</w:t>
      </w:r>
      <w:r w:rsidR="00DF1AB5">
        <w:rPr>
          <w:rFonts w:ascii="Times New Roman" w:hAnsi="Times New Roman" w:cs="Times New Roman"/>
          <w:b/>
          <w:bCs/>
          <w:color w:val="000000"/>
        </w:rPr>
        <w:t xml:space="preserve"> ménages</w:t>
      </w:r>
    </w:p>
    <w:p w:rsidR="00812210" w:rsidRPr="00DB06E9" w:rsidRDefault="00073079" w:rsidP="008E1BC5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B06E9">
        <w:rPr>
          <w:rFonts w:ascii="Times New Roman" w:hAnsi="Times New Roman" w:cs="Times New Roman"/>
          <w:color w:val="000000"/>
        </w:rPr>
        <w:t xml:space="preserve">En plus des sept indicateurs composant l’ICM, l’enquête fournit des données </w:t>
      </w:r>
      <w:r w:rsidR="004E42E4">
        <w:rPr>
          <w:rFonts w:ascii="Times New Roman" w:hAnsi="Times New Roman" w:cs="Times New Roman"/>
          <w:color w:val="000000"/>
        </w:rPr>
        <w:t xml:space="preserve">trimestrielles </w:t>
      </w:r>
      <w:r w:rsidRPr="00DB06E9">
        <w:rPr>
          <w:rFonts w:ascii="Times New Roman" w:hAnsi="Times New Roman" w:cs="Times New Roman"/>
          <w:color w:val="000000"/>
        </w:rPr>
        <w:t xml:space="preserve">sur les perceptions des ménages relatives </w:t>
      </w:r>
      <w:r w:rsidR="008E1BC5">
        <w:rPr>
          <w:rFonts w:ascii="Times New Roman" w:hAnsi="Times New Roman" w:cs="Times New Roman"/>
          <w:color w:val="000000"/>
        </w:rPr>
        <w:t xml:space="preserve">à d’autres </w:t>
      </w:r>
      <w:r w:rsidRPr="00DB06E9">
        <w:rPr>
          <w:rFonts w:ascii="Times New Roman" w:hAnsi="Times New Roman" w:cs="Times New Roman"/>
          <w:color w:val="000000"/>
        </w:rPr>
        <w:t>aspects</w:t>
      </w:r>
      <w:r w:rsidR="009E6C61">
        <w:rPr>
          <w:rFonts w:ascii="Times New Roman" w:hAnsi="Times New Roman" w:cs="Times New Roman"/>
          <w:color w:val="000000"/>
        </w:rPr>
        <w:t xml:space="preserve"> de leurs conditions de vie</w:t>
      </w:r>
      <w:r w:rsidR="008E1BC5">
        <w:rPr>
          <w:rFonts w:ascii="Times New Roman" w:hAnsi="Times New Roman" w:cs="Times New Roman"/>
          <w:color w:val="000000"/>
        </w:rPr>
        <w:t>. Il s’agit en particulier de la capacité d’épargne des ménages et de l’évolution des prix des produits alimentaires.</w:t>
      </w:r>
      <w:r w:rsidR="00812210">
        <w:rPr>
          <w:rFonts w:ascii="Times New Roman" w:hAnsi="Times New Roman" w:cs="Times New Roman"/>
          <w:color w:val="000000"/>
        </w:rPr>
        <w:t xml:space="preserve"> </w:t>
      </w:r>
    </w:p>
    <w:p w:rsidR="00E36F48" w:rsidRDefault="00E36F48" w:rsidP="00812210">
      <w:pPr>
        <w:widowControl/>
        <w:spacing w:before="24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12210" w:rsidRPr="00DB06E9" w:rsidRDefault="00812210" w:rsidP="00812210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B06E9">
        <w:rPr>
          <w:rFonts w:ascii="Times New Roman" w:hAnsi="Times New Roman" w:cs="Times New Roman"/>
          <w:b/>
          <w:bCs/>
          <w:color w:val="000000"/>
        </w:rPr>
        <w:t xml:space="preserve">• </w:t>
      </w:r>
      <w:r>
        <w:rPr>
          <w:rFonts w:ascii="Times New Roman" w:hAnsi="Times New Roman" w:cs="Times New Roman"/>
          <w:b/>
          <w:bCs/>
          <w:color w:val="000000"/>
        </w:rPr>
        <w:t>Capacité d’épargne : les ménages toujours pessimistes</w:t>
      </w:r>
      <w:r w:rsidRPr="00DB06E9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812210" w:rsidRDefault="0064218D" w:rsidP="00CC5917">
      <w:pPr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Plus de huit ménages sur dix (</w:t>
      </w:r>
      <w:r w:rsidR="00812210">
        <w:rPr>
          <w:rFonts w:ascii="Times New Roman" w:hAnsi="Times New Roman" w:cs="Times New Roman"/>
          <w:color w:val="000000"/>
        </w:rPr>
        <w:t>82,2%</w:t>
      </w:r>
      <w:r>
        <w:rPr>
          <w:rFonts w:ascii="Times New Roman" w:hAnsi="Times New Roman" w:cs="Times New Roman"/>
          <w:color w:val="000000"/>
        </w:rPr>
        <w:t xml:space="preserve">) </w:t>
      </w:r>
      <w:r w:rsidR="00812210">
        <w:rPr>
          <w:rFonts w:ascii="Times New Roman" w:hAnsi="Times New Roman" w:cs="Times New Roman"/>
          <w:color w:val="000000"/>
        </w:rPr>
        <w:t>pensent ne pas pouvoir épargner au cours des 12 prochains mois. Cette proportion est restée quasi stable au cours des derniers mois (82,6% au troisième trimestre de 2012 et 82,2% au cours du quatrième trimestre de 2011).</w:t>
      </w:r>
    </w:p>
    <w:p w:rsidR="00812210" w:rsidRDefault="00812210" w:rsidP="00812210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AE27A6" w:rsidRPr="00DB06E9" w:rsidRDefault="00AE27A6" w:rsidP="00950C69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B06E9">
        <w:rPr>
          <w:rFonts w:ascii="Times New Roman" w:hAnsi="Times New Roman" w:cs="Times New Roman"/>
          <w:b/>
          <w:bCs/>
          <w:color w:val="000000"/>
        </w:rPr>
        <w:t>•</w:t>
      </w:r>
      <w:r w:rsidR="002C595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0420B">
        <w:rPr>
          <w:rFonts w:ascii="Times New Roman" w:hAnsi="Times New Roman" w:cs="Times New Roman"/>
          <w:b/>
          <w:bCs/>
          <w:color w:val="000000"/>
        </w:rPr>
        <w:t xml:space="preserve">Prix des produits alimentaires : </w:t>
      </w:r>
      <w:r w:rsidR="00950C69">
        <w:rPr>
          <w:rFonts w:ascii="Times New Roman" w:hAnsi="Times New Roman" w:cs="Times New Roman"/>
          <w:b/>
          <w:bCs/>
          <w:color w:val="000000"/>
        </w:rPr>
        <w:t>u</w:t>
      </w:r>
      <w:r w:rsidR="00816354" w:rsidRPr="00DB06E9">
        <w:rPr>
          <w:rFonts w:ascii="Times New Roman" w:hAnsi="Times New Roman" w:cs="Times New Roman"/>
          <w:b/>
          <w:bCs/>
          <w:color w:val="000000"/>
        </w:rPr>
        <w:t xml:space="preserve">ne hausse </w:t>
      </w:r>
      <w:r w:rsidR="00950C69">
        <w:rPr>
          <w:rFonts w:ascii="Times New Roman" w:hAnsi="Times New Roman" w:cs="Times New Roman"/>
          <w:b/>
          <w:bCs/>
          <w:color w:val="000000"/>
        </w:rPr>
        <w:t>anticipée</w:t>
      </w:r>
    </w:p>
    <w:p w:rsidR="00985AB3" w:rsidRDefault="00985AB3" w:rsidP="00FA353E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Au </w:t>
      </w:r>
      <w:r w:rsidR="008A4DF1">
        <w:rPr>
          <w:rFonts w:ascii="Times New Roman" w:hAnsi="Times New Roman" w:cs="Times New Roman"/>
          <w:color w:val="000000"/>
        </w:rPr>
        <w:t>quatrième</w:t>
      </w:r>
      <w:r>
        <w:rPr>
          <w:rFonts w:ascii="Times New Roman" w:hAnsi="Times New Roman" w:cs="Times New Roman"/>
          <w:color w:val="000000"/>
        </w:rPr>
        <w:t xml:space="preserve"> trimestre de 2012, p</w:t>
      </w:r>
      <w:r w:rsidR="00563170">
        <w:rPr>
          <w:rFonts w:ascii="Times New Roman" w:hAnsi="Times New Roman" w:cs="Times New Roman"/>
          <w:color w:val="000000"/>
        </w:rPr>
        <w:t xml:space="preserve">lus de </w:t>
      </w:r>
      <w:r w:rsidR="009D577D">
        <w:rPr>
          <w:rFonts w:ascii="Times New Roman" w:hAnsi="Times New Roman" w:cs="Times New Roman"/>
          <w:color w:val="000000"/>
        </w:rPr>
        <w:t>neuf</w:t>
      </w:r>
      <w:r w:rsidR="00563170">
        <w:rPr>
          <w:rFonts w:ascii="Times New Roman" w:hAnsi="Times New Roman" w:cs="Times New Roman"/>
          <w:color w:val="000000"/>
        </w:rPr>
        <w:t xml:space="preserve"> ménages sur dix (9</w:t>
      </w:r>
      <w:r w:rsidR="003D554F">
        <w:rPr>
          <w:rFonts w:ascii="Times New Roman" w:hAnsi="Times New Roman" w:cs="Times New Roman"/>
          <w:color w:val="000000"/>
        </w:rPr>
        <w:t>1</w:t>
      </w:r>
      <w:r w:rsidR="00563170">
        <w:rPr>
          <w:rFonts w:ascii="Times New Roman" w:hAnsi="Times New Roman" w:cs="Times New Roman"/>
          <w:color w:val="000000"/>
        </w:rPr>
        <w:t>,</w:t>
      </w:r>
      <w:r w:rsidR="003D554F">
        <w:rPr>
          <w:rFonts w:ascii="Times New Roman" w:hAnsi="Times New Roman" w:cs="Times New Roman"/>
          <w:color w:val="000000"/>
        </w:rPr>
        <w:t>8</w:t>
      </w:r>
      <w:r w:rsidR="00563170">
        <w:rPr>
          <w:rFonts w:ascii="Times New Roman" w:hAnsi="Times New Roman" w:cs="Times New Roman"/>
          <w:color w:val="000000"/>
        </w:rPr>
        <w:t>%</w:t>
      </w:r>
      <w:r>
        <w:rPr>
          <w:rFonts w:ascii="Times New Roman" w:hAnsi="Times New Roman" w:cs="Times New Roman"/>
          <w:color w:val="000000"/>
        </w:rPr>
        <w:t xml:space="preserve"> contre 9</w:t>
      </w:r>
      <w:r w:rsidR="003D554F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,</w:t>
      </w:r>
      <w:r w:rsidR="003D554F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% au trimestre précédent et </w:t>
      </w:r>
      <w:r w:rsidR="008A184F">
        <w:rPr>
          <w:rFonts w:ascii="Times New Roman" w:hAnsi="Times New Roman" w:cs="Times New Roman"/>
          <w:color w:val="000000"/>
        </w:rPr>
        <w:t>9</w:t>
      </w:r>
      <w:r w:rsidR="003D554F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>,</w:t>
      </w:r>
      <w:r w:rsidR="003D554F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>% un an auparavant</w:t>
      </w:r>
      <w:r w:rsidR="00563170">
        <w:rPr>
          <w:rFonts w:ascii="Times New Roman" w:hAnsi="Times New Roman" w:cs="Times New Roman"/>
          <w:color w:val="000000"/>
        </w:rPr>
        <w:t xml:space="preserve">) </w:t>
      </w:r>
      <w:r w:rsidR="0094137E">
        <w:rPr>
          <w:rFonts w:ascii="Times New Roman" w:hAnsi="Times New Roman" w:cs="Times New Roman"/>
          <w:color w:val="000000"/>
        </w:rPr>
        <w:t>affirm</w:t>
      </w:r>
      <w:r w:rsidR="00563170">
        <w:rPr>
          <w:rFonts w:ascii="Times New Roman" w:hAnsi="Times New Roman" w:cs="Times New Roman"/>
          <w:color w:val="000000"/>
        </w:rPr>
        <w:t>ent que les prix des produits alimentaires ont augmenté dans le passé</w:t>
      </w:r>
      <w:r w:rsidR="00FA353E">
        <w:rPr>
          <w:rFonts w:ascii="Times New Roman" w:hAnsi="Times New Roman" w:cs="Times New Roman"/>
          <w:color w:val="000000"/>
        </w:rPr>
        <w:t xml:space="preserve">. La proportion de ceux qui pensent que ces prix vont </w:t>
      </w:r>
      <w:r w:rsidR="00563170">
        <w:rPr>
          <w:rFonts w:ascii="Times New Roman" w:hAnsi="Times New Roman" w:cs="Times New Roman"/>
          <w:color w:val="000000"/>
        </w:rPr>
        <w:t xml:space="preserve"> </w:t>
      </w:r>
      <w:r w:rsidR="00FA353E">
        <w:rPr>
          <w:rFonts w:ascii="Times New Roman" w:hAnsi="Times New Roman" w:cs="Times New Roman"/>
          <w:color w:val="000000"/>
        </w:rPr>
        <w:t xml:space="preserve">augmenter dans l’avenir s’est établie à  </w:t>
      </w:r>
      <w:r w:rsidR="00563170">
        <w:rPr>
          <w:rFonts w:ascii="Times New Roman" w:hAnsi="Times New Roman" w:cs="Times New Roman"/>
          <w:color w:val="000000"/>
        </w:rPr>
        <w:t>7</w:t>
      </w:r>
      <w:r w:rsidR="003D554F">
        <w:rPr>
          <w:rFonts w:ascii="Times New Roman" w:hAnsi="Times New Roman" w:cs="Times New Roman"/>
          <w:color w:val="000000"/>
        </w:rPr>
        <w:t>2</w:t>
      </w:r>
      <w:r w:rsidR="00563170">
        <w:rPr>
          <w:rFonts w:ascii="Times New Roman" w:hAnsi="Times New Roman" w:cs="Times New Roman"/>
          <w:color w:val="000000"/>
        </w:rPr>
        <w:t>,</w:t>
      </w:r>
      <w:r w:rsidR="003D554F">
        <w:rPr>
          <w:rFonts w:ascii="Times New Roman" w:hAnsi="Times New Roman" w:cs="Times New Roman"/>
          <w:color w:val="000000"/>
        </w:rPr>
        <w:t>1</w:t>
      </w:r>
      <w:r w:rsidR="00563170">
        <w:rPr>
          <w:rFonts w:ascii="Times New Roman" w:hAnsi="Times New Roman" w:cs="Times New Roman"/>
          <w:color w:val="000000"/>
        </w:rPr>
        <w:t>%</w:t>
      </w:r>
      <w:r>
        <w:rPr>
          <w:rFonts w:ascii="Times New Roman" w:hAnsi="Times New Roman" w:cs="Times New Roman"/>
          <w:color w:val="000000"/>
        </w:rPr>
        <w:t xml:space="preserve"> </w:t>
      </w:r>
      <w:r w:rsidR="00FA353E">
        <w:rPr>
          <w:rFonts w:ascii="Times New Roman" w:hAnsi="Times New Roman" w:cs="Times New Roman"/>
          <w:color w:val="000000"/>
        </w:rPr>
        <w:t xml:space="preserve">contre </w:t>
      </w:r>
      <w:r>
        <w:rPr>
          <w:rFonts w:ascii="Times New Roman" w:hAnsi="Times New Roman" w:cs="Times New Roman"/>
          <w:color w:val="000000"/>
        </w:rPr>
        <w:t xml:space="preserve"> 7</w:t>
      </w:r>
      <w:r w:rsidR="003D554F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,</w:t>
      </w:r>
      <w:r w:rsidR="003D554F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% et</w:t>
      </w:r>
      <w:r w:rsidR="00FA353E">
        <w:rPr>
          <w:rFonts w:ascii="Times New Roman" w:hAnsi="Times New Roman" w:cs="Times New Roman"/>
          <w:color w:val="000000"/>
        </w:rPr>
        <w:t xml:space="preserve"> </w:t>
      </w:r>
      <w:r w:rsidR="008A184F">
        <w:rPr>
          <w:rFonts w:ascii="Times New Roman" w:hAnsi="Times New Roman" w:cs="Times New Roman"/>
          <w:color w:val="000000"/>
        </w:rPr>
        <w:t>75</w:t>
      </w:r>
      <w:r>
        <w:rPr>
          <w:rFonts w:ascii="Times New Roman" w:hAnsi="Times New Roman" w:cs="Times New Roman"/>
          <w:color w:val="000000"/>
        </w:rPr>
        <w:t>,</w:t>
      </w:r>
      <w:r w:rsidR="008A184F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</w:rPr>
        <w:t xml:space="preserve">% </w:t>
      </w:r>
      <w:r w:rsidR="006F0D8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respectivement</w:t>
      </w:r>
      <w:r w:rsidR="00FA353E">
        <w:rPr>
          <w:rFonts w:ascii="Times New Roman" w:hAnsi="Times New Roman" w:cs="Times New Roman"/>
          <w:color w:val="000000"/>
        </w:rPr>
        <w:t>.</w:t>
      </w:r>
      <w:r w:rsidR="00563170">
        <w:rPr>
          <w:rFonts w:ascii="Times New Roman" w:hAnsi="Times New Roman" w:cs="Times New Roman"/>
          <w:color w:val="000000"/>
        </w:rPr>
        <w:t xml:space="preserve"> </w:t>
      </w:r>
    </w:p>
    <w:p w:rsidR="0001754D" w:rsidRDefault="0001754D" w:rsidP="00E36F48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FC336F" w:rsidRDefault="00FC336F" w:rsidP="00FC336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BC5D13" w:rsidRDefault="00C0250F" w:rsidP="00C0250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lastRenderedPageBreak/>
        <w:t xml:space="preserve">  </w:t>
      </w:r>
      <w:r w:rsidR="00BC5D13">
        <w:rPr>
          <w:rFonts w:ascii="Times New Roman" w:hAnsi="Times New Roman" w:cs="Times New Roman"/>
          <w:noProof/>
          <w:color w:val="000000"/>
        </w:rPr>
        <w:t xml:space="preserve">  </w:t>
      </w:r>
      <w:r w:rsidR="00D13B8F" w:rsidRPr="00D13B8F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2809875" cy="3676650"/>
            <wp:effectExtent l="19050" t="0" r="9525" b="0"/>
            <wp:docPr id="7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C72318" w:rsidRPr="00C72318">
        <w:rPr>
          <w:noProof/>
        </w:rPr>
        <w:t xml:space="preserve"> </w:t>
      </w:r>
      <w:r w:rsidR="00C72318" w:rsidRPr="00C72318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2933700" cy="3676650"/>
            <wp:effectExtent l="19050" t="0" r="19050" b="0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03E2E" w:rsidRPr="00DB06E9" w:rsidRDefault="00D03E2E" w:rsidP="009E2A58">
      <w:pPr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41974" w:rsidRPr="00541974" w:rsidRDefault="00541974" w:rsidP="001E33C3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41974">
        <w:rPr>
          <w:rFonts w:ascii="Times New Roman" w:hAnsi="Times New Roman" w:cs="Times New Roman"/>
          <w:b/>
          <w:bCs/>
          <w:color w:val="000000"/>
        </w:rPr>
        <w:t xml:space="preserve">3. </w:t>
      </w:r>
      <w:r w:rsidR="00B96660" w:rsidRPr="00DB06E9">
        <w:rPr>
          <w:rFonts w:ascii="Times New Roman" w:hAnsi="Times New Roman" w:cs="Times New Roman"/>
          <w:b/>
          <w:bCs/>
          <w:color w:val="000000"/>
        </w:rPr>
        <w:t>Evolution d’autres indicateurs</w:t>
      </w:r>
      <w:r w:rsidR="00B96660">
        <w:rPr>
          <w:rFonts w:ascii="Times New Roman" w:hAnsi="Times New Roman" w:cs="Times New Roman"/>
          <w:b/>
          <w:bCs/>
          <w:color w:val="000000"/>
        </w:rPr>
        <w:t xml:space="preserve"> de </w:t>
      </w:r>
      <w:r w:rsidR="001E33C3">
        <w:rPr>
          <w:rFonts w:ascii="Times New Roman" w:hAnsi="Times New Roman" w:cs="Times New Roman"/>
          <w:b/>
          <w:bCs/>
          <w:color w:val="000000"/>
        </w:rPr>
        <w:t xml:space="preserve">la </w:t>
      </w:r>
      <w:r w:rsidR="00B96660">
        <w:rPr>
          <w:rFonts w:ascii="Times New Roman" w:hAnsi="Times New Roman" w:cs="Times New Roman"/>
          <w:b/>
          <w:bCs/>
          <w:color w:val="000000"/>
        </w:rPr>
        <w:t xml:space="preserve">perception </w:t>
      </w:r>
      <w:r w:rsidR="001E33C3">
        <w:rPr>
          <w:rFonts w:ascii="Times New Roman" w:hAnsi="Times New Roman" w:cs="Times New Roman"/>
          <w:b/>
          <w:bCs/>
          <w:color w:val="000000"/>
        </w:rPr>
        <w:t xml:space="preserve">par les ménages de la conjoncture </w:t>
      </w:r>
    </w:p>
    <w:p w:rsidR="00C72318" w:rsidRPr="00DB06E9" w:rsidRDefault="004B0E1B" w:rsidP="00E926BE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En plus des indicateurs trimestriels, </w:t>
      </w:r>
      <w:r w:rsidR="006B1D8F">
        <w:rPr>
          <w:rFonts w:ascii="Times New Roman" w:hAnsi="Times New Roman" w:cs="Times New Roman"/>
          <w:color w:val="000000"/>
        </w:rPr>
        <w:t xml:space="preserve">le HCP calcule à la fin de chaque année le solde relatif à la perception </w:t>
      </w:r>
      <w:r w:rsidR="001E33C3">
        <w:rPr>
          <w:rFonts w:ascii="Times New Roman" w:hAnsi="Times New Roman" w:cs="Times New Roman"/>
          <w:color w:val="000000"/>
        </w:rPr>
        <w:t>par les</w:t>
      </w:r>
      <w:r w:rsidR="006B1D8F">
        <w:rPr>
          <w:rFonts w:ascii="Times New Roman" w:hAnsi="Times New Roman" w:cs="Times New Roman"/>
          <w:color w:val="000000"/>
        </w:rPr>
        <w:t xml:space="preserve"> ménages de certaines composantes de leur environnement</w:t>
      </w:r>
      <w:r w:rsidR="005C4373">
        <w:rPr>
          <w:rFonts w:ascii="Times New Roman" w:hAnsi="Times New Roman" w:cs="Times New Roman"/>
          <w:color w:val="000000"/>
        </w:rPr>
        <w:t xml:space="preserve"> dont la variabilité n’est pas significative d’un trimestre à l’autre. </w:t>
      </w:r>
      <w:r w:rsidR="00F8324A">
        <w:rPr>
          <w:rFonts w:ascii="Times New Roman" w:hAnsi="Times New Roman" w:cs="Times New Roman"/>
          <w:color w:val="000000"/>
        </w:rPr>
        <w:t xml:space="preserve"> </w:t>
      </w:r>
      <w:r w:rsidR="001E33C3">
        <w:rPr>
          <w:rFonts w:ascii="Times New Roman" w:hAnsi="Times New Roman" w:cs="Times New Roman"/>
          <w:color w:val="000000"/>
        </w:rPr>
        <w:t>Il s’agit</w:t>
      </w:r>
      <w:r w:rsidR="00C72318" w:rsidRPr="00DB06E9">
        <w:rPr>
          <w:rFonts w:ascii="Times New Roman" w:hAnsi="Times New Roman" w:cs="Times New Roman"/>
          <w:color w:val="000000"/>
        </w:rPr>
        <w:t xml:space="preserve"> de l'évolution, entre 201</w:t>
      </w:r>
      <w:r w:rsidR="00A654CA">
        <w:rPr>
          <w:rFonts w:ascii="Times New Roman" w:hAnsi="Times New Roman" w:cs="Times New Roman"/>
          <w:color w:val="000000"/>
        </w:rPr>
        <w:t>1</w:t>
      </w:r>
      <w:r w:rsidR="00C72318" w:rsidRPr="00DB06E9">
        <w:rPr>
          <w:rFonts w:ascii="Times New Roman" w:hAnsi="Times New Roman" w:cs="Times New Roman"/>
          <w:color w:val="000000"/>
        </w:rPr>
        <w:t xml:space="preserve"> et 201</w:t>
      </w:r>
      <w:r w:rsidR="00A654CA">
        <w:rPr>
          <w:rFonts w:ascii="Times New Roman" w:hAnsi="Times New Roman" w:cs="Times New Roman"/>
          <w:color w:val="000000"/>
        </w:rPr>
        <w:t>2</w:t>
      </w:r>
      <w:r w:rsidR="00C72318" w:rsidRPr="00DB06E9">
        <w:rPr>
          <w:rFonts w:ascii="Times New Roman" w:hAnsi="Times New Roman" w:cs="Times New Roman"/>
          <w:color w:val="000000"/>
        </w:rPr>
        <w:t>, de l'opinion des ménages concernant la situation des droits de l'Homme, la protection de l'environnement et la qualité de certains services publics</w:t>
      </w:r>
      <w:r w:rsidR="00E926BE">
        <w:rPr>
          <w:rFonts w:ascii="Times New Roman" w:hAnsi="Times New Roman" w:cs="Times New Roman"/>
          <w:color w:val="000000"/>
        </w:rPr>
        <w:t>.</w:t>
      </w:r>
      <w:r w:rsidR="00C72318" w:rsidRPr="00DB06E9">
        <w:rPr>
          <w:rFonts w:ascii="Times New Roman" w:hAnsi="Times New Roman" w:cs="Times New Roman"/>
          <w:color w:val="000000"/>
        </w:rPr>
        <w:t xml:space="preserve"> </w:t>
      </w:r>
    </w:p>
    <w:p w:rsidR="00C72318" w:rsidRDefault="00C72318" w:rsidP="00C72318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72318" w:rsidRDefault="00C72318" w:rsidP="006356D1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B06E9">
        <w:rPr>
          <w:rFonts w:ascii="Times New Roman" w:hAnsi="Times New Roman" w:cs="Times New Roman"/>
          <w:b/>
          <w:bCs/>
          <w:color w:val="000000"/>
        </w:rPr>
        <w:t xml:space="preserve">• </w:t>
      </w:r>
      <w:r>
        <w:rPr>
          <w:rFonts w:ascii="Times New Roman" w:hAnsi="Times New Roman" w:cs="Times New Roman"/>
          <w:b/>
          <w:bCs/>
          <w:color w:val="000000"/>
        </w:rPr>
        <w:t xml:space="preserve">Situation des </w:t>
      </w:r>
      <w:r w:rsidRPr="00DB06E9">
        <w:rPr>
          <w:rFonts w:ascii="Times New Roman" w:hAnsi="Times New Roman" w:cs="Times New Roman"/>
          <w:b/>
          <w:bCs/>
          <w:color w:val="000000"/>
        </w:rPr>
        <w:t>droits de l’Homme</w:t>
      </w:r>
      <w:r>
        <w:rPr>
          <w:rFonts w:ascii="Times New Roman" w:hAnsi="Times New Roman" w:cs="Times New Roman"/>
          <w:b/>
          <w:bCs/>
          <w:color w:val="000000"/>
        </w:rPr>
        <w:t xml:space="preserve"> : </w:t>
      </w:r>
      <w:r w:rsidR="003B2D07">
        <w:rPr>
          <w:rFonts w:ascii="Times New Roman" w:hAnsi="Times New Roman" w:cs="Times New Roman"/>
          <w:b/>
          <w:bCs/>
          <w:color w:val="000000"/>
        </w:rPr>
        <w:t xml:space="preserve">opinion </w:t>
      </w:r>
      <w:r w:rsidR="00411DDC">
        <w:rPr>
          <w:rFonts w:ascii="Times New Roman" w:hAnsi="Times New Roman" w:cs="Times New Roman"/>
          <w:b/>
          <w:bCs/>
          <w:color w:val="000000"/>
        </w:rPr>
        <w:t xml:space="preserve">toujours </w:t>
      </w:r>
      <w:r w:rsidR="003B2D07">
        <w:rPr>
          <w:rFonts w:ascii="Times New Roman" w:hAnsi="Times New Roman" w:cs="Times New Roman"/>
          <w:b/>
          <w:bCs/>
          <w:color w:val="000000"/>
        </w:rPr>
        <w:t xml:space="preserve">positive </w:t>
      </w:r>
      <w:r w:rsidR="00411DDC">
        <w:rPr>
          <w:rFonts w:ascii="Times New Roman" w:hAnsi="Times New Roman" w:cs="Times New Roman"/>
          <w:b/>
          <w:bCs/>
          <w:color w:val="000000"/>
        </w:rPr>
        <w:t xml:space="preserve">malgré un </w:t>
      </w:r>
      <w:r w:rsidR="00795900">
        <w:rPr>
          <w:rFonts w:ascii="Times New Roman" w:hAnsi="Times New Roman" w:cs="Times New Roman"/>
          <w:b/>
          <w:bCs/>
          <w:color w:val="000000"/>
        </w:rPr>
        <w:t>lég</w:t>
      </w:r>
      <w:r w:rsidR="006356D1">
        <w:rPr>
          <w:rFonts w:ascii="Times New Roman" w:hAnsi="Times New Roman" w:cs="Times New Roman"/>
          <w:b/>
          <w:bCs/>
          <w:color w:val="000000"/>
        </w:rPr>
        <w:t>e</w:t>
      </w:r>
      <w:r w:rsidR="00795900">
        <w:rPr>
          <w:rFonts w:ascii="Times New Roman" w:hAnsi="Times New Roman" w:cs="Times New Roman"/>
          <w:b/>
          <w:bCs/>
          <w:color w:val="000000"/>
        </w:rPr>
        <w:t xml:space="preserve">r </w:t>
      </w:r>
      <w:r w:rsidR="001E33C3">
        <w:rPr>
          <w:rFonts w:ascii="Times New Roman" w:hAnsi="Times New Roman" w:cs="Times New Roman"/>
          <w:b/>
          <w:bCs/>
          <w:color w:val="000000"/>
        </w:rPr>
        <w:t>recul du solde</w:t>
      </w:r>
      <w:r w:rsidR="00411DDC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C72318" w:rsidRDefault="00C72318" w:rsidP="001704F6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 201</w:t>
      </w:r>
      <w:r w:rsidR="002A7486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, </w:t>
      </w:r>
      <w:r w:rsidR="002A7486">
        <w:rPr>
          <w:rFonts w:ascii="Times New Roman" w:hAnsi="Times New Roman" w:cs="Times New Roman"/>
          <w:color w:val="000000"/>
        </w:rPr>
        <w:t>58</w:t>
      </w:r>
      <w:r>
        <w:rPr>
          <w:rFonts w:ascii="Times New Roman" w:hAnsi="Times New Roman" w:cs="Times New Roman"/>
          <w:color w:val="000000"/>
        </w:rPr>
        <w:t>,</w:t>
      </w:r>
      <w:r w:rsidR="002A7486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%</w:t>
      </w:r>
      <w:r w:rsidR="002A7486">
        <w:rPr>
          <w:rFonts w:ascii="Times New Roman" w:hAnsi="Times New Roman" w:cs="Times New Roman"/>
          <w:color w:val="000000"/>
        </w:rPr>
        <w:t xml:space="preserve"> des ménages</w:t>
      </w:r>
      <w:r>
        <w:rPr>
          <w:rFonts w:ascii="Times New Roman" w:hAnsi="Times New Roman" w:cs="Times New Roman"/>
          <w:color w:val="000000"/>
        </w:rPr>
        <w:t xml:space="preserve">  pensent que la situation des droits de l’</w:t>
      </w:r>
      <w:r w:rsidR="00D23F6C"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</w:rPr>
        <w:t>omme au Maroc s’est améliorée</w:t>
      </w:r>
      <w:r w:rsidR="003A1A5C">
        <w:rPr>
          <w:rFonts w:ascii="Times New Roman" w:hAnsi="Times New Roman" w:cs="Times New Roman"/>
          <w:color w:val="000000"/>
        </w:rPr>
        <w:t xml:space="preserve">. </w:t>
      </w:r>
      <w:r w:rsidR="002A7486">
        <w:rPr>
          <w:rFonts w:ascii="Times New Roman" w:hAnsi="Times New Roman" w:cs="Times New Roman"/>
          <w:color w:val="000000"/>
        </w:rPr>
        <w:t>33,</w:t>
      </w:r>
      <w:r w:rsidR="001704F6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>%</w:t>
      </w:r>
      <w:r w:rsidR="003A1A5C">
        <w:rPr>
          <w:rFonts w:ascii="Times New Roman" w:hAnsi="Times New Roman" w:cs="Times New Roman"/>
          <w:color w:val="000000"/>
        </w:rPr>
        <w:t xml:space="preserve"> des ménages considèrent </w:t>
      </w:r>
      <w:r>
        <w:rPr>
          <w:rFonts w:ascii="Times New Roman" w:hAnsi="Times New Roman" w:cs="Times New Roman"/>
          <w:color w:val="000000"/>
        </w:rPr>
        <w:t xml:space="preserve">qu’elle </w:t>
      </w:r>
      <w:r w:rsidR="003A1A5C">
        <w:rPr>
          <w:rFonts w:ascii="Times New Roman" w:hAnsi="Times New Roman" w:cs="Times New Roman"/>
          <w:color w:val="000000"/>
        </w:rPr>
        <w:t>n’</w:t>
      </w:r>
      <w:r>
        <w:rPr>
          <w:rFonts w:ascii="Times New Roman" w:hAnsi="Times New Roman" w:cs="Times New Roman"/>
          <w:color w:val="000000"/>
        </w:rPr>
        <w:t>a</w:t>
      </w:r>
      <w:r w:rsidR="003A1A5C">
        <w:rPr>
          <w:rFonts w:ascii="Times New Roman" w:hAnsi="Times New Roman" w:cs="Times New Roman"/>
          <w:color w:val="000000"/>
        </w:rPr>
        <w:t xml:space="preserve"> pas connu de changement</w:t>
      </w:r>
      <w:r w:rsidR="00C0205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et </w:t>
      </w:r>
      <w:r w:rsidR="002A7486">
        <w:rPr>
          <w:rFonts w:ascii="Times New Roman" w:hAnsi="Times New Roman" w:cs="Times New Roman"/>
          <w:color w:val="000000"/>
        </w:rPr>
        <w:t>8,2</w:t>
      </w:r>
      <w:r>
        <w:rPr>
          <w:rFonts w:ascii="Times New Roman" w:hAnsi="Times New Roman" w:cs="Times New Roman"/>
          <w:color w:val="000000"/>
        </w:rPr>
        <w:t>% qu’elle</w:t>
      </w:r>
      <w:r w:rsidR="003A1A5C">
        <w:rPr>
          <w:rFonts w:ascii="Times New Roman" w:hAnsi="Times New Roman" w:cs="Times New Roman"/>
          <w:color w:val="000000"/>
        </w:rPr>
        <w:t xml:space="preserve"> aurait régressée</w:t>
      </w:r>
      <w:r>
        <w:rPr>
          <w:rFonts w:ascii="Times New Roman" w:hAnsi="Times New Roman" w:cs="Times New Roman"/>
          <w:color w:val="000000"/>
        </w:rPr>
        <w:t>. Le solde relatif à cet indicateur</w:t>
      </w:r>
      <w:r w:rsidR="003B2D07">
        <w:rPr>
          <w:rFonts w:ascii="Times New Roman" w:hAnsi="Times New Roman" w:cs="Times New Roman"/>
          <w:color w:val="000000"/>
        </w:rPr>
        <w:t xml:space="preserve"> </w:t>
      </w:r>
      <w:r w:rsidR="00EC5EE2">
        <w:rPr>
          <w:rFonts w:ascii="Times New Roman" w:hAnsi="Times New Roman" w:cs="Times New Roman"/>
          <w:color w:val="000000"/>
        </w:rPr>
        <w:t xml:space="preserve">a </w:t>
      </w:r>
      <w:r w:rsidR="009F1767">
        <w:rPr>
          <w:rFonts w:ascii="Times New Roman" w:hAnsi="Times New Roman" w:cs="Times New Roman"/>
          <w:color w:val="000000"/>
        </w:rPr>
        <w:t xml:space="preserve">ainsi enregistré </w:t>
      </w:r>
      <w:r w:rsidR="00C02059">
        <w:rPr>
          <w:rFonts w:ascii="Times New Roman" w:hAnsi="Times New Roman" w:cs="Times New Roman"/>
          <w:color w:val="000000"/>
        </w:rPr>
        <w:t>une légère b</w:t>
      </w:r>
      <w:r w:rsidR="002A7486">
        <w:rPr>
          <w:rFonts w:ascii="Times New Roman" w:hAnsi="Times New Roman" w:cs="Times New Roman"/>
          <w:color w:val="000000"/>
        </w:rPr>
        <w:t>ai</w:t>
      </w:r>
      <w:r>
        <w:rPr>
          <w:rFonts w:ascii="Times New Roman" w:hAnsi="Times New Roman" w:cs="Times New Roman"/>
          <w:color w:val="000000"/>
        </w:rPr>
        <w:t xml:space="preserve">sse </w:t>
      </w:r>
      <w:r w:rsidRPr="00DB06E9">
        <w:rPr>
          <w:rFonts w:ascii="Times New Roman" w:hAnsi="Times New Roman" w:cs="Times New Roman"/>
          <w:color w:val="000000"/>
        </w:rPr>
        <w:t xml:space="preserve">de </w:t>
      </w:r>
      <w:r w:rsidR="002A7486">
        <w:rPr>
          <w:rFonts w:ascii="Times New Roman" w:hAnsi="Times New Roman" w:cs="Times New Roman"/>
          <w:color w:val="000000"/>
        </w:rPr>
        <w:t>0,6</w:t>
      </w:r>
      <w:r>
        <w:rPr>
          <w:rFonts w:ascii="Times New Roman" w:hAnsi="Times New Roman" w:cs="Times New Roman"/>
          <w:color w:val="000000"/>
        </w:rPr>
        <w:t xml:space="preserve"> point</w:t>
      </w:r>
      <w:r w:rsidRPr="00DB06E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par rapport à son niveau de 201</w:t>
      </w:r>
      <w:r w:rsidR="002A7486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.</w:t>
      </w:r>
    </w:p>
    <w:p w:rsidR="00BD46C6" w:rsidRDefault="00BD46C6" w:rsidP="00C72318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72318" w:rsidRPr="00DB06E9" w:rsidRDefault="00C72318" w:rsidP="001E33C3">
      <w:pPr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B06E9">
        <w:rPr>
          <w:rFonts w:ascii="Times New Roman" w:hAnsi="Times New Roman" w:cs="Times New Roman"/>
          <w:b/>
          <w:bCs/>
          <w:color w:val="000000"/>
        </w:rPr>
        <w:t xml:space="preserve">• </w:t>
      </w:r>
      <w:r w:rsidR="001E33C3">
        <w:rPr>
          <w:rFonts w:ascii="Times New Roman" w:hAnsi="Times New Roman" w:cs="Times New Roman"/>
          <w:b/>
          <w:bCs/>
          <w:color w:val="000000"/>
        </w:rPr>
        <w:t>Q</w:t>
      </w:r>
      <w:r>
        <w:rPr>
          <w:rFonts w:ascii="Times New Roman" w:hAnsi="Times New Roman" w:cs="Times New Roman"/>
          <w:b/>
          <w:bCs/>
          <w:color w:val="000000"/>
        </w:rPr>
        <w:t xml:space="preserve">ualité des prestations administratives : </w:t>
      </w:r>
      <w:r w:rsidR="00CD3B80">
        <w:rPr>
          <w:rFonts w:ascii="Times New Roman" w:hAnsi="Times New Roman" w:cs="Times New Roman"/>
          <w:b/>
          <w:bCs/>
          <w:color w:val="000000"/>
        </w:rPr>
        <w:t>un solde en amélioration</w:t>
      </w:r>
    </w:p>
    <w:p w:rsidR="005D6464" w:rsidRDefault="00C72318" w:rsidP="00DA0533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 201</w:t>
      </w:r>
      <w:r w:rsidR="005D6464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, </w:t>
      </w:r>
      <w:r w:rsidR="005D6464">
        <w:rPr>
          <w:rFonts w:ascii="Times New Roman" w:hAnsi="Times New Roman" w:cs="Times New Roman"/>
          <w:color w:val="000000"/>
        </w:rPr>
        <w:t xml:space="preserve">les ménages sont moins nombreux </w:t>
      </w:r>
      <w:r w:rsidR="004B04C6">
        <w:rPr>
          <w:rFonts w:ascii="Times New Roman" w:hAnsi="Times New Roman" w:cs="Times New Roman"/>
          <w:color w:val="000000"/>
        </w:rPr>
        <w:t xml:space="preserve">qu’en 2011, </w:t>
      </w:r>
      <w:r w:rsidR="005D6464">
        <w:rPr>
          <w:rFonts w:ascii="Times New Roman" w:hAnsi="Times New Roman" w:cs="Times New Roman"/>
          <w:color w:val="000000"/>
        </w:rPr>
        <w:t xml:space="preserve">à </w:t>
      </w:r>
      <w:r w:rsidR="00DA0533">
        <w:rPr>
          <w:rFonts w:ascii="Times New Roman" w:hAnsi="Times New Roman" w:cs="Times New Roman"/>
          <w:color w:val="000000"/>
        </w:rPr>
        <w:t xml:space="preserve">percevoir </w:t>
      </w:r>
      <w:r w:rsidR="005D6464">
        <w:rPr>
          <w:rFonts w:ascii="Times New Roman" w:hAnsi="Times New Roman" w:cs="Times New Roman"/>
          <w:color w:val="000000"/>
        </w:rPr>
        <w:t>une dégradation de la qualité des prestations administratives (20,7% contre 24,6%)</w:t>
      </w:r>
      <w:r>
        <w:rPr>
          <w:rFonts w:ascii="Times New Roman" w:hAnsi="Times New Roman" w:cs="Times New Roman"/>
          <w:color w:val="000000"/>
        </w:rPr>
        <w:t>.</w:t>
      </w:r>
      <w:r w:rsidR="005D6464">
        <w:rPr>
          <w:rFonts w:ascii="Times New Roman" w:hAnsi="Times New Roman" w:cs="Times New Roman"/>
          <w:color w:val="000000"/>
        </w:rPr>
        <w:t xml:space="preserve"> Le solde qui résume cette opinion s’est </w:t>
      </w:r>
      <w:r w:rsidR="00153ECF">
        <w:rPr>
          <w:rFonts w:ascii="Times New Roman" w:hAnsi="Times New Roman" w:cs="Times New Roman"/>
          <w:color w:val="000000"/>
        </w:rPr>
        <w:t>amélioré</w:t>
      </w:r>
      <w:r w:rsidR="005D6464">
        <w:rPr>
          <w:rFonts w:ascii="Times New Roman" w:hAnsi="Times New Roman" w:cs="Times New Roman"/>
          <w:color w:val="000000"/>
        </w:rPr>
        <w:t xml:space="preserve"> de 4,2 points </w:t>
      </w:r>
      <w:r w:rsidR="004B04C6">
        <w:rPr>
          <w:rFonts w:ascii="Times New Roman" w:hAnsi="Times New Roman" w:cs="Times New Roman"/>
          <w:color w:val="000000"/>
        </w:rPr>
        <w:t>durant cette période</w:t>
      </w:r>
      <w:r w:rsidR="005D6464">
        <w:rPr>
          <w:rFonts w:ascii="Times New Roman" w:hAnsi="Times New Roman" w:cs="Times New Roman"/>
          <w:color w:val="000000"/>
        </w:rPr>
        <w:t>.</w:t>
      </w:r>
    </w:p>
    <w:p w:rsidR="00A654CA" w:rsidRDefault="00A654CA" w:rsidP="00C72318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A654CA" w:rsidRDefault="00A654CA" w:rsidP="001E33C3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B06E9">
        <w:rPr>
          <w:rFonts w:ascii="Times New Roman" w:hAnsi="Times New Roman" w:cs="Times New Roman"/>
          <w:b/>
          <w:bCs/>
          <w:color w:val="000000"/>
        </w:rPr>
        <w:t xml:space="preserve">• </w:t>
      </w:r>
      <w:r w:rsidR="00E97AE9">
        <w:rPr>
          <w:rFonts w:ascii="Times New Roman" w:hAnsi="Times New Roman" w:cs="Times New Roman"/>
          <w:b/>
          <w:bCs/>
          <w:color w:val="000000"/>
        </w:rPr>
        <w:t>Qualité d</w:t>
      </w:r>
      <w:r>
        <w:rPr>
          <w:rFonts w:ascii="Times New Roman" w:hAnsi="Times New Roman" w:cs="Times New Roman"/>
          <w:b/>
          <w:bCs/>
          <w:color w:val="000000"/>
        </w:rPr>
        <w:t xml:space="preserve">e l’environnement : </w:t>
      </w:r>
      <w:r w:rsidR="00AB4418">
        <w:rPr>
          <w:rFonts w:ascii="Times New Roman" w:hAnsi="Times New Roman" w:cs="Times New Roman"/>
          <w:b/>
          <w:bCs/>
          <w:color w:val="000000"/>
        </w:rPr>
        <w:t xml:space="preserve">perception d’une </w:t>
      </w:r>
      <w:r w:rsidR="001E33C3">
        <w:rPr>
          <w:rFonts w:ascii="Times New Roman" w:hAnsi="Times New Roman" w:cs="Times New Roman"/>
          <w:b/>
          <w:bCs/>
          <w:color w:val="000000"/>
        </w:rPr>
        <w:t xml:space="preserve">nette régression </w:t>
      </w:r>
    </w:p>
    <w:p w:rsidR="00A654CA" w:rsidRDefault="000D5AB2" w:rsidP="003B2D07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L’opinion des ménages sur l’évolution de la qualité de la situation en matière de protection de l’environnement s’est fortement détériorée. En 2012, 44,7% des ménages  per</w:t>
      </w:r>
      <w:r w:rsidR="008D7771">
        <w:rPr>
          <w:rFonts w:ascii="Times New Roman" w:hAnsi="Times New Roman" w:cs="Times New Roman"/>
          <w:color w:val="000000"/>
        </w:rPr>
        <w:t xml:space="preserve">çoivent </w:t>
      </w:r>
      <w:r>
        <w:rPr>
          <w:rFonts w:ascii="Times New Roman" w:hAnsi="Times New Roman" w:cs="Times New Roman"/>
          <w:color w:val="000000"/>
        </w:rPr>
        <w:t xml:space="preserve">une amélioration de </w:t>
      </w:r>
      <w:r w:rsidR="008D7771">
        <w:rPr>
          <w:rFonts w:ascii="Times New Roman" w:hAnsi="Times New Roman" w:cs="Times New Roman"/>
          <w:color w:val="000000"/>
        </w:rPr>
        <w:t xml:space="preserve">cette </w:t>
      </w:r>
      <w:r>
        <w:rPr>
          <w:rFonts w:ascii="Times New Roman" w:hAnsi="Times New Roman" w:cs="Times New Roman"/>
          <w:color w:val="000000"/>
        </w:rPr>
        <w:t xml:space="preserve">situation contre  53,7% </w:t>
      </w:r>
      <w:r w:rsidR="003B2D07">
        <w:rPr>
          <w:rFonts w:ascii="Times New Roman" w:hAnsi="Times New Roman" w:cs="Times New Roman"/>
          <w:color w:val="000000"/>
        </w:rPr>
        <w:t>une année auparavant</w:t>
      </w:r>
      <w:r w:rsidR="008D7771">
        <w:rPr>
          <w:rFonts w:ascii="Times New Roman" w:hAnsi="Times New Roman" w:cs="Times New Roman"/>
          <w:color w:val="000000"/>
        </w:rPr>
        <w:t>.</w:t>
      </w:r>
      <w:r w:rsidR="00A654CA">
        <w:rPr>
          <w:rFonts w:ascii="Times New Roman" w:hAnsi="Times New Roman" w:cs="Times New Roman"/>
          <w:color w:val="000000"/>
        </w:rPr>
        <w:t xml:space="preserve"> </w:t>
      </w:r>
      <w:r w:rsidR="005B1521">
        <w:rPr>
          <w:rFonts w:ascii="Times New Roman" w:hAnsi="Times New Roman" w:cs="Times New Roman"/>
          <w:color w:val="000000"/>
        </w:rPr>
        <w:t xml:space="preserve">Le solde relatif à cet indicateur a </w:t>
      </w:r>
      <w:r w:rsidR="00D23F6C">
        <w:rPr>
          <w:rFonts w:ascii="Times New Roman" w:hAnsi="Times New Roman" w:cs="Times New Roman"/>
          <w:color w:val="000000"/>
        </w:rPr>
        <w:t>baiss</w:t>
      </w:r>
      <w:r w:rsidR="005B1521">
        <w:rPr>
          <w:rFonts w:ascii="Times New Roman" w:hAnsi="Times New Roman" w:cs="Times New Roman"/>
          <w:color w:val="000000"/>
        </w:rPr>
        <w:t xml:space="preserve">é de plus de 10 points </w:t>
      </w:r>
      <w:r w:rsidR="008D7771">
        <w:rPr>
          <w:rFonts w:ascii="Times New Roman" w:hAnsi="Times New Roman" w:cs="Times New Roman"/>
          <w:color w:val="000000"/>
        </w:rPr>
        <w:t>durant cette période</w:t>
      </w:r>
      <w:r w:rsidR="003B2D07">
        <w:rPr>
          <w:rFonts w:ascii="Times New Roman" w:hAnsi="Times New Roman" w:cs="Times New Roman"/>
          <w:color w:val="000000"/>
        </w:rPr>
        <w:t xml:space="preserve"> par rapport à son niveau de 2011</w:t>
      </w:r>
      <w:r w:rsidR="0023446F">
        <w:rPr>
          <w:rFonts w:ascii="Times New Roman" w:hAnsi="Times New Roman" w:cs="Times New Roman"/>
          <w:color w:val="000000"/>
        </w:rPr>
        <w:t xml:space="preserve"> passant de 36,4 points à 26,3 points</w:t>
      </w:r>
      <w:r w:rsidR="008D7771">
        <w:rPr>
          <w:rFonts w:ascii="Times New Roman" w:hAnsi="Times New Roman" w:cs="Times New Roman"/>
          <w:color w:val="000000"/>
        </w:rPr>
        <w:t>.</w:t>
      </w:r>
    </w:p>
    <w:p w:rsidR="00C72318" w:rsidRDefault="00C72318" w:rsidP="00C72318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64218D" w:rsidRDefault="0064218D" w:rsidP="00B01809">
      <w:pPr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72318" w:rsidRPr="00DB06E9" w:rsidRDefault="00C72318" w:rsidP="001E33C3">
      <w:pPr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B06E9">
        <w:rPr>
          <w:rFonts w:ascii="Times New Roman" w:hAnsi="Times New Roman" w:cs="Times New Roman"/>
          <w:b/>
          <w:bCs/>
          <w:color w:val="000000"/>
        </w:rPr>
        <w:lastRenderedPageBreak/>
        <w:t xml:space="preserve">• </w:t>
      </w:r>
      <w:r w:rsidR="001E33C3">
        <w:rPr>
          <w:rFonts w:ascii="Times New Roman" w:hAnsi="Times New Roman" w:cs="Times New Roman"/>
          <w:b/>
          <w:bCs/>
          <w:color w:val="000000"/>
        </w:rPr>
        <w:t>S</w:t>
      </w:r>
      <w:r w:rsidR="002118E7">
        <w:rPr>
          <w:rFonts w:ascii="Times New Roman" w:hAnsi="Times New Roman" w:cs="Times New Roman"/>
          <w:b/>
          <w:bCs/>
          <w:color w:val="000000"/>
        </w:rPr>
        <w:t>ervices de l’enseignement</w:t>
      </w:r>
      <w:r w:rsidR="00B01809">
        <w:rPr>
          <w:rFonts w:ascii="Times New Roman" w:hAnsi="Times New Roman" w:cs="Times New Roman"/>
          <w:b/>
          <w:bCs/>
          <w:color w:val="000000"/>
        </w:rPr>
        <w:t xml:space="preserve">: </w:t>
      </w:r>
      <w:r w:rsidR="00F0536F">
        <w:rPr>
          <w:rFonts w:ascii="Times New Roman" w:hAnsi="Times New Roman" w:cs="Times New Roman"/>
          <w:b/>
          <w:bCs/>
          <w:color w:val="000000"/>
        </w:rPr>
        <w:t>légère réduction du solde négatif</w:t>
      </w:r>
      <w:r w:rsidR="009E2124">
        <w:rPr>
          <w:rFonts w:ascii="Times New Roman" w:hAnsi="Times New Roman" w:cs="Times New Roman"/>
          <w:b/>
          <w:bCs/>
          <w:color w:val="000000"/>
        </w:rPr>
        <w:t xml:space="preserve"> des perceptions</w:t>
      </w:r>
      <w:r w:rsidR="00B01809"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0351D9" w:rsidRDefault="00C72318" w:rsidP="00C75A0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 201</w:t>
      </w:r>
      <w:r w:rsidR="00884DDB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, </w:t>
      </w:r>
      <w:r w:rsidR="00884DDB">
        <w:rPr>
          <w:rFonts w:ascii="Times New Roman" w:hAnsi="Times New Roman" w:cs="Times New Roman"/>
          <w:color w:val="000000"/>
        </w:rPr>
        <w:t>29,6</w:t>
      </w:r>
      <w:r>
        <w:rPr>
          <w:rFonts w:ascii="Times New Roman" w:hAnsi="Times New Roman" w:cs="Times New Roman"/>
          <w:color w:val="000000"/>
        </w:rPr>
        <w:t>% des ménages pensent que la qualité de</w:t>
      </w:r>
      <w:r w:rsidR="008D7771">
        <w:rPr>
          <w:rFonts w:ascii="Times New Roman" w:hAnsi="Times New Roman" w:cs="Times New Roman"/>
          <w:color w:val="000000"/>
        </w:rPr>
        <w:t xml:space="preserve">s services de </w:t>
      </w:r>
      <w:r w:rsidR="002E1306">
        <w:rPr>
          <w:rFonts w:ascii="Times New Roman" w:hAnsi="Times New Roman" w:cs="Times New Roman"/>
          <w:color w:val="000000"/>
        </w:rPr>
        <w:t xml:space="preserve"> l’enseignement </w:t>
      </w:r>
      <w:r>
        <w:rPr>
          <w:rFonts w:ascii="Times New Roman" w:hAnsi="Times New Roman" w:cs="Times New Roman"/>
          <w:color w:val="000000"/>
        </w:rPr>
        <w:t xml:space="preserve">s’est </w:t>
      </w:r>
      <w:r w:rsidR="00884DDB">
        <w:rPr>
          <w:rFonts w:ascii="Times New Roman" w:hAnsi="Times New Roman" w:cs="Times New Roman"/>
          <w:color w:val="000000"/>
        </w:rPr>
        <w:t>amél</w:t>
      </w:r>
      <w:r>
        <w:rPr>
          <w:rFonts w:ascii="Times New Roman" w:hAnsi="Times New Roman" w:cs="Times New Roman"/>
          <w:color w:val="000000"/>
        </w:rPr>
        <w:t xml:space="preserve">iorée, </w:t>
      </w:r>
      <w:r w:rsidR="00884DDB">
        <w:rPr>
          <w:rFonts w:ascii="Times New Roman" w:hAnsi="Times New Roman" w:cs="Times New Roman"/>
          <w:color w:val="000000"/>
        </w:rPr>
        <w:t>34,8</w:t>
      </w:r>
      <w:r>
        <w:rPr>
          <w:rFonts w:ascii="Times New Roman" w:hAnsi="Times New Roman" w:cs="Times New Roman"/>
          <w:color w:val="000000"/>
        </w:rPr>
        <w:t xml:space="preserve">% qu’elle </w:t>
      </w:r>
      <w:r w:rsidR="00C75A0D">
        <w:rPr>
          <w:rFonts w:ascii="Times New Roman" w:hAnsi="Times New Roman" w:cs="Times New Roman"/>
          <w:color w:val="000000"/>
        </w:rPr>
        <w:t xml:space="preserve">n’a pas </w:t>
      </w:r>
      <w:proofErr w:type="gramStart"/>
      <w:r w:rsidR="00C75A0D">
        <w:rPr>
          <w:rFonts w:ascii="Times New Roman" w:hAnsi="Times New Roman" w:cs="Times New Roman"/>
          <w:color w:val="000000"/>
        </w:rPr>
        <w:t>connu</w:t>
      </w:r>
      <w:proofErr w:type="gramEnd"/>
      <w:r w:rsidR="00C75A0D">
        <w:rPr>
          <w:rFonts w:ascii="Times New Roman" w:hAnsi="Times New Roman" w:cs="Times New Roman"/>
          <w:color w:val="000000"/>
        </w:rPr>
        <w:t xml:space="preserve"> de changement et</w:t>
      </w:r>
      <w:r>
        <w:rPr>
          <w:rFonts w:ascii="Times New Roman" w:hAnsi="Times New Roman" w:cs="Times New Roman"/>
          <w:color w:val="000000"/>
        </w:rPr>
        <w:t xml:space="preserve"> 3</w:t>
      </w:r>
      <w:r w:rsidR="00884DDB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,</w:t>
      </w:r>
      <w:r w:rsidR="00884DDB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 xml:space="preserve">% pensent qu’elle s’est plutôt </w:t>
      </w:r>
      <w:r w:rsidR="00884DDB">
        <w:rPr>
          <w:rFonts w:ascii="Times New Roman" w:hAnsi="Times New Roman" w:cs="Times New Roman"/>
          <w:color w:val="000000"/>
        </w:rPr>
        <w:t>détério</w:t>
      </w:r>
      <w:r>
        <w:rPr>
          <w:rFonts w:ascii="Times New Roman" w:hAnsi="Times New Roman" w:cs="Times New Roman"/>
          <w:color w:val="000000"/>
        </w:rPr>
        <w:t>rée.</w:t>
      </w:r>
      <w:r w:rsidR="00471B70">
        <w:rPr>
          <w:rFonts w:ascii="Times New Roman" w:hAnsi="Times New Roman" w:cs="Times New Roman"/>
          <w:color w:val="000000"/>
        </w:rPr>
        <w:t xml:space="preserve"> Le solde </w:t>
      </w:r>
      <w:r w:rsidR="00C75A0D">
        <w:rPr>
          <w:rFonts w:ascii="Times New Roman" w:hAnsi="Times New Roman" w:cs="Times New Roman"/>
          <w:color w:val="000000"/>
        </w:rPr>
        <w:t xml:space="preserve">négatif a ainsi baissé </w:t>
      </w:r>
      <w:r w:rsidR="00471B70">
        <w:rPr>
          <w:rFonts w:ascii="Times New Roman" w:hAnsi="Times New Roman" w:cs="Times New Roman"/>
          <w:color w:val="000000"/>
        </w:rPr>
        <w:t>de 3,8 points entre 2011 et 2012</w:t>
      </w:r>
      <w:r w:rsidR="00C75A0D">
        <w:rPr>
          <w:rFonts w:ascii="Times New Roman" w:hAnsi="Times New Roman" w:cs="Times New Roman"/>
          <w:color w:val="000000"/>
        </w:rPr>
        <w:t xml:space="preserve"> passant de -9,7 points à -5,9 points.</w:t>
      </w:r>
    </w:p>
    <w:p w:rsidR="00C75A0D" w:rsidRDefault="00C75A0D" w:rsidP="00C75A0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B01809" w:rsidRPr="000351D9" w:rsidRDefault="000351D9" w:rsidP="009E2124">
      <w:pPr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B06E9">
        <w:rPr>
          <w:rFonts w:ascii="Times New Roman" w:hAnsi="Times New Roman" w:cs="Times New Roman"/>
          <w:b/>
          <w:bCs/>
          <w:color w:val="000000"/>
        </w:rPr>
        <w:t>•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E2124">
        <w:rPr>
          <w:rFonts w:ascii="Times New Roman" w:hAnsi="Times New Roman" w:cs="Times New Roman"/>
          <w:b/>
          <w:bCs/>
          <w:color w:val="000000"/>
        </w:rPr>
        <w:t>S</w:t>
      </w:r>
      <w:r w:rsidRPr="000351D9">
        <w:rPr>
          <w:rFonts w:ascii="Times New Roman" w:hAnsi="Times New Roman" w:cs="Times New Roman"/>
          <w:b/>
          <w:bCs/>
          <w:color w:val="000000"/>
        </w:rPr>
        <w:t xml:space="preserve">ervices </w:t>
      </w:r>
      <w:r w:rsidR="00B01809" w:rsidRPr="000351D9">
        <w:rPr>
          <w:rFonts w:ascii="Times New Roman" w:hAnsi="Times New Roman" w:cs="Times New Roman"/>
          <w:b/>
          <w:bCs/>
          <w:color w:val="000000"/>
        </w:rPr>
        <w:t xml:space="preserve">de santé : </w:t>
      </w:r>
      <w:r w:rsidR="009E2124">
        <w:rPr>
          <w:rFonts w:ascii="Times New Roman" w:hAnsi="Times New Roman" w:cs="Times New Roman"/>
          <w:b/>
          <w:bCs/>
          <w:color w:val="000000"/>
        </w:rPr>
        <w:t>détérioration qui perdure selon les ménages</w:t>
      </w:r>
    </w:p>
    <w:p w:rsidR="00560C19" w:rsidRDefault="00B85C21" w:rsidP="00BD7775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L’opinion des ménages concernant la qualité des soins de santé est plus négative en 2012 </w:t>
      </w:r>
      <w:r w:rsidR="00C225D5">
        <w:rPr>
          <w:rFonts w:ascii="Times New Roman" w:hAnsi="Times New Roman" w:cs="Times New Roman"/>
          <w:color w:val="000000"/>
        </w:rPr>
        <w:t xml:space="preserve">en comparaison avec celle enregistrée </w:t>
      </w:r>
      <w:r>
        <w:rPr>
          <w:rFonts w:ascii="Times New Roman" w:hAnsi="Times New Roman" w:cs="Times New Roman"/>
          <w:color w:val="000000"/>
        </w:rPr>
        <w:t xml:space="preserve">en 2011. </w:t>
      </w:r>
      <w:r w:rsidR="00C72318">
        <w:rPr>
          <w:rFonts w:ascii="Times New Roman" w:hAnsi="Times New Roman" w:cs="Times New Roman"/>
          <w:color w:val="000000"/>
        </w:rPr>
        <w:t xml:space="preserve"> </w:t>
      </w:r>
      <w:r w:rsidR="00C225D5">
        <w:rPr>
          <w:rFonts w:ascii="Times New Roman" w:hAnsi="Times New Roman" w:cs="Times New Roman"/>
          <w:color w:val="000000"/>
        </w:rPr>
        <w:t>Moins d’un ménage sur quatre (</w:t>
      </w:r>
      <w:r>
        <w:rPr>
          <w:rFonts w:ascii="Times New Roman" w:hAnsi="Times New Roman" w:cs="Times New Roman"/>
          <w:color w:val="000000"/>
        </w:rPr>
        <w:t>23%</w:t>
      </w:r>
      <w:r w:rsidR="00C225D5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 pensent que l</w:t>
      </w:r>
      <w:r w:rsidR="009E213D">
        <w:rPr>
          <w:rFonts w:ascii="Times New Roman" w:hAnsi="Times New Roman" w:cs="Times New Roman"/>
          <w:color w:val="000000"/>
        </w:rPr>
        <w:t>es prestations sanitaires se sont</w:t>
      </w:r>
      <w:r>
        <w:rPr>
          <w:rFonts w:ascii="Times New Roman" w:hAnsi="Times New Roman" w:cs="Times New Roman"/>
          <w:color w:val="000000"/>
        </w:rPr>
        <w:t xml:space="preserve"> améliorée</w:t>
      </w:r>
      <w:r w:rsidR="009E213D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 (contre 27,4%</w:t>
      </w:r>
      <w:r w:rsidR="003B2D07">
        <w:rPr>
          <w:rFonts w:ascii="Times New Roman" w:hAnsi="Times New Roman" w:cs="Times New Roman"/>
          <w:color w:val="000000"/>
        </w:rPr>
        <w:t xml:space="preserve"> en 2011</w:t>
      </w:r>
      <w:r>
        <w:rPr>
          <w:rFonts w:ascii="Times New Roman" w:hAnsi="Times New Roman" w:cs="Times New Roman"/>
          <w:color w:val="000000"/>
        </w:rPr>
        <w:t>),  28,3% qu’elle</w:t>
      </w:r>
      <w:r w:rsidR="00184C38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 </w:t>
      </w:r>
      <w:r w:rsidR="00184C38">
        <w:rPr>
          <w:rFonts w:ascii="Times New Roman" w:hAnsi="Times New Roman" w:cs="Times New Roman"/>
          <w:color w:val="000000"/>
        </w:rPr>
        <w:t xml:space="preserve">sont restées au même niveau </w:t>
      </w:r>
      <w:r>
        <w:rPr>
          <w:rFonts w:ascii="Times New Roman" w:hAnsi="Times New Roman" w:cs="Times New Roman"/>
          <w:color w:val="000000"/>
        </w:rPr>
        <w:t xml:space="preserve">(contre 25,9% </w:t>
      </w:r>
      <w:r w:rsidR="003B2D07">
        <w:rPr>
          <w:rFonts w:ascii="Times New Roman" w:hAnsi="Times New Roman" w:cs="Times New Roman"/>
          <w:color w:val="000000"/>
        </w:rPr>
        <w:t>en 2011)</w:t>
      </w:r>
      <w:r w:rsidR="00184C38">
        <w:rPr>
          <w:rFonts w:ascii="Times New Roman" w:hAnsi="Times New Roman" w:cs="Times New Roman"/>
          <w:color w:val="000000"/>
        </w:rPr>
        <w:t xml:space="preserve"> alors que </w:t>
      </w:r>
      <w:r>
        <w:rPr>
          <w:rFonts w:ascii="Times New Roman" w:hAnsi="Times New Roman" w:cs="Times New Roman"/>
          <w:color w:val="000000"/>
        </w:rPr>
        <w:t xml:space="preserve">48,7% </w:t>
      </w:r>
      <w:r w:rsidR="00184C38">
        <w:rPr>
          <w:rFonts w:ascii="Times New Roman" w:hAnsi="Times New Roman" w:cs="Times New Roman"/>
          <w:color w:val="000000"/>
        </w:rPr>
        <w:t xml:space="preserve">affirment </w:t>
      </w:r>
      <w:r>
        <w:rPr>
          <w:rFonts w:ascii="Times New Roman" w:hAnsi="Times New Roman" w:cs="Times New Roman"/>
          <w:color w:val="000000"/>
        </w:rPr>
        <w:t>qu’elle</w:t>
      </w:r>
      <w:r w:rsidR="00184C38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 s</w:t>
      </w:r>
      <w:r w:rsidR="00184C38">
        <w:rPr>
          <w:rFonts w:ascii="Times New Roman" w:hAnsi="Times New Roman" w:cs="Times New Roman"/>
          <w:color w:val="000000"/>
        </w:rPr>
        <w:t xml:space="preserve">e sont plutôt </w:t>
      </w:r>
      <w:r>
        <w:rPr>
          <w:rFonts w:ascii="Times New Roman" w:hAnsi="Times New Roman" w:cs="Times New Roman"/>
          <w:color w:val="000000"/>
        </w:rPr>
        <w:t>détériorée</w:t>
      </w:r>
      <w:r w:rsidR="00184C38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 (contre 46,7%</w:t>
      </w:r>
      <w:r w:rsidR="003B2D07">
        <w:rPr>
          <w:rFonts w:ascii="Times New Roman" w:hAnsi="Times New Roman" w:cs="Times New Roman"/>
          <w:color w:val="000000"/>
        </w:rPr>
        <w:t xml:space="preserve"> en 2011</w:t>
      </w:r>
      <w:r>
        <w:rPr>
          <w:rFonts w:ascii="Times New Roman" w:hAnsi="Times New Roman" w:cs="Times New Roman"/>
          <w:color w:val="000000"/>
        </w:rPr>
        <w:t>).</w:t>
      </w:r>
      <w:r w:rsidR="00C225D5">
        <w:rPr>
          <w:rFonts w:ascii="Times New Roman" w:hAnsi="Times New Roman" w:cs="Times New Roman"/>
          <w:color w:val="000000"/>
        </w:rPr>
        <w:t xml:space="preserve"> </w:t>
      </w:r>
      <w:r w:rsidR="00BD7775">
        <w:rPr>
          <w:rFonts w:ascii="Times New Roman" w:hAnsi="Times New Roman" w:cs="Times New Roman"/>
          <w:color w:val="000000"/>
        </w:rPr>
        <w:t xml:space="preserve">Le </w:t>
      </w:r>
      <w:r w:rsidR="00560C19">
        <w:rPr>
          <w:rFonts w:ascii="Times New Roman" w:hAnsi="Times New Roman" w:cs="Times New Roman"/>
          <w:color w:val="000000"/>
        </w:rPr>
        <w:t xml:space="preserve">solde </w:t>
      </w:r>
      <w:r w:rsidR="00BD7775">
        <w:rPr>
          <w:rFonts w:ascii="Times New Roman" w:hAnsi="Times New Roman" w:cs="Times New Roman"/>
          <w:color w:val="000000"/>
        </w:rPr>
        <w:t xml:space="preserve">négatif </w:t>
      </w:r>
      <w:r w:rsidR="00C225D5">
        <w:rPr>
          <w:rFonts w:ascii="Times New Roman" w:hAnsi="Times New Roman" w:cs="Times New Roman"/>
          <w:color w:val="000000"/>
        </w:rPr>
        <w:t>de c</w:t>
      </w:r>
      <w:r w:rsidR="00560C19">
        <w:rPr>
          <w:rFonts w:ascii="Times New Roman" w:hAnsi="Times New Roman" w:cs="Times New Roman"/>
          <w:color w:val="000000"/>
        </w:rPr>
        <w:t xml:space="preserve">et indicateur </w:t>
      </w:r>
      <w:r w:rsidR="00BD7775">
        <w:rPr>
          <w:rFonts w:ascii="Times New Roman" w:hAnsi="Times New Roman" w:cs="Times New Roman"/>
          <w:color w:val="000000"/>
        </w:rPr>
        <w:t xml:space="preserve">qui était de -19,3 points perd </w:t>
      </w:r>
      <w:r w:rsidR="00560C19">
        <w:rPr>
          <w:rFonts w:ascii="Times New Roman" w:hAnsi="Times New Roman" w:cs="Times New Roman"/>
          <w:color w:val="000000"/>
        </w:rPr>
        <w:t>6,4 points</w:t>
      </w:r>
      <w:r w:rsidR="00BD7775">
        <w:rPr>
          <w:rFonts w:ascii="Times New Roman" w:hAnsi="Times New Roman" w:cs="Times New Roman"/>
          <w:color w:val="000000"/>
        </w:rPr>
        <w:t xml:space="preserve"> durant cette période</w:t>
      </w:r>
      <w:r w:rsidR="00560C19">
        <w:rPr>
          <w:rFonts w:ascii="Times New Roman" w:hAnsi="Times New Roman" w:cs="Times New Roman"/>
          <w:color w:val="000000"/>
        </w:rPr>
        <w:t xml:space="preserve">. </w:t>
      </w:r>
    </w:p>
    <w:p w:rsidR="00B85C21" w:rsidRDefault="00B85C21" w:rsidP="00B85C21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CC77E4" w:rsidRDefault="00CC77E4" w:rsidP="00716BDB">
      <w:pPr>
        <w:widowControl/>
        <w:autoSpaceDE/>
        <w:autoSpaceDN/>
        <w:adjustRightInd/>
        <w:spacing w:before="100" w:after="240" w:line="276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1F062E">
        <w:rPr>
          <w:rFonts w:ascii="Times New Roman" w:hAnsi="Times New Roman" w:cs="Times New Roman"/>
          <w:b/>
          <w:bCs/>
        </w:rPr>
        <w:t xml:space="preserve">Appréciation de l'évolution </w:t>
      </w:r>
      <w:r>
        <w:rPr>
          <w:rFonts w:ascii="Times New Roman" w:hAnsi="Times New Roman" w:cs="Times New Roman"/>
          <w:b/>
          <w:bCs/>
        </w:rPr>
        <w:t xml:space="preserve">de la qualité de </w:t>
      </w:r>
      <w:r w:rsidR="009E2124">
        <w:rPr>
          <w:rFonts w:ascii="Times New Roman" w:hAnsi="Times New Roman" w:cs="Times New Roman"/>
          <w:b/>
          <w:bCs/>
        </w:rPr>
        <w:t xml:space="preserve">quelques </w:t>
      </w:r>
      <w:r w:rsidR="00716BDB">
        <w:rPr>
          <w:rFonts w:ascii="Times New Roman" w:hAnsi="Times New Roman" w:cs="Times New Roman"/>
          <w:b/>
          <w:bCs/>
        </w:rPr>
        <w:t>prestations</w:t>
      </w:r>
      <w:r w:rsidR="009E2124">
        <w:rPr>
          <w:rFonts w:ascii="Times New Roman" w:hAnsi="Times New Roman" w:cs="Times New Roman"/>
          <w:b/>
          <w:bCs/>
        </w:rPr>
        <w:t xml:space="preserve"> administratives et sociales</w:t>
      </w:r>
      <w:r>
        <w:rPr>
          <w:rFonts w:ascii="Times New Roman" w:hAnsi="Times New Roman" w:cs="Times New Roman"/>
          <w:b/>
          <w:bCs/>
        </w:rPr>
        <w:t>, de la situation des droits de l'Homme et de l'environnement</w:t>
      </w:r>
    </w:p>
    <w:tbl>
      <w:tblPr>
        <w:tblW w:w="10397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2400"/>
        <w:gridCol w:w="1326"/>
        <w:gridCol w:w="996"/>
        <w:gridCol w:w="1129"/>
        <w:gridCol w:w="607"/>
        <w:gridCol w:w="1207"/>
        <w:gridCol w:w="996"/>
        <w:gridCol w:w="1129"/>
        <w:gridCol w:w="607"/>
      </w:tblGrid>
      <w:tr w:rsidR="00CC77E4" w:rsidRPr="009D209A" w:rsidTr="00357A6B">
        <w:trPr>
          <w:trHeight w:val="39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7E4" w:rsidRPr="009D209A" w:rsidRDefault="00CC77E4" w:rsidP="00357A6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Indicateur</w:t>
            </w:r>
          </w:p>
        </w:tc>
        <w:tc>
          <w:tcPr>
            <w:tcW w:w="4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E4" w:rsidRPr="009D209A" w:rsidRDefault="00CC77E4" w:rsidP="00357A6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E4" w:rsidRPr="009D209A" w:rsidRDefault="00CC77E4" w:rsidP="00357A6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CC77E4" w:rsidRPr="009D209A" w:rsidTr="00357A6B">
        <w:trPr>
          <w:trHeight w:val="39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7E4" w:rsidRPr="009D209A" w:rsidRDefault="00CC77E4" w:rsidP="00357A6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Amélioration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7E4" w:rsidRPr="009D209A" w:rsidRDefault="00CC77E4" w:rsidP="00357A6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Stagnation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7E4" w:rsidRPr="009D209A" w:rsidRDefault="00CC77E4" w:rsidP="00357A6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Dégradation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7E4" w:rsidRPr="009D209A" w:rsidRDefault="00CC77E4" w:rsidP="00357A6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20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Solde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7E4" w:rsidRPr="009D209A" w:rsidRDefault="00CC77E4" w:rsidP="00357A6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Amélioration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7E4" w:rsidRPr="009D209A" w:rsidRDefault="00CC77E4" w:rsidP="00357A6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Stagnation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7E4" w:rsidRPr="009D209A" w:rsidRDefault="00CC77E4" w:rsidP="00357A6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Dégradation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7E4" w:rsidRPr="009D209A" w:rsidRDefault="00CC77E4" w:rsidP="00357A6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20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Solde</w:t>
            </w:r>
          </w:p>
        </w:tc>
      </w:tr>
      <w:tr w:rsidR="00CC77E4" w:rsidRPr="009D209A" w:rsidTr="005E18D4">
        <w:trPr>
          <w:trHeight w:val="3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Evolution  de la situation des droits de l'Homme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20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209A">
              <w:rPr>
                <w:rFonts w:ascii="Calibri" w:hAnsi="Calibri" w:cs="Times New Roman"/>
                <w:color w:val="000000"/>
                <w:sz w:val="22"/>
                <w:szCs w:val="22"/>
              </w:rPr>
              <w:t>58,2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1704F6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209A">
              <w:rPr>
                <w:rFonts w:ascii="Calibri" w:hAnsi="Calibri" w:cs="Times New Roman"/>
                <w:color w:val="000000"/>
                <w:sz w:val="22"/>
                <w:szCs w:val="22"/>
              </w:rPr>
              <w:t>33,</w:t>
            </w:r>
            <w:r w:rsidR="001704F6">
              <w:rPr>
                <w:rFonts w:ascii="Calibri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209A">
              <w:rPr>
                <w:rFonts w:ascii="Calibri" w:hAnsi="Calibri" w:cs="Times New Roman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20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CC77E4" w:rsidRPr="009D209A" w:rsidTr="005E18D4">
        <w:trPr>
          <w:trHeight w:val="3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Evolution  de la qualité des prestations administratives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20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209A">
              <w:rPr>
                <w:rFonts w:ascii="Calibri" w:hAnsi="Calibri" w:cs="Times New Roman"/>
                <w:color w:val="000000"/>
                <w:sz w:val="22"/>
                <w:szCs w:val="22"/>
              </w:rPr>
              <w:t>51,0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209A">
              <w:rPr>
                <w:rFonts w:ascii="Calibri" w:hAnsi="Calibri" w:cs="Times New Roman"/>
                <w:color w:val="000000"/>
                <w:sz w:val="22"/>
                <w:szCs w:val="22"/>
              </w:rPr>
              <w:t>28,3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209A">
              <w:rPr>
                <w:rFonts w:ascii="Calibri" w:hAnsi="Calibri" w:cs="Times New Roman"/>
                <w:color w:val="000000"/>
                <w:sz w:val="22"/>
                <w:szCs w:val="22"/>
              </w:rPr>
              <w:t>20,7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20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30,3</w:t>
            </w:r>
          </w:p>
        </w:tc>
      </w:tr>
      <w:tr w:rsidR="00CC77E4" w:rsidRPr="009D209A" w:rsidTr="005E18D4">
        <w:trPr>
          <w:trHeight w:val="3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Evolution  de la protection  de l'environnement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20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209A">
              <w:rPr>
                <w:rFonts w:ascii="Calibri" w:hAnsi="Calibri" w:cs="Times New Roman"/>
                <w:color w:val="000000"/>
                <w:sz w:val="22"/>
                <w:szCs w:val="22"/>
              </w:rPr>
              <w:t>44,7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209A">
              <w:rPr>
                <w:rFonts w:ascii="Calibri" w:hAnsi="Calibri" w:cs="Times New Roman"/>
                <w:color w:val="000000"/>
                <w:sz w:val="22"/>
                <w:szCs w:val="22"/>
              </w:rPr>
              <w:t>36,8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209A">
              <w:rPr>
                <w:rFonts w:ascii="Calibri" w:hAnsi="Calibri" w:cs="Times New Roman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20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26,3</w:t>
            </w:r>
          </w:p>
        </w:tc>
      </w:tr>
      <w:tr w:rsidR="00CC77E4" w:rsidRPr="009D209A" w:rsidTr="005E18D4">
        <w:trPr>
          <w:trHeight w:val="3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2E130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Evolution  de la qualité des services d'</w:t>
            </w:r>
            <w:r w:rsidR="002E1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 l’enseignement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20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-9,7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209A">
              <w:rPr>
                <w:rFonts w:ascii="Calibri" w:hAnsi="Calibri" w:cs="Times New Roman"/>
                <w:color w:val="000000"/>
                <w:sz w:val="22"/>
                <w:szCs w:val="22"/>
              </w:rPr>
              <w:t>29,6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209A">
              <w:rPr>
                <w:rFonts w:ascii="Calibri" w:hAnsi="Calibri" w:cs="Times New Roman"/>
                <w:color w:val="000000"/>
                <w:sz w:val="22"/>
                <w:szCs w:val="22"/>
              </w:rPr>
              <w:t>34,8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209A">
              <w:rPr>
                <w:rFonts w:ascii="Calibri" w:hAnsi="Calibri" w:cs="Times New Roman"/>
                <w:color w:val="000000"/>
                <w:sz w:val="22"/>
                <w:szCs w:val="22"/>
              </w:rPr>
              <w:t>35,6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20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-5,9</w:t>
            </w:r>
          </w:p>
        </w:tc>
      </w:tr>
      <w:tr w:rsidR="00CC77E4" w:rsidRPr="009D209A" w:rsidTr="005E18D4">
        <w:trPr>
          <w:trHeight w:val="3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Evolution  de la qualité des services de santé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0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20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-19,3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209A">
              <w:rPr>
                <w:rFonts w:ascii="Calibri" w:hAnsi="Calibri" w:cs="Times New Roman"/>
                <w:color w:val="000000"/>
                <w:sz w:val="22"/>
                <w:szCs w:val="22"/>
              </w:rPr>
              <w:t>23,0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209A">
              <w:rPr>
                <w:rFonts w:ascii="Calibri" w:hAnsi="Calibri" w:cs="Times New Roman"/>
                <w:color w:val="000000"/>
                <w:sz w:val="22"/>
                <w:szCs w:val="22"/>
              </w:rPr>
              <w:t>28,3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D209A">
              <w:rPr>
                <w:rFonts w:ascii="Calibri" w:hAnsi="Calibri" w:cs="Times New Roman"/>
                <w:color w:val="000000"/>
                <w:sz w:val="22"/>
                <w:szCs w:val="22"/>
              </w:rPr>
              <w:t>48,7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7E4" w:rsidRPr="009D209A" w:rsidRDefault="00CC77E4" w:rsidP="005E18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20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-25,7</w:t>
            </w:r>
          </w:p>
        </w:tc>
      </w:tr>
    </w:tbl>
    <w:p w:rsidR="00CC77E4" w:rsidRDefault="00CC77E4" w:rsidP="00CC77E4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C72318" w:rsidRDefault="00C72318" w:rsidP="00C72318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C72318" w:rsidRDefault="00C72318" w:rsidP="00C72318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DB06E9">
        <w:rPr>
          <w:rFonts w:ascii="Times New Roman" w:hAnsi="Times New Roman" w:cs="Times New Roman"/>
          <w:color w:val="000000"/>
        </w:rPr>
        <w:t>Ci-joint  les détails des différents indicateurs et un rappel des principaux concepts.</w:t>
      </w:r>
    </w:p>
    <w:p w:rsidR="009D209A" w:rsidRDefault="009D209A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9D209A" w:rsidSect="005B1014">
          <w:footerReference w:type="default" r:id="rId14"/>
          <w:pgSz w:w="11906" w:h="16838" w:code="9"/>
          <w:pgMar w:top="1134" w:right="720" w:bottom="720" w:left="1077" w:header="709" w:footer="709" w:gutter="0"/>
          <w:cols w:space="708"/>
          <w:docGrid w:linePitch="360"/>
        </w:sectPr>
      </w:pPr>
    </w:p>
    <w:p w:rsidR="00B10786" w:rsidRDefault="005D5B33" w:rsidP="00C35BF2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08C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Evolution de l’I</w:t>
      </w:r>
      <w:r w:rsidR="00C35B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ndice de </w:t>
      </w:r>
      <w:r w:rsidRPr="004708C0">
        <w:rPr>
          <w:rFonts w:ascii="Times New Roman" w:hAnsi="Times New Roman" w:cs="Times New Roman"/>
          <w:b/>
          <w:color w:val="000000"/>
          <w:sz w:val="28"/>
          <w:szCs w:val="28"/>
        </w:rPr>
        <w:t>C</w:t>
      </w:r>
      <w:r w:rsidR="00C35B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onfiance des </w:t>
      </w:r>
      <w:r w:rsidRPr="004708C0">
        <w:rPr>
          <w:rFonts w:ascii="Times New Roman" w:hAnsi="Times New Roman" w:cs="Times New Roman"/>
          <w:b/>
          <w:color w:val="000000"/>
          <w:sz w:val="28"/>
          <w:szCs w:val="28"/>
        </w:rPr>
        <w:t>M</w:t>
      </w:r>
      <w:r w:rsidR="00C35B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énages  (ICM) </w:t>
      </w:r>
      <w:r w:rsidRPr="004708C0">
        <w:rPr>
          <w:rFonts w:ascii="Times New Roman" w:hAnsi="Times New Roman" w:cs="Times New Roman"/>
          <w:b/>
          <w:color w:val="000000"/>
          <w:sz w:val="28"/>
          <w:szCs w:val="28"/>
        </w:rPr>
        <w:t>et de ses composantes</w:t>
      </w:r>
    </w:p>
    <w:p w:rsidR="005D5B33" w:rsidRDefault="005D5B33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5427" w:type="dxa"/>
        <w:tblInd w:w="5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87"/>
        <w:gridCol w:w="867"/>
        <w:gridCol w:w="715"/>
        <w:gridCol w:w="710"/>
        <w:gridCol w:w="708"/>
        <w:gridCol w:w="709"/>
        <w:gridCol w:w="709"/>
        <w:gridCol w:w="662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624"/>
        <w:gridCol w:w="668"/>
        <w:gridCol w:w="668"/>
      </w:tblGrid>
      <w:tr w:rsidR="00032ECD" w:rsidRPr="00114522" w:rsidTr="000D341B">
        <w:trPr>
          <w:trHeight w:val="315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Indicateur</w:t>
            </w:r>
          </w:p>
        </w:tc>
        <w:tc>
          <w:tcPr>
            <w:tcW w:w="1274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Trimestre</w:t>
            </w:r>
          </w:p>
        </w:tc>
      </w:tr>
      <w:tr w:rsidR="00032ECD" w:rsidRPr="00114522" w:rsidTr="00032ECD">
        <w:trPr>
          <w:trHeight w:val="480"/>
        </w:trPr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ECD" w:rsidRPr="00114522" w:rsidRDefault="00032ECD" w:rsidP="00F0475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T1/08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T2/08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T3/08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T4/08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T1/09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T2/09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T3/09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T4/09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T1/10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T2/10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T3/10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T4/10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T1/11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T2/11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T3/11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T4/11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T1/12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T2/12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CD" w:rsidRPr="004211F6" w:rsidRDefault="00032ECD" w:rsidP="00032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1F6">
              <w:rPr>
                <w:rFonts w:ascii="Times New Roman" w:hAnsi="Times New Roman" w:cs="Times New Roman"/>
                <w:sz w:val="18"/>
                <w:szCs w:val="18"/>
              </w:rPr>
              <w:t>T3/12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CD" w:rsidRPr="004211F6" w:rsidRDefault="00032ECD" w:rsidP="00032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T4/12</w:t>
            </w:r>
          </w:p>
        </w:tc>
      </w:tr>
      <w:tr w:rsidR="00032ECD" w:rsidRPr="00114522" w:rsidTr="000D341B">
        <w:trPr>
          <w:trHeight w:val="558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Indicateur résumé ICM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82,9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CD" w:rsidRPr="00032ECD" w:rsidRDefault="00032ECD" w:rsidP="00032E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2E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77,6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CD" w:rsidRPr="00032ECD" w:rsidRDefault="00032ECD" w:rsidP="00032E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2E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78,4</w:t>
            </w:r>
          </w:p>
        </w:tc>
      </w:tr>
      <w:tr w:rsidR="00032ECD" w:rsidRPr="00114522" w:rsidTr="000D341B">
        <w:trPr>
          <w:trHeight w:val="501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Perspectives d'évolution du nombre de chômeurs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-52,1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-56,6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-51,6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-51,1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-59,1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-57,9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-57,5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-59,2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-61,0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-56,1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-52,3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-52,4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-46,0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-41,0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-41,6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-44,1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-48,6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CD" w:rsidRPr="004211F6" w:rsidRDefault="00032ECD" w:rsidP="00032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1F6">
              <w:rPr>
                <w:rFonts w:ascii="Times New Roman" w:hAnsi="Times New Roman" w:cs="Times New Roman"/>
                <w:sz w:val="18"/>
                <w:szCs w:val="18"/>
              </w:rPr>
              <w:t>-56,7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CD" w:rsidRPr="00032ECD" w:rsidRDefault="00032ECD" w:rsidP="00032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ECD">
              <w:rPr>
                <w:rFonts w:ascii="Times New Roman" w:hAnsi="Times New Roman" w:cs="Times New Roman"/>
                <w:sz w:val="18"/>
                <w:szCs w:val="18"/>
              </w:rPr>
              <w:t>-58,1</w:t>
            </w:r>
          </w:p>
        </w:tc>
      </w:tr>
      <w:tr w:rsidR="00032ECD" w:rsidRPr="00114522" w:rsidTr="000D341B">
        <w:trPr>
          <w:trHeight w:val="601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Evolution  passée du niveau de vie en général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-10,4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-25,2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-29,1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-25,7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-26,5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-25,7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-28,6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-27,9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-37,2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-26,1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-17,0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-13,4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-20,2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-26,2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-21,8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CD" w:rsidRPr="004211F6" w:rsidRDefault="00032ECD" w:rsidP="00032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1F6">
              <w:rPr>
                <w:rFonts w:ascii="Times New Roman" w:hAnsi="Times New Roman" w:cs="Times New Roman"/>
                <w:sz w:val="18"/>
                <w:szCs w:val="18"/>
              </w:rPr>
              <w:t>-27,9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CD" w:rsidRPr="00032ECD" w:rsidRDefault="00032ECD" w:rsidP="00032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ECD">
              <w:rPr>
                <w:rFonts w:ascii="Times New Roman" w:hAnsi="Times New Roman" w:cs="Times New Roman"/>
                <w:sz w:val="18"/>
                <w:szCs w:val="18"/>
              </w:rPr>
              <w:t>-28,1</w:t>
            </w:r>
          </w:p>
        </w:tc>
      </w:tr>
      <w:tr w:rsidR="00032ECD" w:rsidRPr="00114522" w:rsidTr="000D341B">
        <w:trPr>
          <w:trHeight w:val="567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Perspectives d'évolution du niveau de vie en général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-11,5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-3,5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-11,4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-1,9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18,1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11,9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CD" w:rsidRPr="004211F6" w:rsidRDefault="00032ECD" w:rsidP="00032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1F6">
              <w:rPr>
                <w:rFonts w:ascii="Times New Roman" w:hAnsi="Times New Roman" w:cs="Times New Roman"/>
                <w:sz w:val="18"/>
                <w:szCs w:val="18"/>
              </w:rPr>
              <w:t>-3,2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CD" w:rsidRPr="00032ECD" w:rsidRDefault="00032ECD" w:rsidP="00032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ECD">
              <w:rPr>
                <w:rFonts w:ascii="Times New Roman" w:hAnsi="Times New Roman" w:cs="Times New Roman"/>
                <w:sz w:val="18"/>
                <w:szCs w:val="18"/>
              </w:rPr>
              <w:t>-1,2</w:t>
            </w:r>
          </w:p>
        </w:tc>
      </w:tr>
      <w:tr w:rsidR="00032ECD" w:rsidRPr="00114522" w:rsidTr="000D341B">
        <w:trPr>
          <w:trHeight w:val="408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Opportunité d'achat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-34,3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-46,5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-43,4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-42,6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-34,8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-37,5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-36,0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-44,3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-39,9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-39,0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-36,4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-38,5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-37,4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CD" w:rsidRPr="004211F6" w:rsidRDefault="00032ECD" w:rsidP="00032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1F6">
              <w:rPr>
                <w:rFonts w:ascii="Times New Roman" w:hAnsi="Times New Roman" w:cs="Times New Roman"/>
                <w:sz w:val="18"/>
                <w:szCs w:val="18"/>
              </w:rPr>
              <w:t>-29,5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CD" w:rsidRPr="00032ECD" w:rsidRDefault="00032ECD" w:rsidP="00032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ECD">
              <w:rPr>
                <w:rFonts w:ascii="Times New Roman" w:hAnsi="Times New Roman" w:cs="Times New Roman"/>
                <w:sz w:val="18"/>
                <w:szCs w:val="18"/>
              </w:rPr>
              <w:t>-29,3</w:t>
            </w:r>
          </w:p>
        </w:tc>
      </w:tr>
      <w:tr w:rsidR="00032ECD" w:rsidRPr="00114522" w:rsidTr="000D341B">
        <w:trPr>
          <w:trHeight w:val="555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Situation financière actuelle des ménages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-33,0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-32,9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-26,9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-28,3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-25,3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-27,5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-27,6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-30,0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-28,1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-30,6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-27,1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-24,3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-25,7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-25,4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-31,0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CD" w:rsidRPr="004211F6" w:rsidRDefault="00032ECD" w:rsidP="00032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1F6">
              <w:rPr>
                <w:rFonts w:ascii="Times New Roman" w:hAnsi="Times New Roman" w:cs="Times New Roman"/>
                <w:sz w:val="18"/>
                <w:szCs w:val="18"/>
              </w:rPr>
              <w:t>-30,8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CD" w:rsidRPr="00032ECD" w:rsidRDefault="00032ECD" w:rsidP="00032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ECD">
              <w:rPr>
                <w:rFonts w:ascii="Times New Roman" w:hAnsi="Times New Roman" w:cs="Times New Roman"/>
                <w:sz w:val="18"/>
                <w:szCs w:val="18"/>
              </w:rPr>
              <w:t>-29,4</w:t>
            </w:r>
          </w:p>
        </w:tc>
      </w:tr>
      <w:tr w:rsidR="00032ECD" w:rsidRPr="00114522" w:rsidTr="000D341B">
        <w:trPr>
          <w:trHeight w:val="705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Evolution  passée  de la situation financière des ménages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-11,8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-11,4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-11,7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-13,4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-8,3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-11,0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-10,0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-7,9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-7,5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-12,8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-10,5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-8,9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-6,4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-9,8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-14,1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-16,6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CD" w:rsidRPr="004211F6" w:rsidRDefault="00032ECD" w:rsidP="00032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1F6">
              <w:rPr>
                <w:rFonts w:ascii="Times New Roman" w:hAnsi="Times New Roman" w:cs="Times New Roman"/>
                <w:sz w:val="18"/>
                <w:szCs w:val="18"/>
              </w:rPr>
              <w:t>-16,7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CD" w:rsidRPr="00032ECD" w:rsidRDefault="00032ECD" w:rsidP="00032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ECD">
              <w:rPr>
                <w:rFonts w:ascii="Times New Roman" w:hAnsi="Times New Roman" w:cs="Times New Roman"/>
                <w:sz w:val="18"/>
                <w:szCs w:val="18"/>
              </w:rPr>
              <w:t>-15,7</w:t>
            </w:r>
          </w:p>
        </w:tc>
      </w:tr>
      <w:tr w:rsidR="00032ECD" w:rsidRPr="00114522" w:rsidTr="000D341B">
        <w:trPr>
          <w:trHeight w:val="557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Evolution  future de la situation financière des ménages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23,9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16,6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26,8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11,8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20,4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CD" w:rsidRPr="004211F6" w:rsidRDefault="00032ECD" w:rsidP="00032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1F6">
              <w:rPr>
                <w:rFonts w:ascii="Times New Roman" w:hAnsi="Times New Roman" w:cs="Times New Roman"/>
                <w:sz w:val="18"/>
                <w:szCs w:val="18"/>
              </w:rPr>
              <w:t>7,7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CD" w:rsidRPr="00032ECD" w:rsidRDefault="00032ECD" w:rsidP="00032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ECD"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</w:p>
        </w:tc>
      </w:tr>
      <w:tr w:rsidR="00032ECD" w:rsidRPr="00114522" w:rsidTr="000D341B">
        <w:trPr>
          <w:trHeight w:val="484"/>
        </w:trPr>
        <w:tc>
          <w:tcPr>
            <w:tcW w:w="1542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ECD" w:rsidRPr="00C35BF2" w:rsidRDefault="00032ECD" w:rsidP="004211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5B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Autres soldes</w:t>
            </w:r>
          </w:p>
        </w:tc>
      </w:tr>
      <w:tr w:rsidR="00032ECD" w:rsidRPr="00114522" w:rsidTr="000D341B">
        <w:trPr>
          <w:trHeight w:val="626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Evolution future des prix des produits alimentaires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-74,1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-77,7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-78,9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-49,7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-33,5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-50,9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-47,9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-46,5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-56,8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-62,2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-70,2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-73,4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-58,8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-72,6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-73,0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-69,8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-71,5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CD" w:rsidRPr="004211F6" w:rsidRDefault="00032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1F6">
              <w:rPr>
                <w:rFonts w:ascii="Times New Roman" w:hAnsi="Times New Roman" w:cs="Times New Roman"/>
                <w:sz w:val="18"/>
                <w:szCs w:val="18"/>
              </w:rPr>
              <w:t>-73,6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CD" w:rsidRPr="00032ECD" w:rsidRDefault="00032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ECD">
              <w:rPr>
                <w:rFonts w:ascii="Times New Roman" w:hAnsi="Times New Roman" w:cs="Times New Roman"/>
                <w:sz w:val="18"/>
                <w:szCs w:val="18"/>
              </w:rPr>
              <w:t>-70,0</w:t>
            </w:r>
          </w:p>
        </w:tc>
      </w:tr>
      <w:tr w:rsidR="00032ECD" w:rsidRPr="00114522" w:rsidTr="000D341B">
        <w:trPr>
          <w:trHeight w:val="576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Evolution  passée des prix des produits alimentaires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-93,6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-95,9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-98,0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-96,2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-87,2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-85,7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-83,3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-79,5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-87,8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-89,7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-90,9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-95,5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-87,2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-89,9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-92,5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-91,6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-91,1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CD" w:rsidRPr="004211F6" w:rsidRDefault="00032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1F6">
              <w:rPr>
                <w:rFonts w:ascii="Times New Roman" w:hAnsi="Times New Roman" w:cs="Times New Roman"/>
                <w:sz w:val="18"/>
                <w:szCs w:val="18"/>
              </w:rPr>
              <w:t>-91,7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CD" w:rsidRPr="00032ECD" w:rsidRDefault="00032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ECD">
              <w:rPr>
                <w:rFonts w:ascii="Times New Roman" w:hAnsi="Times New Roman" w:cs="Times New Roman"/>
                <w:sz w:val="18"/>
                <w:szCs w:val="18"/>
              </w:rPr>
              <w:t>-90,6</w:t>
            </w:r>
          </w:p>
        </w:tc>
      </w:tr>
      <w:tr w:rsidR="00032ECD" w:rsidRPr="00114522" w:rsidTr="000D341B">
        <w:trPr>
          <w:trHeight w:val="682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CD" w:rsidRPr="00114522" w:rsidRDefault="00032ECD" w:rsidP="00F04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Capacité à épargner des ménages dans les mois à venir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-61,2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-61,3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-60,7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-56,7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-56,8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-57,1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-57,8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-58,5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-56,6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-61,1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-67,6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-66,6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-61,7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-63,3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-64,9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-64,7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-62,5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CD" w:rsidRPr="00114522" w:rsidRDefault="00032ECD" w:rsidP="00F04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522">
              <w:rPr>
                <w:rFonts w:ascii="Times New Roman" w:hAnsi="Times New Roman" w:cs="Times New Roman"/>
                <w:sz w:val="18"/>
                <w:szCs w:val="18"/>
              </w:rPr>
              <w:t>-63,5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CD" w:rsidRPr="004211F6" w:rsidRDefault="00032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1F6">
              <w:rPr>
                <w:rFonts w:ascii="Times New Roman" w:hAnsi="Times New Roman" w:cs="Times New Roman"/>
                <w:sz w:val="18"/>
                <w:szCs w:val="18"/>
              </w:rPr>
              <w:t>-65,3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ECD" w:rsidRPr="00032ECD" w:rsidRDefault="00032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ECD">
              <w:rPr>
                <w:rFonts w:ascii="Times New Roman" w:hAnsi="Times New Roman" w:cs="Times New Roman"/>
                <w:sz w:val="18"/>
                <w:szCs w:val="18"/>
              </w:rPr>
              <w:t>-64,5</w:t>
            </w:r>
          </w:p>
        </w:tc>
      </w:tr>
    </w:tbl>
    <w:p w:rsidR="005D5B33" w:rsidRDefault="005D5B33" w:rsidP="00F04758">
      <w:pPr>
        <w:rPr>
          <w:rFonts w:ascii="Calibri" w:hAnsi="Calibri" w:cs="Times New Roman"/>
          <w:color w:val="000000"/>
          <w:szCs w:val="22"/>
        </w:rPr>
        <w:sectPr w:rsidR="005D5B33" w:rsidSect="005D5B33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4759" w:type="dxa"/>
        <w:tblInd w:w="5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87"/>
        <w:gridCol w:w="867"/>
        <w:gridCol w:w="715"/>
        <w:gridCol w:w="710"/>
        <w:gridCol w:w="708"/>
        <w:gridCol w:w="709"/>
        <w:gridCol w:w="709"/>
        <w:gridCol w:w="662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624"/>
        <w:gridCol w:w="668"/>
      </w:tblGrid>
      <w:tr w:rsidR="004211F6" w:rsidRPr="00114522" w:rsidTr="005D5B33">
        <w:trPr>
          <w:trHeight w:val="300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color w:val="000000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color w:val="000000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color w:val="000000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211F6" w:rsidRPr="00114522" w:rsidRDefault="004211F6" w:rsidP="00F04758">
            <w:pPr>
              <w:rPr>
                <w:rFonts w:ascii="Calibri" w:hAnsi="Calibri" w:cs="Times New Roman"/>
                <w:color w:val="000000"/>
                <w:szCs w:val="22"/>
              </w:rPr>
            </w:pPr>
          </w:p>
        </w:tc>
      </w:tr>
      <w:tr w:rsidR="004211F6" w:rsidRPr="00114522" w:rsidTr="005D5B33">
        <w:trPr>
          <w:trHeight w:val="300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color w:val="000000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color w:val="000000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1F6" w:rsidRPr="00114522" w:rsidRDefault="004211F6" w:rsidP="00F04758">
            <w:pPr>
              <w:rPr>
                <w:rFonts w:ascii="Calibri" w:hAnsi="Calibri" w:cs="Times New Roman"/>
                <w:color w:val="000000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4211F6" w:rsidRPr="00114522" w:rsidRDefault="004211F6" w:rsidP="00F04758">
            <w:pPr>
              <w:rPr>
                <w:rFonts w:ascii="Calibri" w:hAnsi="Calibri" w:cs="Times New Roman"/>
                <w:color w:val="000000"/>
                <w:szCs w:val="22"/>
              </w:rPr>
            </w:pPr>
          </w:p>
        </w:tc>
      </w:tr>
    </w:tbl>
    <w:p w:rsidR="00B10786" w:rsidRDefault="00B10786" w:rsidP="00DB06E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pPr w:leftFromText="141" w:rightFromText="141" w:vertAnchor="text" w:horzAnchor="margin" w:tblpY="28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89"/>
      </w:tblGrid>
      <w:tr w:rsidR="008D7771" w:rsidRPr="00BD2D08" w:rsidTr="008D7771">
        <w:tc>
          <w:tcPr>
            <w:tcW w:w="9889" w:type="dxa"/>
          </w:tcPr>
          <w:p w:rsidR="008D7771" w:rsidRPr="00EC7956" w:rsidRDefault="008D7771" w:rsidP="008D7771">
            <w:pPr>
              <w:spacing w:line="276" w:lineRule="auto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B68B6">
              <w:rPr>
                <w:rFonts w:ascii="Times New Roman" w:hAnsi="Times New Roman" w:cs="Times New Roman"/>
              </w:rPr>
              <w:br w:type="page"/>
            </w:r>
            <w:r w:rsidRPr="00EC7956">
              <w:rPr>
                <w:rFonts w:ascii="Book Antiqua" w:hAnsi="Book Antiqua" w:cs="Times New Roman"/>
                <w:sz w:val="20"/>
                <w:szCs w:val="20"/>
              </w:rPr>
              <w:t xml:space="preserve"> Rappelons que :</w:t>
            </w:r>
          </w:p>
          <w:p w:rsidR="008D7771" w:rsidRPr="00EC7956" w:rsidRDefault="008D7771" w:rsidP="008D777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 xml:space="preserve">les questions abordées sont qualitatives à 3 modalités (amélioration, stagnation, détérioration). Les  évolutions se réfèrent à une période de 12 mois. Les résultats sont présentés sous forme  de soldes (différence entre les pourcentages des réponses « amélioration » et  des réponses «détérioration»). Le niveau des soldes n’est pas directement interprétable, c’est leur évolution qui est analysée. </w:t>
            </w:r>
          </w:p>
          <w:p w:rsidR="008D7771" w:rsidRPr="00EC7956" w:rsidRDefault="008D7771" w:rsidP="008D777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>L’Indice de Confiance des Ménages (ICM) est calculé sur la base de sept indicateurs, quatre relatifs à la situation générale et trois à la situation propre du ménage :</w:t>
            </w:r>
          </w:p>
          <w:p w:rsidR="008D7771" w:rsidRPr="00EC7956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>évolution  passée du niveau de vie ;</w:t>
            </w:r>
          </w:p>
          <w:p w:rsidR="008D7771" w:rsidRPr="00EC7956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>perspective d'évolution du niveau de vie ;</w:t>
            </w:r>
          </w:p>
          <w:p w:rsidR="008D7771" w:rsidRPr="00EC7956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>perspective d'évolution du nombre de chômeurs ;</w:t>
            </w:r>
          </w:p>
          <w:p w:rsidR="008D7771" w:rsidRPr="00EC7956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>opportunité d'achat de biens durables;</w:t>
            </w:r>
          </w:p>
          <w:p w:rsidR="008D7771" w:rsidRPr="00EC7956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>situation financière actuelle des ménages ;</w:t>
            </w:r>
          </w:p>
          <w:p w:rsidR="008D7771" w:rsidRPr="00EC7956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>évolution  passée de la situation financière des ménages ;</w:t>
            </w:r>
          </w:p>
          <w:p w:rsidR="008D7771" w:rsidRPr="00EC7956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>évolution  future de la situation financière des ménages.</w:t>
            </w:r>
          </w:p>
          <w:p w:rsidR="008D7771" w:rsidRPr="00EC7956" w:rsidRDefault="008D7771" w:rsidP="008D777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>L’ICM est la  moyenne arithmétique simple des  soldes des 7 indicateurs, augmentée de 100, sa valeur varie ainsi de 0 à 200.</w:t>
            </w:r>
          </w:p>
          <w:p w:rsidR="008D7771" w:rsidRPr="00EC7956" w:rsidRDefault="008D7771" w:rsidP="008D7771">
            <w:pPr>
              <w:spacing w:line="276" w:lineRule="auto"/>
              <w:jc w:val="both"/>
              <w:rPr>
                <w:rFonts w:ascii="Book Antiqua" w:hAnsi="Book Antiqua" w:cs="Times New Roman"/>
                <w:b/>
                <w:bCs/>
                <w:color w:val="000000"/>
              </w:rPr>
            </w:pPr>
            <w:r w:rsidRPr="00EC7956">
              <w:rPr>
                <w:rFonts w:ascii="Book Antiqua" w:hAnsi="Book Antiqua" w:cs="Times New Roman"/>
                <w:sz w:val="20"/>
                <w:szCs w:val="20"/>
              </w:rPr>
              <w:t xml:space="preserve">Pour plus d’informations sur les aspects méthodologiques de cette enquête, consulter </w:t>
            </w:r>
            <w:r>
              <w:rPr>
                <w:rFonts w:ascii="Book Antiqua" w:hAnsi="Book Antiqua" w:cs="Times New Roman"/>
                <w:sz w:val="20"/>
                <w:szCs w:val="20"/>
              </w:rPr>
              <w:t xml:space="preserve">le site web du HCP au </w:t>
            </w:r>
            <w:r w:rsidRPr="00EC7956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hyperlink r:id="rId15" w:history="1">
              <w:r w:rsidRPr="00EC7956">
                <w:rPr>
                  <w:rStyle w:val="Lienhypertexte"/>
                  <w:rFonts w:ascii="Book Antiqua" w:hAnsi="Book Antiqua" w:cs="Times New Roman"/>
                  <w:sz w:val="20"/>
                  <w:szCs w:val="20"/>
                </w:rPr>
                <w:t>www.hcp.ma</w:t>
              </w:r>
            </w:hyperlink>
            <w:r w:rsidRPr="00EC7956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</w:p>
        </w:tc>
      </w:tr>
    </w:tbl>
    <w:p w:rsidR="00B10786" w:rsidRDefault="00B10786" w:rsidP="00DB06E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68173C" w:rsidRDefault="0068173C" w:rsidP="00DB06E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68173C" w:rsidRDefault="0068173C" w:rsidP="00DB06E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68173C" w:rsidRDefault="0068173C" w:rsidP="00DB06E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A547C5" w:rsidRDefault="00A547C5" w:rsidP="00C476FD">
      <w:pPr>
        <w:widowControl/>
        <w:autoSpaceDE/>
        <w:autoSpaceDN/>
        <w:adjustRightInd/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:rsidR="005D6C02" w:rsidRPr="00BD2D08" w:rsidRDefault="005D6C02" w:rsidP="00CF7444">
      <w:pPr>
        <w:widowControl/>
        <w:spacing w:line="276" w:lineRule="auto"/>
        <w:jc w:val="both"/>
        <w:rPr>
          <w:rFonts w:ascii="Book Antiqua" w:hAnsi="Book Antiqua" w:cs="Times New Roman"/>
          <w:b/>
          <w:bCs/>
          <w:color w:val="000000"/>
        </w:rPr>
      </w:pPr>
    </w:p>
    <w:p w:rsidR="005D6C02" w:rsidRPr="00BD2D08" w:rsidRDefault="005D6C02" w:rsidP="00CF7444">
      <w:pPr>
        <w:widowControl/>
        <w:spacing w:line="276" w:lineRule="auto"/>
        <w:jc w:val="both"/>
        <w:rPr>
          <w:rFonts w:ascii="Book Antiqua" w:hAnsi="Book Antiqua" w:cs="Times New Roman"/>
          <w:b/>
          <w:bCs/>
          <w:color w:val="000000"/>
        </w:rPr>
      </w:pPr>
    </w:p>
    <w:sectPr w:rsidR="005D6C02" w:rsidRPr="00BD2D08" w:rsidSect="00B87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464" w:rsidRDefault="00DF2464" w:rsidP="00460705">
      <w:r>
        <w:separator/>
      </w:r>
    </w:p>
  </w:endnote>
  <w:endnote w:type="continuationSeparator" w:id="0">
    <w:p w:rsidR="00DF2464" w:rsidRDefault="00DF2464" w:rsidP="00460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41B" w:rsidRDefault="00670469">
    <w:pPr>
      <w:pStyle w:val="Pieddepage"/>
      <w:jc w:val="right"/>
    </w:pPr>
    <w:fldSimple w:instr=" PAGE   \* MERGEFORMAT ">
      <w:r w:rsidR="00374818">
        <w:rPr>
          <w:noProof/>
        </w:rPr>
        <w:t>1</w:t>
      </w:r>
    </w:fldSimple>
  </w:p>
  <w:p w:rsidR="000D341B" w:rsidRDefault="000D341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464" w:rsidRDefault="00DF2464" w:rsidP="00460705">
      <w:r>
        <w:separator/>
      </w:r>
    </w:p>
  </w:footnote>
  <w:footnote w:type="continuationSeparator" w:id="0">
    <w:p w:rsidR="00DF2464" w:rsidRDefault="00DF2464" w:rsidP="00460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A8E"/>
    <w:multiLevelType w:val="hybridMultilevel"/>
    <w:tmpl w:val="DEAAA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122E6"/>
    <w:multiLevelType w:val="hybridMultilevel"/>
    <w:tmpl w:val="826865B6"/>
    <w:lvl w:ilvl="0" w:tplc="0616EC8E">
      <w:numFmt w:val="bullet"/>
      <w:lvlText w:val="-"/>
      <w:lvlJc w:val="left"/>
      <w:pPr>
        <w:ind w:left="1080" w:hanging="360"/>
      </w:pPr>
      <w:rPr>
        <w:rFonts w:ascii="Book Antiqua" w:eastAsia="Calibri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9C3212"/>
    <w:multiLevelType w:val="hybridMultilevel"/>
    <w:tmpl w:val="BF42BF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8527B"/>
    <w:multiLevelType w:val="multilevel"/>
    <w:tmpl w:val="61509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3E6100A"/>
    <w:multiLevelType w:val="hybridMultilevel"/>
    <w:tmpl w:val="F000AF92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498D60E8"/>
    <w:multiLevelType w:val="hybridMultilevel"/>
    <w:tmpl w:val="E83A8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55FAE"/>
    <w:multiLevelType w:val="hybridMultilevel"/>
    <w:tmpl w:val="5A8C44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DB559E"/>
    <w:multiLevelType w:val="hybridMultilevel"/>
    <w:tmpl w:val="C6182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704"/>
    <w:rsid w:val="000016A1"/>
    <w:rsid w:val="000023E0"/>
    <w:rsid w:val="000069AE"/>
    <w:rsid w:val="00011A0E"/>
    <w:rsid w:val="0001754D"/>
    <w:rsid w:val="00022644"/>
    <w:rsid w:val="0002532B"/>
    <w:rsid w:val="00025F15"/>
    <w:rsid w:val="000315FD"/>
    <w:rsid w:val="00031CFB"/>
    <w:rsid w:val="000324B4"/>
    <w:rsid w:val="00032ECD"/>
    <w:rsid w:val="000351D9"/>
    <w:rsid w:val="000370B6"/>
    <w:rsid w:val="00047B2B"/>
    <w:rsid w:val="00051534"/>
    <w:rsid w:val="00056F4A"/>
    <w:rsid w:val="00057262"/>
    <w:rsid w:val="00061CA4"/>
    <w:rsid w:val="000646B0"/>
    <w:rsid w:val="000706EE"/>
    <w:rsid w:val="000720FD"/>
    <w:rsid w:val="00072F7C"/>
    <w:rsid w:val="00073079"/>
    <w:rsid w:val="000779C2"/>
    <w:rsid w:val="0008574A"/>
    <w:rsid w:val="000877E9"/>
    <w:rsid w:val="00087DA2"/>
    <w:rsid w:val="00090FEC"/>
    <w:rsid w:val="00091FB9"/>
    <w:rsid w:val="00097300"/>
    <w:rsid w:val="00097799"/>
    <w:rsid w:val="000A158A"/>
    <w:rsid w:val="000A20DC"/>
    <w:rsid w:val="000A40C3"/>
    <w:rsid w:val="000B0844"/>
    <w:rsid w:val="000B0EC8"/>
    <w:rsid w:val="000B625F"/>
    <w:rsid w:val="000C439F"/>
    <w:rsid w:val="000C56EA"/>
    <w:rsid w:val="000C7F17"/>
    <w:rsid w:val="000D24FA"/>
    <w:rsid w:val="000D341B"/>
    <w:rsid w:val="000D4077"/>
    <w:rsid w:val="000D5AB2"/>
    <w:rsid w:val="000D5B0A"/>
    <w:rsid w:val="000D784D"/>
    <w:rsid w:val="000E10E0"/>
    <w:rsid w:val="000E17D9"/>
    <w:rsid w:val="000F0919"/>
    <w:rsid w:val="000F6CE8"/>
    <w:rsid w:val="000F74C5"/>
    <w:rsid w:val="000F7A57"/>
    <w:rsid w:val="001037B3"/>
    <w:rsid w:val="00104438"/>
    <w:rsid w:val="00106E19"/>
    <w:rsid w:val="00106FA4"/>
    <w:rsid w:val="001116C8"/>
    <w:rsid w:val="001161C4"/>
    <w:rsid w:val="0011726A"/>
    <w:rsid w:val="00117A2F"/>
    <w:rsid w:val="00121CCC"/>
    <w:rsid w:val="00124827"/>
    <w:rsid w:val="00125161"/>
    <w:rsid w:val="00125543"/>
    <w:rsid w:val="0013143D"/>
    <w:rsid w:val="00133860"/>
    <w:rsid w:val="001414F3"/>
    <w:rsid w:val="001438AB"/>
    <w:rsid w:val="00153ECF"/>
    <w:rsid w:val="001545AE"/>
    <w:rsid w:val="0016596E"/>
    <w:rsid w:val="001672BD"/>
    <w:rsid w:val="001704F6"/>
    <w:rsid w:val="001731B1"/>
    <w:rsid w:val="00174542"/>
    <w:rsid w:val="00174DE2"/>
    <w:rsid w:val="0018259C"/>
    <w:rsid w:val="00184C38"/>
    <w:rsid w:val="00187EB7"/>
    <w:rsid w:val="00191E08"/>
    <w:rsid w:val="00191F62"/>
    <w:rsid w:val="00193B4D"/>
    <w:rsid w:val="0019435A"/>
    <w:rsid w:val="00195D2E"/>
    <w:rsid w:val="00197D9A"/>
    <w:rsid w:val="001A0F65"/>
    <w:rsid w:val="001A4BB7"/>
    <w:rsid w:val="001A648B"/>
    <w:rsid w:val="001A69DD"/>
    <w:rsid w:val="001B2272"/>
    <w:rsid w:val="001B50A1"/>
    <w:rsid w:val="001B5B96"/>
    <w:rsid w:val="001B5F02"/>
    <w:rsid w:val="001B7322"/>
    <w:rsid w:val="001C4D54"/>
    <w:rsid w:val="001C6846"/>
    <w:rsid w:val="001D0C73"/>
    <w:rsid w:val="001E33C3"/>
    <w:rsid w:val="001E42CC"/>
    <w:rsid w:val="001E4F55"/>
    <w:rsid w:val="001F062E"/>
    <w:rsid w:val="001F14B0"/>
    <w:rsid w:val="001F1F4A"/>
    <w:rsid w:val="001F20AF"/>
    <w:rsid w:val="001F4A3E"/>
    <w:rsid w:val="001F4FE4"/>
    <w:rsid w:val="001F59E2"/>
    <w:rsid w:val="001F626D"/>
    <w:rsid w:val="002021DE"/>
    <w:rsid w:val="002041E9"/>
    <w:rsid w:val="0020711A"/>
    <w:rsid w:val="00207DF3"/>
    <w:rsid w:val="00210179"/>
    <w:rsid w:val="0021180E"/>
    <w:rsid w:val="002118E7"/>
    <w:rsid w:val="002163AF"/>
    <w:rsid w:val="00221FC5"/>
    <w:rsid w:val="00222682"/>
    <w:rsid w:val="00222815"/>
    <w:rsid w:val="00223178"/>
    <w:rsid w:val="00226BE3"/>
    <w:rsid w:val="00227B1B"/>
    <w:rsid w:val="0023094A"/>
    <w:rsid w:val="0023446F"/>
    <w:rsid w:val="0024028E"/>
    <w:rsid w:val="00246518"/>
    <w:rsid w:val="002478EF"/>
    <w:rsid w:val="00247A3B"/>
    <w:rsid w:val="0025205F"/>
    <w:rsid w:val="00256FBC"/>
    <w:rsid w:val="00257385"/>
    <w:rsid w:val="0026337D"/>
    <w:rsid w:val="00265CFD"/>
    <w:rsid w:val="00267298"/>
    <w:rsid w:val="002672A0"/>
    <w:rsid w:val="00270AD9"/>
    <w:rsid w:val="0027263B"/>
    <w:rsid w:val="00272727"/>
    <w:rsid w:val="002751C2"/>
    <w:rsid w:val="00275256"/>
    <w:rsid w:val="00276077"/>
    <w:rsid w:val="00280072"/>
    <w:rsid w:val="00287EC1"/>
    <w:rsid w:val="00290A7A"/>
    <w:rsid w:val="002915B7"/>
    <w:rsid w:val="00293863"/>
    <w:rsid w:val="00294219"/>
    <w:rsid w:val="00295DF0"/>
    <w:rsid w:val="002A29D2"/>
    <w:rsid w:val="002A2E36"/>
    <w:rsid w:val="002A321D"/>
    <w:rsid w:val="002A7486"/>
    <w:rsid w:val="002B15A7"/>
    <w:rsid w:val="002B2EC5"/>
    <w:rsid w:val="002B3D5B"/>
    <w:rsid w:val="002B799E"/>
    <w:rsid w:val="002C03DA"/>
    <w:rsid w:val="002C0BC4"/>
    <w:rsid w:val="002C0E6A"/>
    <w:rsid w:val="002C10D7"/>
    <w:rsid w:val="002C3101"/>
    <w:rsid w:val="002C366D"/>
    <w:rsid w:val="002C5954"/>
    <w:rsid w:val="002D2970"/>
    <w:rsid w:val="002D3C52"/>
    <w:rsid w:val="002D54C7"/>
    <w:rsid w:val="002D56C5"/>
    <w:rsid w:val="002D5AAA"/>
    <w:rsid w:val="002D6FC3"/>
    <w:rsid w:val="002E1306"/>
    <w:rsid w:val="002E3812"/>
    <w:rsid w:val="002F08CD"/>
    <w:rsid w:val="002F2C37"/>
    <w:rsid w:val="002F56E4"/>
    <w:rsid w:val="002F5CBB"/>
    <w:rsid w:val="002F7AAE"/>
    <w:rsid w:val="00302717"/>
    <w:rsid w:val="00312C75"/>
    <w:rsid w:val="00313590"/>
    <w:rsid w:val="0032393A"/>
    <w:rsid w:val="0032457C"/>
    <w:rsid w:val="00326439"/>
    <w:rsid w:val="0033159D"/>
    <w:rsid w:val="00333CD8"/>
    <w:rsid w:val="00335AA7"/>
    <w:rsid w:val="00342196"/>
    <w:rsid w:val="00344737"/>
    <w:rsid w:val="00346706"/>
    <w:rsid w:val="00352106"/>
    <w:rsid w:val="0035217E"/>
    <w:rsid w:val="00353CB2"/>
    <w:rsid w:val="00354E92"/>
    <w:rsid w:val="00357A6B"/>
    <w:rsid w:val="00360720"/>
    <w:rsid w:val="00362A0D"/>
    <w:rsid w:val="00365549"/>
    <w:rsid w:val="003670AA"/>
    <w:rsid w:val="003724EE"/>
    <w:rsid w:val="00373C93"/>
    <w:rsid w:val="00374818"/>
    <w:rsid w:val="003776E6"/>
    <w:rsid w:val="00381490"/>
    <w:rsid w:val="003937BF"/>
    <w:rsid w:val="003960C1"/>
    <w:rsid w:val="003A1A5C"/>
    <w:rsid w:val="003A32A5"/>
    <w:rsid w:val="003A35D3"/>
    <w:rsid w:val="003A5110"/>
    <w:rsid w:val="003A5245"/>
    <w:rsid w:val="003A5304"/>
    <w:rsid w:val="003A5AEB"/>
    <w:rsid w:val="003A6EC4"/>
    <w:rsid w:val="003A7ECC"/>
    <w:rsid w:val="003B0EDF"/>
    <w:rsid w:val="003B2D07"/>
    <w:rsid w:val="003B330D"/>
    <w:rsid w:val="003B5AA6"/>
    <w:rsid w:val="003B6E43"/>
    <w:rsid w:val="003C0E95"/>
    <w:rsid w:val="003C1028"/>
    <w:rsid w:val="003C3114"/>
    <w:rsid w:val="003C4254"/>
    <w:rsid w:val="003C79A0"/>
    <w:rsid w:val="003D554F"/>
    <w:rsid w:val="003D6DF2"/>
    <w:rsid w:val="003E1044"/>
    <w:rsid w:val="003E22C4"/>
    <w:rsid w:val="003E4DD3"/>
    <w:rsid w:val="003F0597"/>
    <w:rsid w:val="003F362B"/>
    <w:rsid w:val="003F3B02"/>
    <w:rsid w:val="003F3BF4"/>
    <w:rsid w:val="00400110"/>
    <w:rsid w:val="00400983"/>
    <w:rsid w:val="0040459B"/>
    <w:rsid w:val="00404C21"/>
    <w:rsid w:val="00405940"/>
    <w:rsid w:val="004105E0"/>
    <w:rsid w:val="00411DDC"/>
    <w:rsid w:val="00412740"/>
    <w:rsid w:val="00413E29"/>
    <w:rsid w:val="004158F0"/>
    <w:rsid w:val="00420B43"/>
    <w:rsid w:val="004211F6"/>
    <w:rsid w:val="0042529A"/>
    <w:rsid w:val="00426845"/>
    <w:rsid w:val="00427219"/>
    <w:rsid w:val="0043296A"/>
    <w:rsid w:val="00434E44"/>
    <w:rsid w:val="00435631"/>
    <w:rsid w:val="0043688A"/>
    <w:rsid w:val="00440B2D"/>
    <w:rsid w:val="00441375"/>
    <w:rsid w:val="00445B5E"/>
    <w:rsid w:val="00450950"/>
    <w:rsid w:val="00452F6C"/>
    <w:rsid w:val="0045422F"/>
    <w:rsid w:val="0045433C"/>
    <w:rsid w:val="00457115"/>
    <w:rsid w:val="00460705"/>
    <w:rsid w:val="00465799"/>
    <w:rsid w:val="0046586B"/>
    <w:rsid w:val="004660F5"/>
    <w:rsid w:val="0046675F"/>
    <w:rsid w:val="004708C0"/>
    <w:rsid w:val="00471447"/>
    <w:rsid w:val="00471B70"/>
    <w:rsid w:val="0047220A"/>
    <w:rsid w:val="0047271F"/>
    <w:rsid w:val="00472EDA"/>
    <w:rsid w:val="004744E1"/>
    <w:rsid w:val="00475F4B"/>
    <w:rsid w:val="00477B88"/>
    <w:rsid w:val="004825A3"/>
    <w:rsid w:val="0048573D"/>
    <w:rsid w:val="00486BF3"/>
    <w:rsid w:val="00490E21"/>
    <w:rsid w:val="00491AFA"/>
    <w:rsid w:val="00493412"/>
    <w:rsid w:val="0049640D"/>
    <w:rsid w:val="00497732"/>
    <w:rsid w:val="004B04C6"/>
    <w:rsid w:val="004B0E1B"/>
    <w:rsid w:val="004B5383"/>
    <w:rsid w:val="004B7076"/>
    <w:rsid w:val="004C26D2"/>
    <w:rsid w:val="004D07E5"/>
    <w:rsid w:val="004D2992"/>
    <w:rsid w:val="004D3202"/>
    <w:rsid w:val="004D469E"/>
    <w:rsid w:val="004D7FEA"/>
    <w:rsid w:val="004E3D51"/>
    <w:rsid w:val="004E42E4"/>
    <w:rsid w:val="004E5131"/>
    <w:rsid w:val="004E67DD"/>
    <w:rsid w:val="004F07EF"/>
    <w:rsid w:val="004F59BE"/>
    <w:rsid w:val="005016B0"/>
    <w:rsid w:val="005041F1"/>
    <w:rsid w:val="00504C1B"/>
    <w:rsid w:val="0050642C"/>
    <w:rsid w:val="005076C2"/>
    <w:rsid w:val="005128B6"/>
    <w:rsid w:val="00517831"/>
    <w:rsid w:val="00522383"/>
    <w:rsid w:val="00525787"/>
    <w:rsid w:val="00526B21"/>
    <w:rsid w:val="00531247"/>
    <w:rsid w:val="005314AC"/>
    <w:rsid w:val="00531A41"/>
    <w:rsid w:val="00536CD5"/>
    <w:rsid w:val="0054064D"/>
    <w:rsid w:val="00541974"/>
    <w:rsid w:val="00545A36"/>
    <w:rsid w:val="005465E0"/>
    <w:rsid w:val="005467EB"/>
    <w:rsid w:val="00546AA5"/>
    <w:rsid w:val="00547601"/>
    <w:rsid w:val="0055058D"/>
    <w:rsid w:val="00551FFF"/>
    <w:rsid w:val="00560C19"/>
    <w:rsid w:val="00562D36"/>
    <w:rsid w:val="00562E23"/>
    <w:rsid w:val="00563170"/>
    <w:rsid w:val="0056722B"/>
    <w:rsid w:val="00567CDC"/>
    <w:rsid w:val="00570BDD"/>
    <w:rsid w:val="00576E52"/>
    <w:rsid w:val="00577957"/>
    <w:rsid w:val="00582246"/>
    <w:rsid w:val="0058309C"/>
    <w:rsid w:val="00584093"/>
    <w:rsid w:val="00586FA1"/>
    <w:rsid w:val="005926A9"/>
    <w:rsid w:val="00596CE0"/>
    <w:rsid w:val="005A3289"/>
    <w:rsid w:val="005A5697"/>
    <w:rsid w:val="005A6B2B"/>
    <w:rsid w:val="005B0A27"/>
    <w:rsid w:val="005B1014"/>
    <w:rsid w:val="005B1521"/>
    <w:rsid w:val="005B6912"/>
    <w:rsid w:val="005B77A5"/>
    <w:rsid w:val="005C01F5"/>
    <w:rsid w:val="005C41EB"/>
    <w:rsid w:val="005C4373"/>
    <w:rsid w:val="005C473B"/>
    <w:rsid w:val="005C598B"/>
    <w:rsid w:val="005D0118"/>
    <w:rsid w:val="005D0483"/>
    <w:rsid w:val="005D238E"/>
    <w:rsid w:val="005D2895"/>
    <w:rsid w:val="005D3EA9"/>
    <w:rsid w:val="005D5B33"/>
    <w:rsid w:val="005D63D7"/>
    <w:rsid w:val="005D6464"/>
    <w:rsid w:val="005D6C02"/>
    <w:rsid w:val="005D733B"/>
    <w:rsid w:val="005E1D4B"/>
    <w:rsid w:val="005E3E9B"/>
    <w:rsid w:val="005E4C7D"/>
    <w:rsid w:val="005F2467"/>
    <w:rsid w:val="005F3E46"/>
    <w:rsid w:val="00600D77"/>
    <w:rsid w:val="006078F5"/>
    <w:rsid w:val="00617A67"/>
    <w:rsid w:val="00622CF0"/>
    <w:rsid w:val="00625499"/>
    <w:rsid w:val="00626C37"/>
    <w:rsid w:val="00627948"/>
    <w:rsid w:val="006332C7"/>
    <w:rsid w:val="00634856"/>
    <w:rsid w:val="006356D1"/>
    <w:rsid w:val="00636BDA"/>
    <w:rsid w:val="0064218D"/>
    <w:rsid w:val="0064322F"/>
    <w:rsid w:val="00645377"/>
    <w:rsid w:val="0064643D"/>
    <w:rsid w:val="00646954"/>
    <w:rsid w:val="006473DB"/>
    <w:rsid w:val="006506A4"/>
    <w:rsid w:val="00655B47"/>
    <w:rsid w:val="00655B8C"/>
    <w:rsid w:val="006575AC"/>
    <w:rsid w:val="00660A7D"/>
    <w:rsid w:val="0066108F"/>
    <w:rsid w:val="006620AD"/>
    <w:rsid w:val="00665ECF"/>
    <w:rsid w:val="0066619E"/>
    <w:rsid w:val="0067027B"/>
    <w:rsid w:val="00670469"/>
    <w:rsid w:val="00672A2B"/>
    <w:rsid w:val="0068173C"/>
    <w:rsid w:val="006817AF"/>
    <w:rsid w:val="006820FF"/>
    <w:rsid w:val="00686868"/>
    <w:rsid w:val="00687307"/>
    <w:rsid w:val="00691370"/>
    <w:rsid w:val="0069195E"/>
    <w:rsid w:val="00692444"/>
    <w:rsid w:val="006975E3"/>
    <w:rsid w:val="0069792B"/>
    <w:rsid w:val="00697E8F"/>
    <w:rsid w:val="006A0757"/>
    <w:rsid w:val="006A0913"/>
    <w:rsid w:val="006A5708"/>
    <w:rsid w:val="006B12D2"/>
    <w:rsid w:val="006B1D8F"/>
    <w:rsid w:val="006C09E5"/>
    <w:rsid w:val="006C15D0"/>
    <w:rsid w:val="006C2CF5"/>
    <w:rsid w:val="006C31B7"/>
    <w:rsid w:val="006C39DF"/>
    <w:rsid w:val="006C4C14"/>
    <w:rsid w:val="006C60A7"/>
    <w:rsid w:val="006C6BFF"/>
    <w:rsid w:val="006C7006"/>
    <w:rsid w:val="006D3119"/>
    <w:rsid w:val="006D5C60"/>
    <w:rsid w:val="006E15E3"/>
    <w:rsid w:val="006E54CD"/>
    <w:rsid w:val="006E5CA2"/>
    <w:rsid w:val="006E7B20"/>
    <w:rsid w:val="006F0D89"/>
    <w:rsid w:val="006F1BCD"/>
    <w:rsid w:val="006F1D72"/>
    <w:rsid w:val="006F794A"/>
    <w:rsid w:val="00705867"/>
    <w:rsid w:val="00706F3D"/>
    <w:rsid w:val="00707602"/>
    <w:rsid w:val="007122EA"/>
    <w:rsid w:val="007125AF"/>
    <w:rsid w:val="00714273"/>
    <w:rsid w:val="007143DA"/>
    <w:rsid w:val="00716BDB"/>
    <w:rsid w:val="00717305"/>
    <w:rsid w:val="00717A01"/>
    <w:rsid w:val="00722189"/>
    <w:rsid w:val="00724CEF"/>
    <w:rsid w:val="0073492C"/>
    <w:rsid w:val="00742C5C"/>
    <w:rsid w:val="00743C10"/>
    <w:rsid w:val="00745483"/>
    <w:rsid w:val="00745AD8"/>
    <w:rsid w:val="00751D5F"/>
    <w:rsid w:val="00754325"/>
    <w:rsid w:val="0075742A"/>
    <w:rsid w:val="00761915"/>
    <w:rsid w:val="00763124"/>
    <w:rsid w:val="007645FF"/>
    <w:rsid w:val="00766FB9"/>
    <w:rsid w:val="0076762A"/>
    <w:rsid w:val="00772D6A"/>
    <w:rsid w:val="00774BE8"/>
    <w:rsid w:val="00774E22"/>
    <w:rsid w:val="0077630F"/>
    <w:rsid w:val="00780E61"/>
    <w:rsid w:val="00781DEE"/>
    <w:rsid w:val="007909B3"/>
    <w:rsid w:val="00795900"/>
    <w:rsid w:val="007A00D5"/>
    <w:rsid w:val="007A02DF"/>
    <w:rsid w:val="007A2498"/>
    <w:rsid w:val="007A4238"/>
    <w:rsid w:val="007A430C"/>
    <w:rsid w:val="007B4778"/>
    <w:rsid w:val="007C17FC"/>
    <w:rsid w:val="007C2155"/>
    <w:rsid w:val="007C2C4A"/>
    <w:rsid w:val="007C58E4"/>
    <w:rsid w:val="007C7AFB"/>
    <w:rsid w:val="007D0511"/>
    <w:rsid w:val="007D4ED5"/>
    <w:rsid w:val="007D76C4"/>
    <w:rsid w:val="007E0752"/>
    <w:rsid w:val="007E0D7B"/>
    <w:rsid w:val="007E1525"/>
    <w:rsid w:val="007F353D"/>
    <w:rsid w:val="007F722E"/>
    <w:rsid w:val="00800D8F"/>
    <w:rsid w:val="00801956"/>
    <w:rsid w:val="00802183"/>
    <w:rsid w:val="00802F87"/>
    <w:rsid w:val="00803155"/>
    <w:rsid w:val="00812210"/>
    <w:rsid w:val="00813336"/>
    <w:rsid w:val="00816354"/>
    <w:rsid w:val="00817EBC"/>
    <w:rsid w:val="00820C60"/>
    <w:rsid w:val="00823DE5"/>
    <w:rsid w:val="0082661B"/>
    <w:rsid w:val="00827634"/>
    <w:rsid w:val="00827916"/>
    <w:rsid w:val="00827C0D"/>
    <w:rsid w:val="008310F0"/>
    <w:rsid w:val="00833A84"/>
    <w:rsid w:val="0083547E"/>
    <w:rsid w:val="0084366E"/>
    <w:rsid w:val="00845B57"/>
    <w:rsid w:val="00846510"/>
    <w:rsid w:val="008473C5"/>
    <w:rsid w:val="00853079"/>
    <w:rsid w:val="00853CBC"/>
    <w:rsid w:val="00857F10"/>
    <w:rsid w:val="00860E74"/>
    <w:rsid w:val="00860E86"/>
    <w:rsid w:val="0086425D"/>
    <w:rsid w:val="008660BF"/>
    <w:rsid w:val="008704DD"/>
    <w:rsid w:val="008750A7"/>
    <w:rsid w:val="00876C88"/>
    <w:rsid w:val="00881FD0"/>
    <w:rsid w:val="00882754"/>
    <w:rsid w:val="008840E8"/>
    <w:rsid w:val="00884DDB"/>
    <w:rsid w:val="00887F4C"/>
    <w:rsid w:val="00892EE4"/>
    <w:rsid w:val="00894425"/>
    <w:rsid w:val="008944F4"/>
    <w:rsid w:val="008A184F"/>
    <w:rsid w:val="008A448E"/>
    <w:rsid w:val="008A4DF1"/>
    <w:rsid w:val="008A6651"/>
    <w:rsid w:val="008B4AC5"/>
    <w:rsid w:val="008B595A"/>
    <w:rsid w:val="008C02D0"/>
    <w:rsid w:val="008C0A72"/>
    <w:rsid w:val="008C154C"/>
    <w:rsid w:val="008C2130"/>
    <w:rsid w:val="008C3372"/>
    <w:rsid w:val="008D27B7"/>
    <w:rsid w:val="008D2E6F"/>
    <w:rsid w:val="008D37EC"/>
    <w:rsid w:val="008D449D"/>
    <w:rsid w:val="008D7771"/>
    <w:rsid w:val="008E1BC5"/>
    <w:rsid w:val="008E2CA1"/>
    <w:rsid w:val="008E2F1D"/>
    <w:rsid w:val="008E6F7E"/>
    <w:rsid w:val="008F01C0"/>
    <w:rsid w:val="008F3C1D"/>
    <w:rsid w:val="008F4F52"/>
    <w:rsid w:val="008F617D"/>
    <w:rsid w:val="00902516"/>
    <w:rsid w:val="0090280F"/>
    <w:rsid w:val="00902EFF"/>
    <w:rsid w:val="00904392"/>
    <w:rsid w:val="00905DCF"/>
    <w:rsid w:val="0090637D"/>
    <w:rsid w:val="00907B6A"/>
    <w:rsid w:val="00912704"/>
    <w:rsid w:val="009130EC"/>
    <w:rsid w:val="00917757"/>
    <w:rsid w:val="00920D81"/>
    <w:rsid w:val="00922392"/>
    <w:rsid w:val="009251D3"/>
    <w:rsid w:val="00925C4D"/>
    <w:rsid w:val="0092695A"/>
    <w:rsid w:val="00930FD8"/>
    <w:rsid w:val="009314EC"/>
    <w:rsid w:val="0094137E"/>
    <w:rsid w:val="00950C69"/>
    <w:rsid w:val="00950CC4"/>
    <w:rsid w:val="00951B74"/>
    <w:rsid w:val="0095365D"/>
    <w:rsid w:val="00954235"/>
    <w:rsid w:val="00954845"/>
    <w:rsid w:val="009559E4"/>
    <w:rsid w:val="00960BF0"/>
    <w:rsid w:val="0096486F"/>
    <w:rsid w:val="00966CAF"/>
    <w:rsid w:val="00985AB3"/>
    <w:rsid w:val="0098660E"/>
    <w:rsid w:val="009874E6"/>
    <w:rsid w:val="00991EC1"/>
    <w:rsid w:val="009921AC"/>
    <w:rsid w:val="00997F9E"/>
    <w:rsid w:val="009A2085"/>
    <w:rsid w:val="009B04AF"/>
    <w:rsid w:val="009B4A71"/>
    <w:rsid w:val="009B4BFB"/>
    <w:rsid w:val="009B4C6F"/>
    <w:rsid w:val="009B5D6E"/>
    <w:rsid w:val="009B764C"/>
    <w:rsid w:val="009C09FE"/>
    <w:rsid w:val="009C2B2F"/>
    <w:rsid w:val="009C3693"/>
    <w:rsid w:val="009C5A25"/>
    <w:rsid w:val="009C6033"/>
    <w:rsid w:val="009D209A"/>
    <w:rsid w:val="009D40CA"/>
    <w:rsid w:val="009D577D"/>
    <w:rsid w:val="009D59C5"/>
    <w:rsid w:val="009D5CA0"/>
    <w:rsid w:val="009D614B"/>
    <w:rsid w:val="009D68B9"/>
    <w:rsid w:val="009D7551"/>
    <w:rsid w:val="009D788B"/>
    <w:rsid w:val="009E2124"/>
    <w:rsid w:val="009E213D"/>
    <w:rsid w:val="009E2A58"/>
    <w:rsid w:val="009E3156"/>
    <w:rsid w:val="009E682C"/>
    <w:rsid w:val="009E6C61"/>
    <w:rsid w:val="009F1767"/>
    <w:rsid w:val="00A04837"/>
    <w:rsid w:val="00A104FC"/>
    <w:rsid w:val="00A124D9"/>
    <w:rsid w:val="00A16EFD"/>
    <w:rsid w:val="00A20BC5"/>
    <w:rsid w:val="00A24DA0"/>
    <w:rsid w:val="00A26209"/>
    <w:rsid w:val="00A271B5"/>
    <w:rsid w:val="00A3041C"/>
    <w:rsid w:val="00A35CAE"/>
    <w:rsid w:val="00A44630"/>
    <w:rsid w:val="00A44E07"/>
    <w:rsid w:val="00A45128"/>
    <w:rsid w:val="00A502E5"/>
    <w:rsid w:val="00A51B13"/>
    <w:rsid w:val="00A51DC1"/>
    <w:rsid w:val="00A521F4"/>
    <w:rsid w:val="00A5313B"/>
    <w:rsid w:val="00A53B08"/>
    <w:rsid w:val="00A547C5"/>
    <w:rsid w:val="00A604A4"/>
    <w:rsid w:val="00A6296B"/>
    <w:rsid w:val="00A63457"/>
    <w:rsid w:val="00A654CA"/>
    <w:rsid w:val="00A70962"/>
    <w:rsid w:val="00A71B9D"/>
    <w:rsid w:val="00A7325E"/>
    <w:rsid w:val="00A7345B"/>
    <w:rsid w:val="00A76613"/>
    <w:rsid w:val="00A77DC2"/>
    <w:rsid w:val="00A8649F"/>
    <w:rsid w:val="00A90165"/>
    <w:rsid w:val="00A948E9"/>
    <w:rsid w:val="00AA42D6"/>
    <w:rsid w:val="00AA4B9B"/>
    <w:rsid w:val="00AA7979"/>
    <w:rsid w:val="00AB4418"/>
    <w:rsid w:val="00AB4E95"/>
    <w:rsid w:val="00AB5E04"/>
    <w:rsid w:val="00AC22CF"/>
    <w:rsid w:val="00AC3986"/>
    <w:rsid w:val="00AC66D2"/>
    <w:rsid w:val="00AD2999"/>
    <w:rsid w:val="00AD5BB6"/>
    <w:rsid w:val="00AD7715"/>
    <w:rsid w:val="00AE068C"/>
    <w:rsid w:val="00AE0D89"/>
    <w:rsid w:val="00AE1C32"/>
    <w:rsid w:val="00AE27A6"/>
    <w:rsid w:val="00AE553B"/>
    <w:rsid w:val="00AE5E67"/>
    <w:rsid w:val="00AE779F"/>
    <w:rsid w:val="00AF162A"/>
    <w:rsid w:val="00AF3096"/>
    <w:rsid w:val="00AF4665"/>
    <w:rsid w:val="00AF5E0B"/>
    <w:rsid w:val="00AF6C57"/>
    <w:rsid w:val="00AF6EFE"/>
    <w:rsid w:val="00B01809"/>
    <w:rsid w:val="00B033F4"/>
    <w:rsid w:val="00B04FEC"/>
    <w:rsid w:val="00B0688B"/>
    <w:rsid w:val="00B10786"/>
    <w:rsid w:val="00B10F10"/>
    <w:rsid w:val="00B11331"/>
    <w:rsid w:val="00B14433"/>
    <w:rsid w:val="00B16D1D"/>
    <w:rsid w:val="00B20494"/>
    <w:rsid w:val="00B226CD"/>
    <w:rsid w:val="00B2336A"/>
    <w:rsid w:val="00B36132"/>
    <w:rsid w:val="00B3617A"/>
    <w:rsid w:val="00B36E89"/>
    <w:rsid w:val="00B41BF1"/>
    <w:rsid w:val="00B44ADE"/>
    <w:rsid w:val="00B45A8F"/>
    <w:rsid w:val="00B531DA"/>
    <w:rsid w:val="00B55B9F"/>
    <w:rsid w:val="00B61B79"/>
    <w:rsid w:val="00B61D96"/>
    <w:rsid w:val="00B61F69"/>
    <w:rsid w:val="00B62B0B"/>
    <w:rsid w:val="00B635C0"/>
    <w:rsid w:val="00B63BC5"/>
    <w:rsid w:val="00B70FEA"/>
    <w:rsid w:val="00B73F50"/>
    <w:rsid w:val="00B73F56"/>
    <w:rsid w:val="00B7692B"/>
    <w:rsid w:val="00B772A4"/>
    <w:rsid w:val="00B82E10"/>
    <w:rsid w:val="00B85C21"/>
    <w:rsid w:val="00B85F87"/>
    <w:rsid w:val="00B86C71"/>
    <w:rsid w:val="00B87925"/>
    <w:rsid w:val="00B94C63"/>
    <w:rsid w:val="00B96660"/>
    <w:rsid w:val="00BA1CE0"/>
    <w:rsid w:val="00BA2A91"/>
    <w:rsid w:val="00BB1F54"/>
    <w:rsid w:val="00BB47D6"/>
    <w:rsid w:val="00BB4BB2"/>
    <w:rsid w:val="00BC0290"/>
    <w:rsid w:val="00BC1675"/>
    <w:rsid w:val="00BC427A"/>
    <w:rsid w:val="00BC4D62"/>
    <w:rsid w:val="00BC5D13"/>
    <w:rsid w:val="00BC7770"/>
    <w:rsid w:val="00BD2328"/>
    <w:rsid w:val="00BD2D08"/>
    <w:rsid w:val="00BD46C6"/>
    <w:rsid w:val="00BD4F67"/>
    <w:rsid w:val="00BD5B10"/>
    <w:rsid w:val="00BD6F03"/>
    <w:rsid w:val="00BD7775"/>
    <w:rsid w:val="00BE052F"/>
    <w:rsid w:val="00BE0F84"/>
    <w:rsid w:val="00BE2C7E"/>
    <w:rsid w:val="00BE681E"/>
    <w:rsid w:val="00BF0E04"/>
    <w:rsid w:val="00BF0F38"/>
    <w:rsid w:val="00BF1D74"/>
    <w:rsid w:val="00BF3780"/>
    <w:rsid w:val="00BF3985"/>
    <w:rsid w:val="00BF54EF"/>
    <w:rsid w:val="00C000E6"/>
    <w:rsid w:val="00C00EC9"/>
    <w:rsid w:val="00C02059"/>
    <w:rsid w:val="00C0250F"/>
    <w:rsid w:val="00C049EB"/>
    <w:rsid w:val="00C070B3"/>
    <w:rsid w:val="00C166F9"/>
    <w:rsid w:val="00C21104"/>
    <w:rsid w:val="00C225D5"/>
    <w:rsid w:val="00C2764E"/>
    <w:rsid w:val="00C30E83"/>
    <w:rsid w:val="00C334F9"/>
    <w:rsid w:val="00C35BF2"/>
    <w:rsid w:val="00C374C9"/>
    <w:rsid w:val="00C37D45"/>
    <w:rsid w:val="00C37FD3"/>
    <w:rsid w:val="00C429E3"/>
    <w:rsid w:val="00C42A4D"/>
    <w:rsid w:val="00C476FD"/>
    <w:rsid w:val="00C51C29"/>
    <w:rsid w:val="00C5433E"/>
    <w:rsid w:val="00C54C3D"/>
    <w:rsid w:val="00C5608F"/>
    <w:rsid w:val="00C62F85"/>
    <w:rsid w:val="00C6435B"/>
    <w:rsid w:val="00C67698"/>
    <w:rsid w:val="00C71138"/>
    <w:rsid w:val="00C72318"/>
    <w:rsid w:val="00C75A0D"/>
    <w:rsid w:val="00C76249"/>
    <w:rsid w:val="00C77FF2"/>
    <w:rsid w:val="00C80E65"/>
    <w:rsid w:val="00C93FD8"/>
    <w:rsid w:val="00C96992"/>
    <w:rsid w:val="00CA48EC"/>
    <w:rsid w:val="00CA49CC"/>
    <w:rsid w:val="00CA6F5A"/>
    <w:rsid w:val="00CB1696"/>
    <w:rsid w:val="00CB26F7"/>
    <w:rsid w:val="00CB2C1A"/>
    <w:rsid w:val="00CB45B8"/>
    <w:rsid w:val="00CB6356"/>
    <w:rsid w:val="00CC30D7"/>
    <w:rsid w:val="00CC4490"/>
    <w:rsid w:val="00CC5917"/>
    <w:rsid w:val="00CC77E4"/>
    <w:rsid w:val="00CD00FA"/>
    <w:rsid w:val="00CD1E97"/>
    <w:rsid w:val="00CD259B"/>
    <w:rsid w:val="00CD3B80"/>
    <w:rsid w:val="00CD7B38"/>
    <w:rsid w:val="00CE0A3F"/>
    <w:rsid w:val="00CE150A"/>
    <w:rsid w:val="00CE1E2D"/>
    <w:rsid w:val="00CE555C"/>
    <w:rsid w:val="00CF0163"/>
    <w:rsid w:val="00CF3541"/>
    <w:rsid w:val="00CF490A"/>
    <w:rsid w:val="00CF5E47"/>
    <w:rsid w:val="00CF6BB4"/>
    <w:rsid w:val="00CF7444"/>
    <w:rsid w:val="00D002B7"/>
    <w:rsid w:val="00D035C0"/>
    <w:rsid w:val="00D03E2E"/>
    <w:rsid w:val="00D1034E"/>
    <w:rsid w:val="00D1059C"/>
    <w:rsid w:val="00D10EF1"/>
    <w:rsid w:val="00D113DE"/>
    <w:rsid w:val="00D12F92"/>
    <w:rsid w:val="00D13B8F"/>
    <w:rsid w:val="00D21428"/>
    <w:rsid w:val="00D23F6C"/>
    <w:rsid w:val="00D302B4"/>
    <w:rsid w:val="00D31987"/>
    <w:rsid w:val="00D33B2C"/>
    <w:rsid w:val="00D33BC0"/>
    <w:rsid w:val="00D35B9B"/>
    <w:rsid w:val="00D37DFB"/>
    <w:rsid w:val="00D40078"/>
    <w:rsid w:val="00D414F5"/>
    <w:rsid w:val="00D454E7"/>
    <w:rsid w:val="00D53275"/>
    <w:rsid w:val="00D5577E"/>
    <w:rsid w:val="00D62B1A"/>
    <w:rsid w:val="00D63E9A"/>
    <w:rsid w:val="00D66AE3"/>
    <w:rsid w:val="00D673AA"/>
    <w:rsid w:val="00D7152A"/>
    <w:rsid w:val="00D7233D"/>
    <w:rsid w:val="00D74355"/>
    <w:rsid w:val="00D7524D"/>
    <w:rsid w:val="00D76CA5"/>
    <w:rsid w:val="00D77DC1"/>
    <w:rsid w:val="00D814A7"/>
    <w:rsid w:val="00D84084"/>
    <w:rsid w:val="00D851B0"/>
    <w:rsid w:val="00D90594"/>
    <w:rsid w:val="00D90AA2"/>
    <w:rsid w:val="00D93334"/>
    <w:rsid w:val="00D93A63"/>
    <w:rsid w:val="00D9452B"/>
    <w:rsid w:val="00DA0533"/>
    <w:rsid w:val="00DA3198"/>
    <w:rsid w:val="00DA7D1B"/>
    <w:rsid w:val="00DB03ED"/>
    <w:rsid w:val="00DB06E9"/>
    <w:rsid w:val="00DB181D"/>
    <w:rsid w:val="00DB1B17"/>
    <w:rsid w:val="00DB1EDB"/>
    <w:rsid w:val="00DB220A"/>
    <w:rsid w:val="00DB5B40"/>
    <w:rsid w:val="00DC1302"/>
    <w:rsid w:val="00DC13E1"/>
    <w:rsid w:val="00DC2E84"/>
    <w:rsid w:val="00DD79E3"/>
    <w:rsid w:val="00DE5A78"/>
    <w:rsid w:val="00DE7FFC"/>
    <w:rsid w:val="00DF0119"/>
    <w:rsid w:val="00DF171F"/>
    <w:rsid w:val="00DF1AB3"/>
    <w:rsid w:val="00DF1AB5"/>
    <w:rsid w:val="00DF2464"/>
    <w:rsid w:val="00E00CDF"/>
    <w:rsid w:val="00E01521"/>
    <w:rsid w:val="00E016C4"/>
    <w:rsid w:val="00E02A34"/>
    <w:rsid w:val="00E0420B"/>
    <w:rsid w:val="00E11BB7"/>
    <w:rsid w:val="00E11EBD"/>
    <w:rsid w:val="00E1484A"/>
    <w:rsid w:val="00E14DE9"/>
    <w:rsid w:val="00E1715A"/>
    <w:rsid w:val="00E265E4"/>
    <w:rsid w:val="00E33A89"/>
    <w:rsid w:val="00E34506"/>
    <w:rsid w:val="00E345E9"/>
    <w:rsid w:val="00E36F48"/>
    <w:rsid w:val="00E41784"/>
    <w:rsid w:val="00E41E05"/>
    <w:rsid w:val="00E41E0C"/>
    <w:rsid w:val="00E42A8D"/>
    <w:rsid w:val="00E44128"/>
    <w:rsid w:val="00E45315"/>
    <w:rsid w:val="00E50D58"/>
    <w:rsid w:val="00E5224B"/>
    <w:rsid w:val="00E55C95"/>
    <w:rsid w:val="00E57400"/>
    <w:rsid w:val="00E60F25"/>
    <w:rsid w:val="00E61B27"/>
    <w:rsid w:val="00E640FA"/>
    <w:rsid w:val="00E66872"/>
    <w:rsid w:val="00E70CCE"/>
    <w:rsid w:val="00E729D8"/>
    <w:rsid w:val="00E84D01"/>
    <w:rsid w:val="00E85929"/>
    <w:rsid w:val="00E8699E"/>
    <w:rsid w:val="00E870DB"/>
    <w:rsid w:val="00E87D24"/>
    <w:rsid w:val="00E905BD"/>
    <w:rsid w:val="00E9062C"/>
    <w:rsid w:val="00E926BE"/>
    <w:rsid w:val="00E9473C"/>
    <w:rsid w:val="00E94AC2"/>
    <w:rsid w:val="00E9702D"/>
    <w:rsid w:val="00E974FA"/>
    <w:rsid w:val="00E97AE9"/>
    <w:rsid w:val="00EA1EEC"/>
    <w:rsid w:val="00EA57D0"/>
    <w:rsid w:val="00EB078A"/>
    <w:rsid w:val="00EB13D8"/>
    <w:rsid w:val="00EB284E"/>
    <w:rsid w:val="00EB2FF9"/>
    <w:rsid w:val="00EB676E"/>
    <w:rsid w:val="00EB68B6"/>
    <w:rsid w:val="00EB6BE8"/>
    <w:rsid w:val="00EC42FA"/>
    <w:rsid w:val="00EC578A"/>
    <w:rsid w:val="00EC5EE2"/>
    <w:rsid w:val="00EC5F9B"/>
    <w:rsid w:val="00EC75B2"/>
    <w:rsid w:val="00EC7956"/>
    <w:rsid w:val="00ED0791"/>
    <w:rsid w:val="00ED0ED5"/>
    <w:rsid w:val="00ED2CEA"/>
    <w:rsid w:val="00ED3373"/>
    <w:rsid w:val="00ED602D"/>
    <w:rsid w:val="00EE0397"/>
    <w:rsid w:val="00EE1923"/>
    <w:rsid w:val="00EE3490"/>
    <w:rsid w:val="00EE415F"/>
    <w:rsid w:val="00EE7955"/>
    <w:rsid w:val="00EF24E6"/>
    <w:rsid w:val="00EF2581"/>
    <w:rsid w:val="00EF3BCC"/>
    <w:rsid w:val="00F04758"/>
    <w:rsid w:val="00F0536F"/>
    <w:rsid w:val="00F06A6A"/>
    <w:rsid w:val="00F06B39"/>
    <w:rsid w:val="00F06F28"/>
    <w:rsid w:val="00F07166"/>
    <w:rsid w:val="00F078CD"/>
    <w:rsid w:val="00F10829"/>
    <w:rsid w:val="00F119B5"/>
    <w:rsid w:val="00F20E5B"/>
    <w:rsid w:val="00F21FD0"/>
    <w:rsid w:val="00F23039"/>
    <w:rsid w:val="00F24E95"/>
    <w:rsid w:val="00F35575"/>
    <w:rsid w:val="00F37422"/>
    <w:rsid w:val="00F409B1"/>
    <w:rsid w:val="00F40FCE"/>
    <w:rsid w:val="00F40FEE"/>
    <w:rsid w:val="00F44BD0"/>
    <w:rsid w:val="00F4574D"/>
    <w:rsid w:val="00F50003"/>
    <w:rsid w:val="00F54270"/>
    <w:rsid w:val="00F65398"/>
    <w:rsid w:val="00F66E42"/>
    <w:rsid w:val="00F71ED3"/>
    <w:rsid w:val="00F733C9"/>
    <w:rsid w:val="00F749FD"/>
    <w:rsid w:val="00F80F35"/>
    <w:rsid w:val="00F81337"/>
    <w:rsid w:val="00F8324A"/>
    <w:rsid w:val="00F83EC5"/>
    <w:rsid w:val="00F8477B"/>
    <w:rsid w:val="00F86A23"/>
    <w:rsid w:val="00F90C09"/>
    <w:rsid w:val="00F90E31"/>
    <w:rsid w:val="00F9424E"/>
    <w:rsid w:val="00F96227"/>
    <w:rsid w:val="00FA12E0"/>
    <w:rsid w:val="00FA1489"/>
    <w:rsid w:val="00FA2E00"/>
    <w:rsid w:val="00FA353E"/>
    <w:rsid w:val="00FA5F0F"/>
    <w:rsid w:val="00FB444E"/>
    <w:rsid w:val="00FB4597"/>
    <w:rsid w:val="00FB52FD"/>
    <w:rsid w:val="00FC12D6"/>
    <w:rsid w:val="00FC2160"/>
    <w:rsid w:val="00FC2BA0"/>
    <w:rsid w:val="00FC336F"/>
    <w:rsid w:val="00FC4BB0"/>
    <w:rsid w:val="00FC4E57"/>
    <w:rsid w:val="00FC7143"/>
    <w:rsid w:val="00FD3616"/>
    <w:rsid w:val="00FD44AB"/>
    <w:rsid w:val="00FD62BA"/>
    <w:rsid w:val="00FD7AD8"/>
    <w:rsid w:val="00FE1AEA"/>
    <w:rsid w:val="00FE20AE"/>
    <w:rsid w:val="00FE2674"/>
    <w:rsid w:val="00FE3CBE"/>
    <w:rsid w:val="00FF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83EC5"/>
    <w:pPr>
      <w:keepNext/>
      <w:spacing w:before="240" w:after="60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3EC5"/>
    <w:rPr>
      <w:b/>
      <w:bCs/>
      <w:kern w:val="32"/>
      <w:sz w:val="28"/>
      <w:szCs w:val="32"/>
    </w:rPr>
  </w:style>
  <w:style w:type="paragraph" w:styleId="TM1">
    <w:name w:val="toc 1"/>
    <w:basedOn w:val="Normal"/>
    <w:next w:val="Normal"/>
    <w:autoRedefine/>
    <w:uiPriority w:val="39"/>
    <w:qFormat/>
    <w:rsid w:val="00F83EC5"/>
    <w:pPr>
      <w:spacing w:before="120"/>
    </w:pPr>
    <w:rPr>
      <w:rFonts w:ascii="Calibri" w:hAnsi="Calibri" w:cs="Times New Roman"/>
      <w:b/>
      <w:bCs/>
      <w:i/>
      <w:iCs/>
      <w:szCs w:val="28"/>
    </w:rPr>
  </w:style>
  <w:style w:type="paragraph" w:styleId="TM2">
    <w:name w:val="toc 2"/>
    <w:basedOn w:val="Normal"/>
    <w:next w:val="Normal"/>
    <w:autoRedefine/>
    <w:uiPriority w:val="39"/>
    <w:semiHidden/>
    <w:qFormat/>
    <w:rsid w:val="00F83EC5"/>
    <w:pPr>
      <w:spacing w:before="120"/>
      <w:ind w:left="240"/>
    </w:pPr>
    <w:rPr>
      <w:rFonts w:ascii="Calibri" w:hAnsi="Calibri" w:cs="Times New Roman"/>
      <w:b/>
      <w:bCs/>
      <w:sz w:val="22"/>
      <w:szCs w:val="26"/>
    </w:rPr>
  </w:style>
  <w:style w:type="paragraph" w:styleId="TM3">
    <w:name w:val="toc 3"/>
    <w:basedOn w:val="Normal"/>
    <w:next w:val="Normal"/>
    <w:autoRedefine/>
    <w:uiPriority w:val="39"/>
    <w:semiHidden/>
    <w:qFormat/>
    <w:rsid w:val="00F83EC5"/>
    <w:pPr>
      <w:ind w:left="480"/>
    </w:pPr>
    <w:rPr>
      <w:rFonts w:ascii="Calibri" w:hAnsi="Calibri" w:cs="Times New Roman"/>
      <w:sz w:val="20"/>
    </w:rPr>
  </w:style>
  <w:style w:type="paragraph" w:styleId="Lgende">
    <w:name w:val="caption"/>
    <w:aliases w:val="Titre1+Rouge"/>
    <w:basedOn w:val="Normal"/>
    <w:next w:val="Normal"/>
    <w:qFormat/>
    <w:rsid w:val="00F83EC5"/>
    <w:rPr>
      <w:rFonts w:cs="Times New Roman"/>
    </w:rPr>
  </w:style>
  <w:style w:type="paragraph" w:styleId="Sansinterligne">
    <w:name w:val="No Spacing"/>
    <w:link w:val="SansinterligneCar"/>
    <w:uiPriority w:val="1"/>
    <w:qFormat/>
    <w:rsid w:val="00F83EC5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EC5"/>
    <w:rPr>
      <w:rFonts w:ascii="Calibri" w:hAnsi="Calibri" w:cs="Arial"/>
      <w:sz w:val="22"/>
      <w:szCs w:val="22"/>
      <w:lang w:val="fr-FR" w:eastAsia="en-US" w:bidi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3EC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customStyle="1" w:styleId="titre2">
    <w:name w:val="titre2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customStyle="1" w:styleId="titre3">
    <w:name w:val="titre3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5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5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6C0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C0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D6C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E9062C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4607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60705"/>
    <w:rPr>
      <w:rFonts w:ascii="Courier New" w:hAnsi="Courier New" w:cs="Courier New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607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705"/>
    <w:rPr>
      <w:rFonts w:ascii="Courier New" w:hAnsi="Courier New" w:cs="Courier New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265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65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65E4"/>
    <w:rPr>
      <w:rFonts w:ascii="Courier New" w:hAnsi="Courier New" w:cs="Courier Ne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65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65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yperlink" Target="http://www.hcp.ma" TargetMode="Externa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2\resultats%202012\resultats%20ECM(trim1-08-trim4-201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2\resultats%202012\resultats%20ECM(trim1-08-trim4-2012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2\resultats%202012\resultats%20ECM(trim1-08-trim4-2012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2\resultats%202012\resultats%20ECM(trim1-08-trim4-2012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2\resultats%202012\resultats%20ECM(trim1-08-trim4-2012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drissi\Bureau\Enquete%20de%20conjoncture%20menages\2012\resultats%202012\resultats%20ECM(trim1-08-trim4-201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 b="1" i="0" baseline="0"/>
              <a:t>Evolution de l'Indice de Confiance des Ménages</a:t>
            </a:r>
            <a:endParaRPr lang="fr-FR" sz="1200" b="1" i="0" baseline="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graphes!$A$18</c:f>
              <c:strCache>
                <c:ptCount val="1"/>
                <c:pt idx="0">
                  <c:v>ICM</c:v>
                </c:pt>
              </c:strCache>
            </c:strRef>
          </c:tx>
          <c:dLbls>
            <c:showVal val="1"/>
          </c:dLbls>
          <c:cat>
            <c:strRef>
              <c:f>graphes!$B$9:$U$9</c:f>
              <c:strCache>
                <c:ptCount val="2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</c:strCache>
            </c:strRef>
          </c:cat>
          <c:val>
            <c:numRef>
              <c:f>graphes!$B$18:$U$18</c:f>
              <c:numCache>
                <c:formatCode>#,##0.0</c:formatCode>
                <c:ptCount val="20"/>
                <c:pt idx="0">
                  <c:v>85.866502294191648</c:v>
                </c:pt>
                <c:pt idx="1">
                  <c:v>77.678707955852516</c:v>
                </c:pt>
                <c:pt idx="2">
                  <c:v>75.552480635755998</c:v>
                </c:pt>
                <c:pt idx="3">
                  <c:v>80.136884034904142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80.136086093618843</c:v>
                </c:pt>
                <c:pt idx="9">
                  <c:v>78.833388330573555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78.406406130604296</c:v>
                </c:pt>
                <c:pt idx="13">
                  <c:v>85.789532632532257</c:v>
                </c:pt>
                <c:pt idx="14">
                  <c:v>86.506225251482533</c:v>
                </c:pt>
                <c:pt idx="15">
                  <c:v>84.477214694877759</c:v>
                </c:pt>
                <c:pt idx="16">
                  <c:v>82.880478542820853</c:v>
                </c:pt>
                <c:pt idx="17">
                  <c:v>80.673652783725359</c:v>
                </c:pt>
                <c:pt idx="18">
                  <c:v>77.553867036568846</c:v>
                </c:pt>
                <c:pt idx="19">
                  <c:v>78.403353681350112</c:v>
                </c:pt>
              </c:numCache>
            </c:numRef>
          </c:val>
        </c:ser>
        <c:axId val="71789184"/>
        <c:axId val="71895680"/>
      </c:barChart>
      <c:catAx>
        <c:axId val="71789184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71895680"/>
        <c:crosses val="autoZero"/>
        <c:auto val="1"/>
        <c:lblAlgn val="ctr"/>
        <c:lblOffset val="100"/>
      </c:catAx>
      <c:valAx>
        <c:axId val="71895680"/>
        <c:scaling>
          <c:orientation val="minMax"/>
        </c:scaling>
        <c:delete val="1"/>
        <c:axPos val="l"/>
        <c:numFmt formatCode="#,##0.0" sourceLinked="1"/>
        <c:tickLblPos val="none"/>
        <c:crossAx val="7178918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200"/>
            </a:pPr>
            <a:r>
              <a:rPr lang="fr-FR" sz="1200" b="1" i="0" baseline="0"/>
              <a:t>Evolutions passée et future  du niveau de vie</a:t>
            </a:r>
            <a:endParaRPr lang="fr-FR" sz="1200"/>
          </a:p>
          <a:p>
            <a:pPr>
              <a:defRPr sz="1200"/>
            </a:pPr>
            <a:r>
              <a:rPr lang="fr-FR" sz="1200" b="0" i="0" baseline="0"/>
              <a:t>(soldes d'opinion) 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graphes!$A$11</c:f>
              <c:strCache>
                <c:ptCount val="1"/>
                <c:pt idx="0">
                  <c:v>Evolution  passée du niveau de vie</c:v>
                </c:pt>
              </c:strCache>
            </c:strRef>
          </c:tx>
          <c:marker>
            <c:symbol val="square"/>
            <c:size val="5"/>
          </c:marker>
          <c:cat>
            <c:strRef>
              <c:f>graphes!$B$9:$U$9</c:f>
              <c:strCache>
                <c:ptCount val="2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</c:strCache>
            </c:strRef>
          </c:cat>
          <c:val>
            <c:numRef>
              <c:f>graphes!$B$11:$U$11</c:f>
              <c:numCache>
                <c:formatCode>#,##0.0</c:formatCode>
                <c:ptCount val="20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-31.141291421499819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-25.723634629572921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-37.236760344983566</c:v>
                </c:pt>
                <c:pt idx="12">
                  <c:v>-26.050959167650198</c:v>
                </c:pt>
                <c:pt idx="13">
                  <c:v>-16.961438303130784</c:v>
                </c:pt>
                <c:pt idx="14">
                  <c:v>-13.439142519852055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-28.088708351168584</c:v>
                </c:pt>
              </c:numCache>
            </c:numRef>
          </c:val>
        </c:ser>
        <c:ser>
          <c:idx val="1"/>
          <c:order val="1"/>
          <c:tx>
            <c:strRef>
              <c:f>graphes!$A$12</c:f>
              <c:strCache>
                <c:ptCount val="1"/>
                <c:pt idx="0">
                  <c:v>Perspective d'évolution du niveau de vie</c:v>
                </c:pt>
              </c:strCache>
            </c:strRef>
          </c:tx>
          <c:cat>
            <c:strRef>
              <c:f>graphes!$B$9:$U$9</c:f>
              <c:strCache>
                <c:ptCount val="2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</c:strCache>
            </c:strRef>
          </c:cat>
          <c:val>
            <c:numRef>
              <c:f>graphes!$B$12:$U$12</c:f>
              <c:numCache>
                <c:formatCode>#,##0.0</c:formatCode>
                <c:ptCount val="20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8.4334302751113491E-2</c:v>
                </c:pt>
                <c:pt idx="7">
                  <c:v>2.1853913991610052</c:v>
                </c:pt>
                <c:pt idx="8">
                  <c:v>0.39154986438085954</c:v>
                </c:pt>
                <c:pt idx="9">
                  <c:v>2.7314646872285109</c:v>
                </c:pt>
                <c:pt idx="10">
                  <c:v>0.19418325799955055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18.132139936578724</c:v>
                </c:pt>
                <c:pt idx="14">
                  <c:v>11.870106120928334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</c:numCache>
            </c:numRef>
          </c:val>
        </c:ser>
        <c:marker val="1"/>
        <c:axId val="90947968"/>
        <c:axId val="90949504"/>
      </c:lineChart>
      <c:catAx>
        <c:axId val="9094796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90949504"/>
        <c:crosses val="autoZero"/>
        <c:auto val="1"/>
        <c:lblAlgn val="ctr"/>
        <c:lblOffset val="100"/>
      </c:catAx>
      <c:valAx>
        <c:axId val="90949504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crossAx val="9094796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Opportunité d'achat des biens durables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200" b="0" i="0" baseline="0"/>
              <a:t>(soldes d'opinion) </a:t>
            </a:r>
            <a:endParaRPr lang="fr-FR" sz="12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 sz="1200"/>
          </a:p>
        </c:rich>
      </c:tx>
    </c:title>
    <c:plotArea>
      <c:layout>
        <c:manualLayout>
          <c:layoutTarget val="inner"/>
          <c:xMode val="edge"/>
          <c:yMode val="edge"/>
          <c:x val="7.1179729474066644E-2"/>
          <c:y val="0.20412752817662497"/>
          <c:w val="0.9054309445637817"/>
          <c:h val="0.75233317894086749"/>
        </c:manualLayout>
      </c:layout>
      <c:lineChart>
        <c:grouping val="standard"/>
        <c:ser>
          <c:idx val="0"/>
          <c:order val="0"/>
          <c:tx>
            <c:strRef>
              <c:f>graphes!$A$13</c:f>
              <c:strCache>
                <c:ptCount val="1"/>
                <c:pt idx="0">
                  <c:v>Opportunité d'achat des biens durables</c:v>
                </c:pt>
              </c:strCache>
            </c:strRef>
          </c:tx>
          <c:marker>
            <c:symbol val="none"/>
          </c:marker>
          <c:cat>
            <c:strRef>
              <c:f>graphes!$B$9:$U$9</c:f>
              <c:strCache>
                <c:ptCount val="2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</c:strCache>
            </c:strRef>
          </c:cat>
          <c:val>
            <c:numRef>
              <c:f>graphes!$B$13:$U$13</c:f>
              <c:numCache>
                <c:formatCode>#,##0.0</c:formatCode>
                <c:ptCount val="20"/>
                <c:pt idx="0">
                  <c:v>-30.018449770831683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-41.765350509034086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-34.756506471721544</c:v>
                </c:pt>
                <c:pt idx="9">
                  <c:v>-37.532519098272012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-39.860076277616457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-37.38858716910029</c:v>
                </c:pt>
                <c:pt idx="18">
                  <c:v>-29.521996232881474</c:v>
                </c:pt>
                <c:pt idx="19">
                  <c:v>-29.332441443088875</c:v>
                </c:pt>
              </c:numCache>
            </c:numRef>
          </c:val>
        </c:ser>
        <c:marker val="1"/>
        <c:axId val="112897408"/>
        <c:axId val="113992832"/>
      </c:lineChart>
      <c:catAx>
        <c:axId val="112897408"/>
        <c:scaling>
          <c:orientation val="minMax"/>
        </c:scaling>
        <c:axPos val="b"/>
        <c:majorTickMark val="none"/>
        <c:tickLblPos val="nextTo"/>
        <c:crossAx val="113992832"/>
        <c:crosses val="autoZero"/>
        <c:auto val="1"/>
        <c:lblAlgn val="ctr"/>
        <c:lblOffset val="100"/>
      </c:catAx>
      <c:valAx>
        <c:axId val="113992832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crossAx val="112897408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200"/>
            </a:pPr>
            <a:r>
              <a:rPr lang="fr-FR" sz="1200" b="1" i="0" baseline="0"/>
              <a:t>Perceptions des ménages de leur situation financière</a:t>
            </a:r>
            <a:endParaRPr lang="fr-FR" sz="1200"/>
          </a:p>
          <a:p>
            <a:pPr>
              <a:defRPr sz="1200"/>
            </a:pPr>
            <a:r>
              <a:rPr lang="fr-FR" sz="1200" b="0" i="0" baseline="0"/>
              <a:t>(soldes d'opinion) </a:t>
            </a:r>
            <a:endParaRPr lang="fr-FR" sz="1200"/>
          </a:p>
        </c:rich>
      </c:tx>
    </c:title>
    <c:plotArea>
      <c:layout>
        <c:manualLayout>
          <c:layoutTarget val="inner"/>
          <c:xMode val="edge"/>
          <c:yMode val="edge"/>
          <c:x val="7.0043080568376451E-2"/>
          <c:y val="0.18640517157577552"/>
          <c:w val="0.91118358546758449"/>
          <c:h val="0.62710054761673362"/>
        </c:manualLayout>
      </c:layout>
      <c:lineChart>
        <c:grouping val="standard"/>
        <c:ser>
          <c:idx val="0"/>
          <c:order val="0"/>
          <c:tx>
            <c:strRef>
              <c:f>graphes!$A$14</c:f>
              <c:strCache>
                <c:ptCount val="1"/>
                <c:pt idx="0">
                  <c:v>Situation financière actuelle des ménages</c:v>
                </c:pt>
              </c:strCache>
            </c:strRef>
          </c:tx>
          <c:marker>
            <c:symbol val="square"/>
            <c:size val="5"/>
          </c:marker>
          <c:cat>
            <c:strRef>
              <c:f>graphes!$B$9:$U$9</c:f>
              <c:strCache>
                <c:ptCount val="2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</c:strCache>
            </c:strRef>
          </c:cat>
          <c:val>
            <c:numRef>
              <c:f>graphes!$B$14:$U$14</c:f>
              <c:numCache>
                <c:formatCode>#,##0.0</c:formatCode>
                <c:ptCount val="20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-28.062624892496231</c:v>
                </c:pt>
                <c:pt idx="12">
                  <c:v>-30.645498931903656</c:v>
                </c:pt>
                <c:pt idx="13">
                  <c:v>-27.092549889444186</c:v>
                </c:pt>
                <c:pt idx="14">
                  <c:v>-24.28899054728441</c:v>
                </c:pt>
                <c:pt idx="15">
                  <c:v>-25.669712181349652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-30.846093343724124</c:v>
                </c:pt>
                <c:pt idx="19">
                  <c:v>-29.426966691861193</c:v>
                </c:pt>
              </c:numCache>
            </c:numRef>
          </c:val>
        </c:ser>
        <c:ser>
          <c:idx val="1"/>
          <c:order val="1"/>
          <c:tx>
            <c:strRef>
              <c:f>graphes!$A$15</c:f>
              <c:strCache>
                <c:ptCount val="1"/>
                <c:pt idx="0">
                  <c:v>Evolution  passée de la situation financière des ménages</c:v>
                </c:pt>
              </c:strCache>
            </c:strRef>
          </c:tx>
          <c:cat>
            <c:strRef>
              <c:f>graphes!$B$9:$U$9</c:f>
              <c:strCache>
                <c:ptCount val="2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</c:strCache>
            </c:strRef>
          </c:cat>
          <c:val>
            <c:numRef>
              <c:f>graphes!$B$15:$U$15</c:f>
              <c:numCache>
                <c:formatCode>#,##0.0</c:formatCode>
                <c:ptCount val="20"/>
                <c:pt idx="0">
                  <c:v>-11.760493904860514</c:v>
                </c:pt>
                <c:pt idx="1">
                  <c:v>-11.376439540974241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-18.438210074457274</c:v>
                </c:pt>
                <c:pt idx="5">
                  <c:v>-13.353492384896807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-9.8004349690184558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</c:numCache>
            </c:numRef>
          </c:val>
        </c:ser>
        <c:ser>
          <c:idx val="2"/>
          <c:order val="2"/>
          <c:tx>
            <c:strRef>
              <c:f>graphes!$A$16</c:f>
              <c:strCache>
                <c:ptCount val="1"/>
                <c:pt idx="0">
                  <c:v>Evolution  future de la situation financière des ménages</c:v>
                </c:pt>
              </c:strCache>
            </c:strRef>
          </c:tx>
          <c:cat>
            <c:strRef>
              <c:f>graphes!$B$9:$U$9</c:f>
              <c:strCache>
                <c:ptCount val="2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</c:strCache>
            </c:strRef>
          </c:cat>
          <c:val>
            <c:numRef>
              <c:f>graphes!$B$16:$U$16</c:f>
              <c:numCache>
                <c:formatCode>#,##0.0</c:formatCode>
                <c:ptCount val="20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26.705941849103091</c:v>
                </c:pt>
                <c:pt idx="4">
                  <c:v>26.769154239001889</c:v>
                </c:pt>
                <c:pt idx="5">
                  <c:v>21.986954089697061</c:v>
                </c:pt>
                <c:pt idx="6">
                  <c:v>17.532817766676594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11.776375704730439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11.230833640450298</c:v>
                </c:pt>
                <c:pt idx="17">
                  <c:v>11.136340416980383</c:v>
                </c:pt>
                <c:pt idx="18">
                  <c:v>7.6658451594012744</c:v>
                </c:pt>
                <c:pt idx="19">
                  <c:v>10.649290737183625</c:v>
                </c:pt>
              </c:numCache>
            </c:numRef>
          </c:val>
        </c:ser>
        <c:marker val="1"/>
        <c:axId val="72130560"/>
        <c:axId val="72132096"/>
      </c:lineChart>
      <c:catAx>
        <c:axId val="7213056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72132096"/>
        <c:crosses val="autoZero"/>
        <c:auto val="1"/>
        <c:lblAlgn val="ctr"/>
        <c:lblOffset val="100"/>
      </c:catAx>
      <c:valAx>
        <c:axId val="72132096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crossAx val="7213056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7.3696373758473863E-2"/>
          <c:y val="0.8380321441301315"/>
          <c:w val="0.89999997995477465"/>
          <c:h val="0.13951913418230183"/>
        </c:manualLayout>
      </c:layout>
      <c:txPr>
        <a:bodyPr/>
        <a:lstStyle/>
        <a:p>
          <a:pPr>
            <a:defRPr sz="900"/>
          </a:pPr>
          <a:endParaRPr lang="fr-FR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100"/>
            </a:pPr>
            <a:r>
              <a:rPr lang="fr-FR" sz="1100"/>
              <a:t>Perception  </a:t>
            </a:r>
            <a:r>
              <a:rPr lang="fr-FR" sz="1100" b="1" i="0" u="none" strike="noStrike" baseline="0"/>
              <a:t>des perspectives d'évolution des prix des produits alimentaires (en %)</a:t>
            </a:r>
            <a:endParaRPr lang="fr-FR" sz="1100"/>
          </a:p>
        </c:rich>
      </c:tx>
      <c:layout>
        <c:manualLayout>
          <c:xMode val="edge"/>
          <c:yMode val="edge"/>
          <c:x val="0.12182633420822422"/>
          <c:y val="2.7826092037173275E-2"/>
        </c:manualLayout>
      </c:layout>
    </c:title>
    <c:plotArea>
      <c:layout>
        <c:manualLayout>
          <c:layoutTarget val="inner"/>
          <c:xMode val="edge"/>
          <c:yMode val="edge"/>
          <c:x val="3.2381869082774149E-2"/>
          <c:y val="0.23271895037550674"/>
          <c:w val="0.93888888888889321"/>
          <c:h val="0.56580142977865633"/>
        </c:manualLayout>
      </c:layout>
      <c:barChart>
        <c:barDir val="col"/>
        <c:grouping val="clustered"/>
        <c:ser>
          <c:idx val="0"/>
          <c:order val="0"/>
          <c:tx>
            <c:strRef>
              <c:f>'graphes fra'!$Q$110</c:f>
              <c:strCache>
                <c:ptCount val="1"/>
                <c:pt idx="0">
                  <c:v>augmentation</c:v>
                </c:pt>
              </c:strCache>
            </c:strRef>
          </c:tx>
          <c:dLbls>
            <c:showVal val="1"/>
          </c:dLbls>
          <c:cat>
            <c:strRef>
              <c:f>'graphes fra'!$R$109:$T$109</c:f>
              <c:strCache>
                <c:ptCount val="3"/>
                <c:pt idx="0">
                  <c:v>T4/11</c:v>
                </c:pt>
                <c:pt idx="1">
                  <c:v>T3/12</c:v>
                </c:pt>
                <c:pt idx="2">
                  <c:v>T4/12</c:v>
                </c:pt>
              </c:strCache>
            </c:strRef>
          </c:cat>
          <c:val>
            <c:numRef>
              <c:f>'graphes fra'!$R$110:$T$110</c:f>
              <c:numCache>
                <c:formatCode>#,##0.0%</c:formatCode>
                <c:ptCount val="3"/>
                <c:pt idx="0">
                  <c:v>0.75821198798436051</c:v>
                </c:pt>
                <c:pt idx="1">
                  <c:v>0.75516565900177568</c:v>
                </c:pt>
                <c:pt idx="2">
                  <c:v>0.72106883431187474</c:v>
                </c:pt>
              </c:numCache>
            </c:numRef>
          </c:val>
        </c:ser>
        <c:ser>
          <c:idx val="1"/>
          <c:order val="1"/>
          <c:tx>
            <c:strRef>
              <c:f>'graphes fra'!$Q$111</c:f>
              <c:strCache>
                <c:ptCount val="1"/>
                <c:pt idx="0">
                  <c:v>stagnation</c:v>
                </c:pt>
              </c:strCache>
            </c:strRef>
          </c:tx>
          <c:dLbls>
            <c:showVal val="1"/>
          </c:dLbls>
          <c:cat>
            <c:strRef>
              <c:f>'graphes fra'!$R$109:$T$109</c:f>
              <c:strCache>
                <c:ptCount val="3"/>
                <c:pt idx="0">
                  <c:v>T4/11</c:v>
                </c:pt>
                <c:pt idx="1">
                  <c:v>T3/12</c:v>
                </c:pt>
                <c:pt idx="2">
                  <c:v>T4/12</c:v>
                </c:pt>
              </c:strCache>
            </c:strRef>
          </c:cat>
          <c:val>
            <c:numRef>
              <c:f>'graphes fra'!$R$111:$T$111</c:f>
              <c:numCache>
                <c:formatCode>#,##0.0%</c:formatCode>
                <c:ptCount val="3"/>
                <c:pt idx="0">
                  <c:v>0.21323489415564123</c:v>
                </c:pt>
                <c:pt idx="1">
                  <c:v>0.22600000000000001</c:v>
                </c:pt>
                <c:pt idx="2">
                  <c:v>0.25835931383151728</c:v>
                </c:pt>
              </c:numCache>
            </c:numRef>
          </c:val>
        </c:ser>
        <c:ser>
          <c:idx val="2"/>
          <c:order val="2"/>
          <c:tx>
            <c:strRef>
              <c:f>'graphes fra'!$Q$112</c:f>
              <c:strCache>
                <c:ptCount val="1"/>
                <c:pt idx="0">
                  <c:v>diminution</c:v>
                </c:pt>
              </c:strCache>
            </c:strRef>
          </c:tx>
          <c:dLbls>
            <c:showVal val="1"/>
          </c:dLbls>
          <c:cat>
            <c:strRef>
              <c:f>'graphes fra'!$R$109:$T$109</c:f>
              <c:strCache>
                <c:ptCount val="3"/>
                <c:pt idx="0">
                  <c:v>T4/11</c:v>
                </c:pt>
                <c:pt idx="1">
                  <c:v>T3/12</c:v>
                </c:pt>
                <c:pt idx="2">
                  <c:v>T4/12</c:v>
                </c:pt>
              </c:strCache>
            </c:strRef>
          </c:cat>
          <c:val>
            <c:numRef>
              <c:f>'graphes fra'!$R$112:$T$112</c:f>
              <c:numCache>
                <c:formatCode>#,##0.0%</c:formatCode>
                <c:ptCount val="3"/>
                <c:pt idx="0">
                  <c:v>2.8553117860003738E-2</c:v>
                </c:pt>
                <c:pt idx="1">
                  <c:v>1.9381944337437205E-2</c:v>
                </c:pt>
                <c:pt idx="2">
                  <c:v>2.0571851856611895E-2</c:v>
                </c:pt>
              </c:numCache>
            </c:numRef>
          </c:val>
        </c:ser>
        <c:gapWidth val="75"/>
        <c:overlap val="-25"/>
        <c:axId val="72149632"/>
        <c:axId val="112861568"/>
      </c:barChart>
      <c:catAx>
        <c:axId val="72149632"/>
        <c:scaling>
          <c:orientation val="minMax"/>
        </c:scaling>
        <c:axPos val="b"/>
        <c:majorTickMark val="none"/>
        <c:tickLblPos val="nextTo"/>
        <c:crossAx val="112861568"/>
        <c:crosses val="autoZero"/>
        <c:auto val="1"/>
        <c:lblAlgn val="ctr"/>
        <c:lblOffset val="100"/>
      </c:catAx>
      <c:valAx>
        <c:axId val="112861568"/>
        <c:scaling>
          <c:orientation val="minMax"/>
        </c:scaling>
        <c:delete val="1"/>
        <c:axPos val="l"/>
        <c:numFmt formatCode="#,##0.0%" sourceLinked="1"/>
        <c:majorTickMark val="none"/>
        <c:tickLblPos val="none"/>
        <c:crossAx val="7214963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100"/>
              <a:t>Perception </a:t>
            </a:r>
            <a:r>
              <a:rPr lang="fr-FR" sz="1100" b="1" i="0" baseline="0"/>
              <a:t>de l'évolution passée des prix des produits alimentaires (en %)</a:t>
            </a:r>
            <a:endParaRPr lang="fr-FR" sz="11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100"/>
              <a:t>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graphes!$V$193</c:f>
              <c:strCache>
                <c:ptCount val="1"/>
                <c:pt idx="0">
                  <c:v>augmentation</c:v>
                </c:pt>
              </c:strCache>
            </c:strRef>
          </c:tx>
          <c:dLbls>
            <c:showVal val="1"/>
          </c:dLbls>
          <c:cat>
            <c:strRef>
              <c:f>graphes!$W$188:$Y$188</c:f>
              <c:strCache>
                <c:ptCount val="3"/>
                <c:pt idx="0">
                  <c:v>T4/11</c:v>
                </c:pt>
                <c:pt idx="1">
                  <c:v>T3/12</c:v>
                </c:pt>
                <c:pt idx="2">
                  <c:v>T4/12</c:v>
                </c:pt>
              </c:strCache>
            </c:strRef>
          </c:cat>
          <c:val>
            <c:numRef>
              <c:f>graphes!$W$193:$Y$193</c:f>
              <c:numCache>
                <c:formatCode>#,##0.0%</c:formatCode>
                <c:ptCount val="3"/>
                <c:pt idx="0">
                  <c:v>0.93315617652135252</c:v>
                </c:pt>
                <c:pt idx="1">
                  <c:v>0.9224075505494197</c:v>
                </c:pt>
                <c:pt idx="2">
                  <c:v>0.91822759954692856</c:v>
                </c:pt>
              </c:numCache>
            </c:numRef>
          </c:val>
        </c:ser>
        <c:ser>
          <c:idx val="1"/>
          <c:order val="1"/>
          <c:tx>
            <c:strRef>
              <c:f>graphes!$V$194</c:f>
              <c:strCache>
                <c:ptCount val="1"/>
                <c:pt idx="0">
                  <c:v>stagnation</c:v>
                </c:pt>
              </c:strCache>
            </c:strRef>
          </c:tx>
          <c:dLbls>
            <c:showVal val="1"/>
          </c:dLbls>
          <c:cat>
            <c:strRef>
              <c:f>graphes!$W$188:$Y$188</c:f>
              <c:strCache>
                <c:ptCount val="3"/>
                <c:pt idx="0">
                  <c:v>T4/11</c:v>
                </c:pt>
                <c:pt idx="1">
                  <c:v>T3/12</c:v>
                </c:pt>
                <c:pt idx="2">
                  <c:v>T4/12</c:v>
                </c:pt>
              </c:strCache>
            </c:strRef>
          </c:cat>
          <c:val>
            <c:numRef>
              <c:f>graphes!$W$194:$Y$194</c:f>
              <c:numCache>
                <c:formatCode>#,##0.0%</c:formatCode>
                <c:ptCount val="3"/>
                <c:pt idx="0">
                  <c:v>5.8639812498775271E-2</c:v>
                </c:pt>
                <c:pt idx="1">
                  <c:v>7.1721381787496916E-2</c:v>
                </c:pt>
                <c:pt idx="2">
                  <c:v>6.9567536305170832E-2</c:v>
                </c:pt>
              </c:numCache>
            </c:numRef>
          </c:val>
        </c:ser>
        <c:ser>
          <c:idx val="2"/>
          <c:order val="2"/>
          <c:tx>
            <c:strRef>
              <c:f>graphes!$V$195</c:f>
              <c:strCache>
                <c:ptCount val="1"/>
                <c:pt idx="0">
                  <c:v>diminution</c:v>
                </c:pt>
              </c:strCache>
            </c:strRef>
          </c:tx>
          <c:dLbls>
            <c:showVal val="1"/>
          </c:dLbls>
          <c:cat>
            <c:strRef>
              <c:f>graphes!$W$188:$Y$188</c:f>
              <c:strCache>
                <c:ptCount val="3"/>
                <c:pt idx="0">
                  <c:v>T4/11</c:v>
                </c:pt>
                <c:pt idx="1">
                  <c:v>T3/12</c:v>
                </c:pt>
                <c:pt idx="2">
                  <c:v>T4/12</c:v>
                </c:pt>
              </c:strCache>
            </c:strRef>
          </c:cat>
          <c:val>
            <c:numRef>
              <c:f>graphes!$W$195:$Y$195</c:f>
              <c:numCache>
                <c:formatCode>#,##0.0%</c:formatCode>
                <c:ptCount val="3"/>
                <c:pt idx="0">
                  <c:v>8.204010979873581E-3</c:v>
                </c:pt>
                <c:pt idx="1">
                  <c:v>5.8710676630833241E-3</c:v>
                </c:pt>
                <c:pt idx="2">
                  <c:v>1.2204864147900321E-2</c:v>
                </c:pt>
              </c:numCache>
            </c:numRef>
          </c:val>
        </c:ser>
        <c:gapWidth val="75"/>
        <c:overlap val="-25"/>
        <c:axId val="114006656"/>
        <c:axId val="114016640"/>
      </c:barChart>
      <c:catAx>
        <c:axId val="114006656"/>
        <c:scaling>
          <c:orientation val="minMax"/>
        </c:scaling>
        <c:axPos val="b"/>
        <c:majorTickMark val="none"/>
        <c:tickLblPos val="nextTo"/>
        <c:crossAx val="114016640"/>
        <c:crosses val="autoZero"/>
        <c:auto val="1"/>
        <c:lblAlgn val="ctr"/>
        <c:lblOffset val="100"/>
      </c:catAx>
      <c:valAx>
        <c:axId val="114016640"/>
        <c:scaling>
          <c:orientation val="minMax"/>
        </c:scaling>
        <c:delete val="1"/>
        <c:axPos val="l"/>
        <c:numFmt formatCode="#,##0.0%" sourceLinked="1"/>
        <c:majorTickMark val="none"/>
        <c:tickLblPos val="none"/>
        <c:crossAx val="11400665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F1214-2A16-4A8E-8615-B5601B8C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1793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11634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user</cp:lastModifiedBy>
  <cp:revision>2</cp:revision>
  <cp:lastPrinted>2013-02-12T12:40:00Z</cp:lastPrinted>
  <dcterms:created xsi:type="dcterms:W3CDTF">2013-02-12T18:46:00Z</dcterms:created>
  <dcterms:modified xsi:type="dcterms:W3CDTF">2013-02-12T18:46:00Z</dcterms:modified>
</cp:coreProperties>
</file>