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3D3B91" w:rsidRDefault="003D3B91" w:rsidP="003D3B91">
      <w:pPr>
        <w:pStyle w:val="Corpsdetexte"/>
        <w:bidi/>
        <w:spacing w:line="420" w:lineRule="exact"/>
        <w:ind w:right="-425"/>
        <w:rPr>
          <w:rFonts w:ascii="Times New Roman" w:hAnsi="Times New Roman" w:cs="Simplified Arabic" w:hint="cs"/>
          <w:b/>
          <w:bCs/>
          <w:sz w:val="20"/>
          <w:szCs w:val="32"/>
          <w:rtl/>
          <w:lang w:bidi="ar-MA"/>
        </w:rPr>
      </w:pPr>
    </w:p>
    <w:p w:rsidR="003D3B91" w:rsidRDefault="00BA4E60" w:rsidP="003D3B91">
      <w:pPr>
        <w:pStyle w:val="Corpsdetexte"/>
        <w:bidi/>
        <w:spacing w:line="420" w:lineRule="exact"/>
        <w:ind w:left="-286" w:right="-425"/>
        <w:jc w:val="center"/>
        <w:rPr>
          <w:rFonts w:cs="Arabic Transparent" w:hint="cs"/>
          <w:b/>
          <w:bCs/>
          <w:color w:val="0000FF"/>
          <w:sz w:val="36"/>
          <w:szCs w:val="36"/>
          <w:rtl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إخبـارية</w:t>
      </w:r>
    </w:p>
    <w:p w:rsidR="003D3B91" w:rsidRDefault="00BA4E60" w:rsidP="003D3B91">
      <w:pPr>
        <w:pStyle w:val="Corpsdetexte"/>
        <w:bidi/>
        <w:spacing w:line="420" w:lineRule="exact"/>
        <w:ind w:left="-286" w:right="-425"/>
        <w:jc w:val="center"/>
        <w:rPr>
          <w:rFonts w:cs="Arabic Transparent" w:hint="cs"/>
          <w:b/>
          <w:bCs/>
          <w:color w:val="0000FF"/>
          <w:sz w:val="36"/>
          <w:szCs w:val="36"/>
          <w:rtl/>
          <w:lang w:bidi="ar-MA"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BA4E60" w:rsidRPr="003D3B91" w:rsidRDefault="00BA4E60" w:rsidP="003D3B91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color w:val="0000FF"/>
          <w:sz w:val="36"/>
          <w:szCs w:val="36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943D07">
        <w:rPr>
          <w:rFonts w:cs="Simplified Arabic"/>
          <w:b/>
          <w:bCs/>
          <w:color w:val="0000FF"/>
          <w:sz w:val="36"/>
          <w:szCs w:val="36"/>
        </w:rPr>
        <w:t>2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CF02CA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عرف الرقم الاستدلالي لشهر </w:t>
      </w:r>
      <w:proofErr w:type="spellStart"/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دجنبر</w:t>
      </w:r>
      <w:proofErr w:type="spellEnd"/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943D07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</w:t>
      </w:r>
      <w:r w:rsidR="00943D0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 قدره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B92D5E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بالمقارنة مع الشهر السابق و 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943D07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E85815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E85815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CF02CA">
        <w:rPr>
          <w:rFonts w:ascii="Arial" w:hAnsi="Arial" w:cs="Arial"/>
          <w:b/>
          <w:bCs/>
          <w:color w:val="0000FF"/>
          <w:sz w:val="28"/>
          <w:szCs w:val="28"/>
        </w:rPr>
        <w:t>0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CF02CA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BC5980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7C6286" w:rsidP="004D6B45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</w:t>
      </w:r>
      <w:r w:rsidR="00943D07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882D21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لشهر </w:t>
      </w:r>
      <w:proofErr w:type="spellStart"/>
      <w:r w:rsidR="00882D21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</w:t>
      </w:r>
      <w:r w:rsidR="00882D21" w:rsidRPr="007F2F8F">
        <w:rPr>
          <w:rFonts w:cs="Simplified Arabic" w:hint="eastAsia"/>
          <w:b/>
          <w:bCs/>
          <w:color w:val="0000FF"/>
          <w:sz w:val="30"/>
          <w:szCs w:val="30"/>
          <w:rtl/>
          <w:lang w:bidi="ar-MA"/>
        </w:rPr>
        <w:t>ر</w:t>
      </w:r>
      <w:proofErr w:type="spellEnd"/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943D07">
        <w:rPr>
          <w:rFonts w:cs="Simplified Arabic"/>
          <w:b/>
          <w:bCs/>
          <w:color w:val="0000FF"/>
          <w:sz w:val="30"/>
          <w:szCs w:val="30"/>
          <w:lang w:bidi="ar-MA"/>
        </w:rPr>
        <w:t>2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B92D5E">
        <w:rPr>
          <w:rFonts w:cs="Simplified Arabic"/>
          <w:b/>
          <w:bCs/>
          <w:color w:val="0000FF"/>
          <w:sz w:val="30"/>
          <w:szCs w:val="30"/>
          <w:lang w:bidi="ar-MA"/>
        </w:rPr>
        <w:t>4</w:t>
      </w:r>
      <w:r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% 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وانخفاض مؤشر التضخم الأساسي الشهري ب </w:t>
      </w:r>
      <w:r w:rsidR="00464F92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CF02CA">
        <w:rPr>
          <w:rFonts w:cs="Simplified Arabic"/>
          <w:b/>
          <w:bCs/>
          <w:color w:val="0000FF"/>
          <w:sz w:val="30"/>
          <w:szCs w:val="30"/>
          <w:lang w:bidi="ar-MA"/>
        </w:rPr>
        <w:t>3</w:t>
      </w:r>
      <w:r w:rsidR="00CF02CA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464F92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</w:p>
    <w:p w:rsidR="003846CD" w:rsidRPr="001B08AA" w:rsidRDefault="00BA4E60" w:rsidP="00075C1E">
      <w:pPr>
        <w:tabs>
          <w:tab w:val="left" w:pos="708"/>
        </w:tabs>
        <w:spacing w:line="320" w:lineRule="exact"/>
        <w:ind w:left="-284" w:right="-425"/>
        <w:jc w:val="both"/>
        <w:rPr>
          <w:rFonts w:cs="Simplified Arabic"/>
          <w:sz w:val="30"/>
          <w:szCs w:val="30"/>
          <w:rtl/>
          <w:lang w:bidi="ar-MA"/>
        </w:rPr>
      </w:pPr>
      <w:r w:rsidRPr="001B08AA">
        <w:rPr>
          <w:rFonts w:cs="Simplified Arabic"/>
          <w:sz w:val="30"/>
          <w:szCs w:val="30"/>
          <w:rtl/>
          <w:lang w:bidi="ar-MA"/>
        </w:rPr>
        <w:t xml:space="preserve">سجل الرقم </w:t>
      </w:r>
      <w:r w:rsidRPr="001B08AA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1B08AA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1B08AA">
        <w:rPr>
          <w:rFonts w:cs="Simplified Arabic" w:hint="cs"/>
          <w:sz w:val="30"/>
          <w:szCs w:val="30"/>
          <w:rtl/>
          <w:lang w:bidi="ar-MA"/>
        </w:rPr>
        <w:t xml:space="preserve">للأثمان عند </w:t>
      </w:r>
      <w:proofErr w:type="spellStart"/>
      <w:r w:rsidR="00B73DF6" w:rsidRPr="001B08AA">
        <w:rPr>
          <w:rFonts w:cs="Simplified Arabic" w:hint="cs"/>
          <w:sz w:val="30"/>
          <w:szCs w:val="30"/>
          <w:rtl/>
          <w:lang w:bidi="ar-MA"/>
        </w:rPr>
        <w:t>الاستهلاك</w:t>
      </w:r>
      <w:r w:rsidR="009A62CD" w:rsidRPr="001B08AA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9A62CD" w:rsidRPr="001B08AA">
        <w:rPr>
          <w:rFonts w:cs="Simplified Arabic" w:hint="cs"/>
          <w:sz w:val="30"/>
          <w:szCs w:val="30"/>
          <w:rtl/>
          <w:lang w:bidi="ar-MA"/>
        </w:rPr>
        <w:t xml:space="preserve"> خلال شهر </w:t>
      </w:r>
      <w:proofErr w:type="spellStart"/>
      <w:r w:rsidR="009A62CD" w:rsidRPr="001B08AA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1B08AA">
        <w:rPr>
          <w:rFonts w:cs="Simplified Arabic"/>
          <w:sz w:val="30"/>
          <w:szCs w:val="30"/>
          <w:lang w:bidi="ar-MA"/>
        </w:rPr>
        <w:t>20</w:t>
      </w:r>
      <w:r w:rsidR="002D20F7" w:rsidRPr="001B08AA">
        <w:rPr>
          <w:rFonts w:cs="Simplified Arabic"/>
          <w:sz w:val="30"/>
          <w:szCs w:val="30"/>
          <w:lang w:bidi="ar-MA"/>
        </w:rPr>
        <w:t>1</w:t>
      </w:r>
      <w:r w:rsidR="00943D07" w:rsidRPr="001B08AA">
        <w:rPr>
          <w:rFonts w:cs="Simplified Arabic"/>
          <w:sz w:val="30"/>
          <w:szCs w:val="30"/>
          <w:lang w:bidi="ar-MA"/>
        </w:rPr>
        <w:t>2</w:t>
      </w:r>
      <w:proofErr w:type="spellStart"/>
      <w:r w:rsidRPr="001B08AA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Pr="001B08AA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1B08AA">
        <w:rPr>
          <w:rFonts w:cs="Simplified Arabic" w:hint="cs"/>
          <w:sz w:val="30"/>
          <w:szCs w:val="30"/>
          <w:rtl/>
          <w:lang w:bidi="ar-MA"/>
        </w:rPr>
        <w:t>ا</w:t>
      </w:r>
      <w:r w:rsidR="00943D07" w:rsidRPr="001B08AA">
        <w:rPr>
          <w:rFonts w:cs="Simplified Arabic" w:hint="cs"/>
          <w:sz w:val="30"/>
          <w:szCs w:val="30"/>
          <w:rtl/>
          <w:lang w:bidi="ar-MA"/>
        </w:rPr>
        <w:t>رتفاعا</w:t>
      </w:r>
      <w:r w:rsidRPr="001B08AA">
        <w:rPr>
          <w:rFonts w:cs="Simplified Arabic"/>
          <w:sz w:val="30"/>
          <w:szCs w:val="30"/>
          <w:rtl/>
          <w:lang w:bidi="ar-MA"/>
        </w:rPr>
        <w:t xml:space="preserve"> </w:t>
      </w:r>
      <w:r w:rsidR="003C0039" w:rsidRPr="001B08AA">
        <w:rPr>
          <w:rFonts w:cs="Simplified Arabic"/>
          <w:sz w:val="30"/>
          <w:szCs w:val="30"/>
          <w:rtl/>
          <w:lang w:bidi="ar-MA"/>
        </w:rPr>
        <w:t>قدره</w:t>
      </w:r>
      <w:r w:rsidR="003C0039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C0039" w:rsidRPr="001B08AA">
        <w:rPr>
          <w:rFonts w:cs="Simplified Arabic"/>
          <w:sz w:val="30"/>
          <w:szCs w:val="30"/>
          <w:lang w:bidi="ar-MA"/>
        </w:rPr>
        <w:t>0,</w:t>
      </w:r>
      <w:r w:rsidR="00B92D5E" w:rsidRPr="001B08AA">
        <w:rPr>
          <w:rFonts w:cs="Simplified Arabic"/>
          <w:sz w:val="30"/>
          <w:szCs w:val="30"/>
          <w:lang w:bidi="ar-MA"/>
        </w:rPr>
        <w:t>4</w:t>
      </w:r>
      <w:r w:rsidR="003C0039" w:rsidRPr="001B08AA">
        <w:rPr>
          <w:rFonts w:cs="Simplified Arabic"/>
          <w:sz w:val="30"/>
          <w:szCs w:val="30"/>
          <w:lang w:bidi="ar-MA"/>
        </w:rPr>
        <w:t>%</w:t>
      </w:r>
      <w:r w:rsidR="003C0039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1B08AA">
        <w:rPr>
          <w:rFonts w:cs="Simplified Arabic" w:hint="cs"/>
          <w:sz w:val="30"/>
          <w:szCs w:val="30"/>
          <w:rtl/>
          <w:lang w:bidi="ar-MA"/>
        </w:rPr>
        <w:t>بال</w:t>
      </w:r>
      <w:r w:rsidRPr="001B08AA">
        <w:rPr>
          <w:rFonts w:cs="Simplified Arabic"/>
          <w:sz w:val="30"/>
          <w:szCs w:val="30"/>
          <w:rtl/>
          <w:lang w:bidi="ar-MA"/>
        </w:rPr>
        <w:t>مقارنة مع الشهر السابق</w:t>
      </w:r>
      <w:r w:rsidR="00BE2748" w:rsidRPr="001B08AA">
        <w:rPr>
          <w:rFonts w:cs="Simplified Arabic"/>
          <w:sz w:val="30"/>
          <w:szCs w:val="30"/>
          <w:lang w:bidi="ar-MA"/>
        </w:rPr>
        <w:t>.</w:t>
      </w:r>
      <w:r w:rsidRPr="001B08AA">
        <w:rPr>
          <w:rFonts w:cs="Simplified Arabic"/>
          <w:sz w:val="30"/>
          <w:szCs w:val="30"/>
          <w:rtl/>
          <w:lang w:bidi="ar-MA"/>
        </w:rPr>
        <w:t xml:space="preserve"> </w:t>
      </w:r>
      <w:r w:rsidR="00BE2748" w:rsidRPr="001B08AA">
        <w:rPr>
          <w:rFonts w:cs="Simplified Arabic" w:hint="cs"/>
          <w:sz w:val="30"/>
          <w:szCs w:val="30"/>
          <w:rtl/>
          <w:lang w:bidi="ar-MA"/>
        </w:rPr>
        <w:t xml:space="preserve">وقد 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نتج </w:t>
      </w:r>
      <w:r w:rsidR="00BE2748" w:rsidRPr="001B08AA">
        <w:rPr>
          <w:rFonts w:cs="Simplified Arabic" w:hint="cs"/>
          <w:sz w:val="30"/>
          <w:szCs w:val="30"/>
          <w:rtl/>
          <w:lang w:bidi="ar-MA"/>
        </w:rPr>
        <w:t>هذا الا</w:t>
      </w:r>
      <w:r w:rsidR="00943D07" w:rsidRPr="001B08AA">
        <w:rPr>
          <w:rFonts w:cs="Simplified Arabic" w:hint="cs"/>
          <w:sz w:val="30"/>
          <w:szCs w:val="30"/>
          <w:rtl/>
          <w:lang w:bidi="ar-MA"/>
        </w:rPr>
        <w:t>رتفاع</w:t>
      </w:r>
      <w:r w:rsidR="00BE2748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عن </w:t>
      </w:r>
      <w:r w:rsidR="00B90A4A" w:rsidRPr="001B08AA">
        <w:rPr>
          <w:rFonts w:cs="Simplified Arabic" w:hint="cs"/>
          <w:sz w:val="30"/>
          <w:szCs w:val="30"/>
          <w:rtl/>
          <w:lang w:bidi="ar-MA"/>
        </w:rPr>
        <w:t>ت</w:t>
      </w:r>
      <w:r w:rsidR="00943D07" w:rsidRPr="001B08AA">
        <w:rPr>
          <w:rFonts w:cs="Simplified Arabic" w:hint="cs"/>
          <w:sz w:val="30"/>
          <w:szCs w:val="30"/>
          <w:rtl/>
          <w:lang w:bidi="ar-MA"/>
        </w:rPr>
        <w:t>زايد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1B08AA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1B08AA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1B08AA">
        <w:rPr>
          <w:rFonts w:cs="Simplified Arabic"/>
          <w:sz w:val="30"/>
          <w:szCs w:val="30"/>
          <w:rtl/>
          <w:lang w:bidi="ar-MA"/>
        </w:rPr>
        <w:t xml:space="preserve"> للمواد الغذائية </w:t>
      </w:r>
      <w:r w:rsidRPr="001B08AA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B92D5E" w:rsidRPr="001B08AA">
        <w:rPr>
          <w:rFonts w:cs="Simplified Arabic"/>
          <w:sz w:val="30"/>
          <w:szCs w:val="30"/>
          <w:lang w:bidi="ar-MA"/>
        </w:rPr>
        <w:t>0</w:t>
      </w:r>
      <w:proofErr w:type="gramStart"/>
      <w:r w:rsidR="002D20F7" w:rsidRPr="001B08AA">
        <w:rPr>
          <w:rFonts w:cs="Simplified Arabic"/>
          <w:sz w:val="30"/>
          <w:szCs w:val="30"/>
          <w:lang w:bidi="ar-MA"/>
        </w:rPr>
        <w:t>,</w:t>
      </w:r>
      <w:r w:rsidR="00B92D5E" w:rsidRPr="001B08AA">
        <w:rPr>
          <w:rFonts w:cs="Simplified Arabic"/>
          <w:sz w:val="30"/>
          <w:szCs w:val="30"/>
          <w:lang w:bidi="ar-MA"/>
        </w:rPr>
        <w:t>9</w:t>
      </w:r>
      <w:r w:rsidRPr="001B08AA">
        <w:rPr>
          <w:rFonts w:cs="Simplified Arabic"/>
          <w:sz w:val="30"/>
          <w:szCs w:val="30"/>
          <w:lang w:bidi="ar-MA"/>
        </w:rPr>
        <w:t>%</w:t>
      </w:r>
      <w:proofErr w:type="gramEnd"/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2D20F7" w:rsidRPr="001B08AA">
        <w:rPr>
          <w:rFonts w:cs="Simplified Arabic" w:hint="cs"/>
          <w:sz w:val="30"/>
          <w:szCs w:val="30"/>
          <w:rtl/>
          <w:lang w:bidi="ar-MA"/>
        </w:rPr>
        <w:t>ا</w:t>
      </w:r>
      <w:r w:rsidR="00B92D5E" w:rsidRPr="001B08AA">
        <w:rPr>
          <w:rFonts w:cs="Simplified Arabic" w:hint="cs"/>
          <w:sz w:val="30"/>
          <w:szCs w:val="30"/>
          <w:rtl/>
          <w:lang w:bidi="ar-MA"/>
        </w:rPr>
        <w:t>ستقرار</w:t>
      </w:r>
      <w:r w:rsidR="00BB090A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0F7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92D5E" w:rsidRPr="001B08AA">
        <w:rPr>
          <w:rFonts w:cs="Simplified Arabic" w:hint="cs"/>
          <w:sz w:val="30"/>
          <w:szCs w:val="30"/>
          <w:rtl/>
          <w:lang w:bidi="ar-MA"/>
        </w:rPr>
        <w:t>ا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لرقم </w:t>
      </w:r>
      <w:r w:rsidR="002D20F7" w:rsidRPr="001B08AA">
        <w:rPr>
          <w:rFonts w:cs="Simplified Arabic" w:hint="cs"/>
          <w:sz w:val="30"/>
          <w:szCs w:val="30"/>
          <w:rtl/>
          <w:lang w:bidi="ar-MA"/>
        </w:rPr>
        <w:t>الاستدلالي للمواد غير الغذائية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>.</w:t>
      </w:r>
    </w:p>
    <w:p w:rsidR="00075C1E" w:rsidRDefault="00075C1E" w:rsidP="001B08AA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BA4E60" w:rsidRPr="001B08AA" w:rsidRDefault="00464F92" w:rsidP="001B08AA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1B08AA">
        <w:rPr>
          <w:rFonts w:cs="Simplified Arabic" w:hint="cs"/>
          <w:sz w:val="30"/>
          <w:szCs w:val="30"/>
          <w:rtl/>
          <w:lang w:bidi="ar-MA"/>
        </w:rPr>
        <w:t>و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>همت ا</w:t>
      </w:r>
      <w:r w:rsidR="00943D07" w:rsidRPr="001B08AA">
        <w:rPr>
          <w:rFonts w:cs="Simplified Arabic" w:hint="cs"/>
          <w:sz w:val="30"/>
          <w:szCs w:val="30"/>
          <w:rtl/>
          <w:lang w:bidi="ar-MA"/>
        </w:rPr>
        <w:t>رتفاعات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1B08AA">
        <w:rPr>
          <w:rFonts w:cs="Simplified Arabic" w:hint="cs"/>
          <w:sz w:val="30"/>
          <w:szCs w:val="30"/>
          <w:rtl/>
          <w:lang w:bidi="ar-MA"/>
        </w:rPr>
        <w:t xml:space="preserve">المواد الغذائية 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المسجلة ما بين شهري </w:t>
      </w:r>
      <w:proofErr w:type="spellStart"/>
      <w:r w:rsidR="00D93EC5" w:rsidRPr="001B08AA">
        <w:rPr>
          <w:rFonts w:cs="Simplified Arabic" w:hint="cs"/>
          <w:sz w:val="30"/>
          <w:szCs w:val="30"/>
          <w:rtl/>
          <w:lang w:bidi="ar-MA"/>
        </w:rPr>
        <w:t>نونبر</w:t>
      </w:r>
      <w:proofErr w:type="spellEnd"/>
      <w:r w:rsidR="00A12C39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A12C39" w:rsidRPr="001B08AA">
        <w:rPr>
          <w:rFonts w:cs="Simplified Arabic" w:hint="cs"/>
          <w:sz w:val="30"/>
          <w:szCs w:val="30"/>
          <w:rtl/>
          <w:lang w:bidi="ar-MA"/>
        </w:rPr>
        <w:t>و</w:t>
      </w:r>
      <w:r w:rsidR="00BC5980" w:rsidRPr="001B08AA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="00BC5980" w:rsidRPr="001B08AA">
        <w:rPr>
          <w:rFonts w:cs="Simplified Arabic"/>
          <w:sz w:val="30"/>
          <w:szCs w:val="30"/>
          <w:lang w:bidi="ar-MA"/>
        </w:rPr>
        <w:t>201</w:t>
      </w:r>
      <w:r w:rsidR="00943D07" w:rsidRPr="001B08AA">
        <w:rPr>
          <w:rFonts w:cs="Simplified Arabic"/>
          <w:sz w:val="30"/>
          <w:szCs w:val="30"/>
          <w:lang w:bidi="ar-MA"/>
        </w:rPr>
        <w:t>2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 على الخصوص </w:t>
      </w:r>
      <w:r w:rsidR="002F40A6" w:rsidRPr="001B08AA">
        <w:rPr>
          <w:rFonts w:cs="Simplified Arabic" w:hint="cs"/>
          <w:sz w:val="30"/>
          <w:szCs w:val="30"/>
          <w:rtl/>
          <w:lang w:bidi="ar-MA"/>
        </w:rPr>
        <w:t xml:space="preserve">الخضر ب </w:t>
      </w:r>
      <w:r w:rsidR="002F40A6" w:rsidRPr="001B08AA">
        <w:rPr>
          <w:rFonts w:cs="Simplified Arabic"/>
          <w:sz w:val="30"/>
          <w:szCs w:val="30"/>
          <w:lang w:bidi="ar-MA"/>
        </w:rPr>
        <w:t>15,3%</w:t>
      </w:r>
      <w:r w:rsidR="002D20F7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73DF6" w:rsidRPr="001B08AA">
        <w:rPr>
          <w:rFonts w:cs="Simplified Arabic" w:hint="cs"/>
          <w:sz w:val="30"/>
          <w:szCs w:val="30"/>
          <w:rtl/>
          <w:lang w:bidi="ar-MA"/>
        </w:rPr>
        <w:t>و</w:t>
      </w:r>
      <w:r w:rsidR="002F40A6" w:rsidRPr="001B08AA">
        <w:rPr>
          <w:rFonts w:cs="Simplified Arabic" w:hint="cs"/>
          <w:sz w:val="30"/>
          <w:szCs w:val="30"/>
          <w:rtl/>
          <w:lang w:bidi="ar-MA"/>
        </w:rPr>
        <w:t xml:space="preserve">الزيوت والدهنيات ب </w:t>
      </w:r>
      <w:r w:rsidR="002F40A6" w:rsidRPr="001B08AA">
        <w:rPr>
          <w:rFonts w:cs="Simplified Arabic"/>
          <w:sz w:val="30"/>
          <w:szCs w:val="30"/>
          <w:lang w:bidi="ar-MA"/>
        </w:rPr>
        <w:t>0,7%</w:t>
      </w:r>
      <w:r w:rsidR="002F40A6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6499B">
        <w:rPr>
          <w:rFonts w:cs="Simplified Arabic" w:hint="cs"/>
          <w:sz w:val="30"/>
          <w:szCs w:val="30"/>
          <w:rtl/>
          <w:lang w:bidi="ar-MA"/>
        </w:rPr>
        <w:t xml:space="preserve">والحليب والجبن والبيض ب </w:t>
      </w:r>
      <w:r w:rsidR="00D6499B">
        <w:rPr>
          <w:rFonts w:cs="Simplified Arabic"/>
          <w:sz w:val="30"/>
          <w:szCs w:val="30"/>
          <w:lang w:bidi="ar-MA"/>
        </w:rPr>
        <w:t>0,4%</w:t>
      </w:r>
      <w:proofErr w:type="spellStart"/>
      <w:r w:rsidR="002D20F7" w:rsidRPr="001B08AA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BA4E60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وعلى العكس من </w:t>
      </w:r>
      <w:r w:rsidR="003846CD" w:rsidRPr="001B08AA">
        <w:rPr>
          <w:rFonts w:cs="Simplified Arabic"/>
          <w:sz w:val="30"/>
          <w:szCs w:val="30"/>
          <w:rtl/>
          <w:lang w:bidi="ar-MA"/>
        </w:rPr>
        <w:t>ذ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لك </w:t>
      </w:r>
      <w:r w:rsidR="00B73DF6" w:rsidRPr="001B08AA">
        <w:rPr>
          <w:rFonts w:cs="Simplified Arabic" w:hint="cs"/>
          <w:sz w:val="30"/>
          <w:szCs w:val="30"/>
          <w:rtl/>
          <w:lang w:bidi="ar-MA"/>
        </w:rPr>
        <w:t>ا</w:t>
      </w:r>
      <w:proofErr w:type="spellStart"/>
      <w:r w:rsidR="002F40A6" w:rsidRPr="001B08AA">
        <w:rPr>
          <w:rFonts w:cs="Simplified Arabic" w:hint="cs"/>
          <w:sz w:val="30"/>
          <w:szCs w:val="30"/>
          <w:rtl/>
        </w:rPr>
        <w:t>نخفضت</w:t>
      </w:r>
      <w:proofErr w:type="spellEnd"/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 أثمان </w:t>
      </w:r>
      <w:r w:rsidR="002F40A6" w:rsidRPr="001B08AA">
        <w:rPr>
          <w:rFonts w:cs="Simplified Arabic" w:hint="cs"/>
          <w:sz w:val="30"/>
          <w:szCs w:val="30"/>
          <w:rtl/>
          <w:lang w:bidi="ar-MA"/>
        </w:rPr>
        <w:t>الفواكه</w:t>
      </w:r>
      <w:r w:rsidR="002D20F7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1B08AA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F40A6" w:rsidRPr="001B08AA">
        <w:rPr>
          <w:rFonts w:cs="Simplified Arabic"/>
          <w:sz w:val="30"/>
          <w:szCs w:val="30"/>
          <w:lang w:bidi="ar-MA"/>
        </w:rPr>
        <w:t>6</w:t>
      </w:r>
      <w:r w:rsidR="002D20F7" w:rsidRPr="001B08AA">
        <w:rPr>
          <w:rFonts w:cs="Simplified Arabic"/>
          <w:sz w:val="30"/>
          <w:szCs w:val="30"/>
          <w:lang w:bidi="ar-MA"/>
        </w:rPr>
        <w:t>,</w:t>
      </w:r>
      <w:r w:rsidR="002F40A6" w:rsidRPr="001B08AA">
        <w:rPr>
          <w:rFonts w:cs="Simplified Arabic"/>
          <w:sz w:val="30"/>
          <w:szCs w:val="30"/>
          <w:lang w:bidi="ar-MA"/>
        </w:rPr>
        <w:t>8</w:t>
      </w:r>
      <w:r w:rsidR="003846CD" w:rsidRPr="001B08AA">
        <w:rPr>
          <w:rFonts w:cs="Simplified Arabic"/>
          <w:sz w:val="30"/>
          <w:szCs w:val="30"/>
          <w:lang w:bidi="ar-MA"/>
        </w:rPr>
        <w:t>%</w:t>
      </w:r>
      <w:r w:rsidR="002F40A6" w:rsidRPr="001B08AA">
        <w:rPr>
          <w:rFonts w:cs="Simplified Arabic" w:hint="cs"/>
          <w:sz w:val="30"/>
          <w:szCs w:val="30"/>
          <w:rtl/>
          <w:lang w:bidi="ar-MA"/>
        </w:rPr>
        <w:t xml:space="preserve"> والسمك وفواكه البحر ب </w:t>
      </w:r>
      <w:r w:rsidR="002F40A6" w:rsidRPr="001B08AA">
        <w:rPr>
          <w:rFonts w:cs="Simplified Arabic"/>
          <w:sz w:val="30"/>
          <w:szCs w:val="30"/>
          <w:lang w:bidi="ar-MA"/>
        </w:rPr>
        <w:t>4,6%</w:t>
      </w:r>
      <w:r w:rsidR="00BA4E60" w:rsidRPr="001B08A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F40A6" w:rsidRPr="001B08AA">
        <w:rPr>
          <w:rFonts w:cs="Simplified Arabic" w:hint="cs"/>
          <w:sz w:val="30"/>
          <w:szCs w:val="30"/>
          <w:rtl/>
          <w:lang w:bidi="ar-MA"/>
        </w:rPr>
        <w:t xml:space="preserve">واللحوم ب </w:t>
      </w:r>
      <w:r w:rsidR="002F40A6" w:rsidRPr="001B08AA">
        <w:rPr>
          <w:rFonts w:cs="Simplified Arabic"/>
          <w:sz w:val="30"/>
          <w:szCs w:val="30"/>
          <w:lang w:bidi="ar-MA"/>
        </w:rPr>
        <w:t>.1,9%</w:t>
      </w:r>
      <w:r w:rsidR="00BA4E60" w:rsidRPr="001B08AA">
        <w:rPr>
          <w:rFonts w:cs="Simplified Arabic"/>
          <w:sz w:val="30"/>
          <w:szCs w:val="30"/>
          <w:rtl/>
          <w:lang w:bidi="ar-MA"/>
        </w:rPr>
        <w:t xml:space="preserve"> </w:t>
      </w:r>
    </w:p>
    <w:p w:rsidR="007F2F8F" w:rsidRPr="001B08AA" w:rsidRDefault="007F2F8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CF02CA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وهكذا،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يكون مؤشر التضخم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الأساسي،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العالية،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قد عرف انخفاضا قدره </w:t>
      </w:r>
      <w:r w:rsidRPr="007F2F8F">
        <w:rPr>
          <w:rFonts w:cs="Simplified Arabic"/>
          <w:sz w:val="30"/>
          <w:szCs w:val="30"/>
          <w:lang w:bidi="ar-MA"/>
        </w:rPr>
        <w:t>0,</w:t>
      </w:r>
      <w:r w:rsidR="00CF02CA">
        <w:rPr>
          <w:rFonts w:cs="Simplified Arabic"/>
          <w:sz w:val="30"/>
          <w:szCs w:val="30"/>
          <w:lang w:bidi="ar-MA"/>
        </w:rPr>
        <w:t>3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شهر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7F2F8F">
        <w:rPr>
          <w:rFonts w:cs="Simplified Arabic"/>
          <w:sz w:val="30"/>
          <w:szCs w:val="30"/>
          <w:lang w:bidi="ar-MA"/>
        </w:rPr>
        <w:t>201</w:t>
      </w:r>
      <w:r w:rsidR="00943D07">
        <w:rPr>
          <w:rFonts w:cs="Simplified Arabic"/>
          <w:sz w:val="30"/>
          <w:szCs w:val="30"/>
          <w:lang w:bidi="ar-MA"/>
        </w:rPr>
        <w:t>2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الشهرالسابق</w:t>
      </w:r>
      <w:proofErr w:type="spellEnd"/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CF02CA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CF02CA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proofErr w:type="gramStart"/>
      <w:r w:rsidR="004D408A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CF02CA">
        <w:rPr>
          <w:rFonts w:cs="Simplified Arabic"/>
          <w:b/>
          <w:bCs/>
          <w:color w:val="0000FF"/>
          <w:sz w:val="30"/>
          <w:szCs w:val="30"/>
          <w:lang w:bidi="ar-MA"/>
        </w:rPr>
        <w:t>3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proofErr w:type="gramEnd"/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CF02CA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CF02CA">
        <w:rPr>
          <w:rFonts w:cs="Simplified Arabic"/>
          <w:b/>
          <w:bCs/>
          <w:color w:val="0000FF"/>
          <w:sz w:val="30"/>
          <w:szCs w:val="30"/>
          <w:lang w:bidi="ar-MA"/>
        </w:rPr>
        <w:t>8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Default="00BA4E60" w:rsidP="00946D1E">
      <w:pPr>
        <w:spacing w:line="320" w:lineRule="exact"/>
        <w:ind w:left="-284" w:right="-425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E85815">
        <w:rPr>
          <w:rFonts w:cs="Simplified Arabic"/>
          <w:sz w:val="30"/>
          <w:szCs w:val="30"/>
          <w:lang w:bidi="ar-MA"/>
        </w:rPr>
        <w:t>2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85815">
        <w:rPr>
          <w:rFonts w:cs="Simplified Arabic"/>
          <w:sz w:val="30"/>
          <w:szCs w:val="30"/>
          <w:lang w:bidi="ar-MA"/>
        </w:rPr>
        <w:t>1</w:t>
      </w:r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E85815">
        <w:rPr>
          <w:rFonts w:cs="Simplified Arabic"/>
          <w:sz w:val="30"/>
          <w:szCs w:val="30"/>
          <w:lang w:bidi="ar-MA"/>
        </w:rPr>
        <w:t>3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BC5980">
        <w:rPr>
          <w:rFonts w:cs="Simplified Arabic"/>
          <w:sz w:val="30"/>
          <w:szCs w:val="30"/>
          <w:lang w:bidi="ar-MA"/>
        </w:rPr>
        <w:t>1</w:t>
      </w:r>
      <w:r w:rsidR="00E85815">
        <w:rPr>
          <w:rFonts w:cs="Simplified Arabic"/>
          <w:sz w:val="30"/>
          <w:szCs w:val="30"/>
          <w:lang w:bidi="ar-MA"/>
        </w:rPr>
        <w:t>1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وقد شملت هذه الزيادة كلا من المواد الغذائية ب </w:t>
      </w:r>
      <w:r w:rsidR="00B92D5E">
        <w:rPr>
          <w:rFonts w:cs="Simplified Arabic"/>
          <w:sz w:val="30"/>
          <w:szCs w:val="30"/>
          <w:lang w:bidi="ar-MA"/>
        </w:rPr>
        <w:t>2</w:t>
      </w:r>
      <w:r w:rsidRPr="007F2F8F">
        <w:rPr>
          <w:rFonts w:cs="Simplified Arabic"/>
          <w:sz w:val="30"/>
          <w:szCs w:val="30"/>
          <w:lang w:bidi="ar-MA"/>
        </w:rPr>
        <w:t>,</w:t>
      </w:r>
      <w:r w:rsidR="00B92D5E">
        <w:rPr>
          <w:rFonts w:cs="Simplified Arabic"/>
          <w:sz w:val="30"/>
          <w:szCs w:val="30"/>
          <w:lang w:bidi="ar-MA"/>
        </w:rPr>
        <w:t>2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والمواد غير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231F4" w:rsidRPr="007F2F8F">
        <w:rPr>
          <w:rFonts w:cs="Simplified Arabic"/>
          <w:sz w:val="30"/>
          <w:szCs w:val="30"/>
          <w:lang w:bidi="ar-MA"/>
        </w:rPr>
        <w:t>0</w:t>
      </w:r>
      <w:r w:rsidRPr="007F2F8F">
        <w:rPr>
          <w:rFonts w:cs="Simplified Arabic"/>
          <w:sz w:val="30"/>
          <w:szCs w:val="30"/>
          <w:lang w:bidi="ar-MA"/>
        </w:rPr>
        <w:t>,</w:t>
      </w:r>
      <w:r w:rsidR="00D56142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464F92" w:rsidRPr="007F2F8F">
        <w:rPr>
          <w:rFonts w:cs="Simplified Arabic" w:hint="cs"/>
          <w:sz w:val="30"/>
          <w:szCs w:val="30"/>
          <w:rtl/>
          <w:lang w:bidi="ar-MA"/>
        </w:rPr>
        <w:t>تراوحت نسب التغير للمواد غير الغذائية مابين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انخفاض قدره </w:t>
      </w:r>
      <w:r w:rsidR="00B92D5E">
        <w:rPr>
          <w:rFonts w:cs="Simplified Arabic"/>
          <w:sz w:val="30"/>
          <w:szCs w:val="30"/>
          <w:lang w:bidi="ar-MA"/>
        </w:rPr>
        <w:t>19</w:t>
      </w:r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B92D5E">
        <w:rPr>
          <w:rFonts w:cs="Simplified Arabic"/>
          <w:sz w:val="30"/>
          <w:szCs w:val="30"/>
          <w:lang w:bidi="ar-MA"/>
        </w:rPr>
        <w:t>6</w:t>
      </w:r>
      <w:r w:rsidR="004F6E6C" w:rsidRPr="007F2F8F">
        <w:rPr>
          <w:rFonts w:cs="Simplified Arabic"/>
          <w:sz w:val="30"/>
          <w:szCs w:val="30"/>
          <w:lang w:bidi="ar-MA"/>
        </w:rPr>
        <w:t>%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4F6E6C" w:rsidRPr="007F2F8F">
        <w:rPr>
          <w:rFonts w:cs="Simplified Arabic" w:hint="cs"/>
          <w:sz w:val="30"/>
          <w:szCs w:val="30"/>
          <w:rtl/>
          <w:lang w:bidi="ar-MA"/>
        </w:rPr>
        <w:t>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المواصلات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</w:t>
      </w:r>
      <w:proofErr w:type="spellEnd"/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ارتفاع</w:t>
      </w:r>
      <w:r w:rsidR="004F6E6C" w:rsidRPr="007F2F8F">
        <w:rPr>
          <w:rFonts w:cs="Simplified Arabic" w:hint="cs"/>
          <w:sz w:val="30"/>
          <w:szCs w:val="30"/>
          <w:lang w:bidi="ar-MA"/>
        </w:rPr>
        <w:t xml:space="preserve"> 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قدره </w:t>
      </w:r>
      <w:r w:rsidR="00D60821" w:rsidRPr="007F2F8F">
        <w:rPr>
          <w:rFonts w:cs="Simplified Arabic"/>
          <w:sz w:val="30"/>
          <w:szCs w:val="30"/>
          <w:lang w:bidi="ar-MA"/>
        </w:rPr>
        <w:t xml:space="preserve"> </w:t>
      </w:r>
      <w:r w:rsidR="00B92D5E">
        <w:rPr>
          <w:rFonts w:cs="Simplified Arabic"/>
          <w:sz w:val="30"/>
          <w:szCs w:val="30"/>
          <w:lang w:bidi="ar-MA"/>
        </w:rPr>
        <w:t>3</w:t>
      </w:r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B92D5E">
        <w:rPr>
          <w:rFonts w:cs="Simplified Arabic"/>
          <w:sz w:val="30"/>
          <w:szCs w:val="30"/>
          <w:lang w:bidi="ar-MA"/>
        </w:rPr>
        <w:t>8</w:t>
      </w:r>
      <w:r w:rsidR="00D60821" w:rsidRPr="007F2F8F">
        <w:rPr>
          <w:rFonts w:cs="Simplified Arabic"/>
          <w:sz w:val="30"/>
          <w:szCs w:val="30"/>
          <w:lang w:bidi="ar-MA"/>
        </w:rPr>
        <w:t>%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ل </w:t>
      </w:r>
      <w:proofErr w:type="spellStart"/>
      <w:r w:rsidR="004F6E6C" w:rsidRPr="007F2F8F">
        <w:rPr>
          <w:rFonts w:cs="Simplified Arabic" w:hint="cs"/>
          <w:sz w:val="30"/>
          <w:szCs w:val="30"/>
          <w:rtl/>
          <w:lang w:bidi="ar-MA"/>
        </w:rPr>
        <w:t>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التعليم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".</w:t>
      </w:r>
      <w:proofErr w:type="spellEnd"/>
      <w:r w:rsidR="004F6E6C" w:rsidRPr="007F2F8F">
        <w:rPr>
          <w:rFonts w:cs="Simplified Arabic"/>
          <w:sz w:val="30"/>
          <w:szCs w:val="30"/>
          <w:lang w:bidi="ar-MA"/>
        </w:rPr>
        <w:t xml:space="preserve">  </w:t>
      </w:r>
    </w:p>
    <w:p w:rsidR="00946D1E" w:rsidRDefault="00946D1E" w:rsidP="00CF02CA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88652B" w:rsidRPr="007F2F8F" w:rsidRDefault="0088652B" w:rsidP="00CF02CA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 xml:space="preserve">على هذا </w:t>
      </w:r>
      <w:proofErr w:type="spellStart"/>
      <w:r w:rsidR="00A00D9B" w:rsidRPr="007F2F8F">
        <w:rPr>
          <w:rFonts w:cs="Simplified Arabic" w:hint="cs"/>
          <w:sz w:val="30"/>
          <w:szCs w:val="30"/>
          <w:rtl/>
          <w:lang w:bidi="ar-MA"/>
        </w:rPr>
        <w:t>الأساس،</w:t>
      </w:r>
      <w:proofErr w:type="spellEnd"/>
      <w:r w:rsidR="00A00D9B" w:rsidRPr="007F2F8F">
        <w:rPr>
          <w:rFonts w:cs="Simplified Arabic" w:hint="cs"/>
          <w:sz w:val="30"/>
          <w:szCs w:val="30"/>
          <w:rtl/>
          <w:lang w:bidi="ar-MA"/>
        </w:rPr>
        <w:t xml:space="preserve"> يكون مؤشر التضخم </w:t>
      </w:r>
      <w:proofErr w:type="spellStart"/>
      <w:r w:rsidR="00A00D9B" w:rsidRPr="007F2F8F">
        <w:rPr>
          <w:rFonts w:cs="Simplified Arabic" w:hint="cs"/>
          <w:sz w:val="30"/>
          <w:szCs w:val="30"/>
          <w:rtl/>
          <w:lang w:bidi="ar-MA"/>
        </w:rPr>
        <w:t>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قد عرف ارتفاعا قدره </w:t>
      </w:r>
      <w:r w:rsidR="00CF02CA">
        <w:rPr>
          <w:rFonts w:cs="Simplified Arabic"/>
          <w:sz w:val="30"/>
          <w:szCs w:val="30"/>
          <w:lang w:bidi="ar-MA"/>
        </w:rPr>
        <w:t>0</w:t>
      </w:r>
      <w:proofErr w:type="gramStart"/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CF02CA">
        <w:rPr>
          <w:rFonts w:cs="Simplified Arabic"/>
          <w:sz w:val="30"/>
          <w:szCs w:val="30"/>
          <w:lang w:bidi="ar-MA"/>
        </w:rPr>
        <w:t>8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proofErr w:type="gram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E85815">
        <w:rPr>
          <w:rFonts w:cs="Simplified Arabic"/>
          <w:sz w:val="30"/>
          <w:szCs w:val="30"/>
          <w:lang w:bidi="ar-MA"/>
        </w:rPr>
        <w:t>2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E85815">
        <w:rPr>
          <w:rFonts w:cs="Simplified Arabic"/>
          <w:sz w:val="30"/>
          <w:szCs w:val="30"/>
          <w:lang w:bidi="ar-MA"/>
        </w:rPr>
        <w:t>1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F57FE8">
      <w:pPr>
        <w:spacing w:after="160" w:line="320" w:lineRule="exact"/>
        <w:ind w:left="-284" w:right="-425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هم ارتفاع </w:t>
      </w:r>
      <w:r w:rsidR="0054354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بالعيون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</w:t>
      </w:r>
      <w:r w:rsidR="0054354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استقرار </w:t>
      </w:r>
      <w:proofErr w:type="spellStart"/>
      <w:r w:rsidR="0054354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بوجدة</w:t>
      </w:r>
      <w:proofErr w:type="spellEnd"/>
    </w:p>
    <w:p w:rsidR="00BA4E60" w:rsidRPr="007F2F8F" w:rsidRDefault="00A22E37" w:rsidP="00EF70F4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sz w:val="28"/>
          <w:szCs w:val="28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المدن،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E85815">
        <w:rPr>
          <w:rFonts w:cs="Simplified Arabic"/>
          <w:sz w:val="30"/>
          <w:szCs w:val="30"/>
          <w:lang w:bidi="ar-MA"/>
        </w:rPr>
        <w:t>2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r w:rsidR="00FC7937" w:rsidRPr="007F2F8F">
        <w:rPr>
          <w:rFonts w:cs="Simplified Arabic" w:hint="cs"/>
          <w:sz w:val="30"/>
          <w:szCs w:val="30"/>
          <w:rtl/>
        </w:rPr>
        <w:t>الارتفاعات</w:t>
      </w:r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 xml:space="preserve">في </w:t>
      </w:r>
      <w:r w:rsidR="00543544">
        <w:rPr>
          <w:rFonts w:cs="Simplified Arabic" w:hint="cs"/>
          <w:sz w:val="30"/>
          <w:szCs w:val="30"/>
          <w:rtl/>
        </w:rPr>
        <w:t>العيون</w:t>
      </w:r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543544">
        <w:rPr>
          <w:rFonts w:cs="Simplified Arabic"/>
          <w:sz w:val="30"/>
          <w:szCs w:val="30"/>
        </w:rPr>
        <w:t>2</w:t>
      </w:r>
      <w:r w:rsidR="00966B1F" w:rsidRPr="007F2F8F">
        <w:rPr>
          <w:rFonts w:cs="Simplified Arabic"/>
          <w:sz w:val="30"/>
          <w:szCs w:val="30"/>
          <w:lang w:bidi="ar-MA"/>
        </w:rPr>
        <w:t>,</w:t>
      </w:r>
      <w:r w:rsidR="00543544">
        <w:rPr>
          <w:rFonts w:cs="Simplified Arabic"/>
          <w:sz w:val="30"/>
          <w:szCs w:val="30"/>
          <w:lang w:bidi="ar-MA"/>
        </w:rPr>
        <w:t>2</w:t>
      </w:r>
      <w:r w:rsidR="00966B1F" w:rsidRPr="007F2F8F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543544">
        <w:rPr>
          <w:rFonts w:cs="Simplified Arabic" w:hint="cs"/>
          <w:sz w:val="30"/>
          <w:szCs w:val="30"/>
          <w:rtl/>
          <w:lang w:bidi="ar-MA"/>
        </w:rPr>
        <w:t>الداخلة</w:t>
      </w:r>
      <w:r w:rsidR="00482F2D" w:rsidRPr="007F2F8F">
        <w:rPr>
          <w:rFonts w:cs="Simplified Arabic" w:hint="cs"/>
          <w:sz w:val="30"/>
          <w:szCs w:val="30"/>
          <w:rtl/>
        </w:rPr>
        <w:t xml:space="preserve"> 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543544">
        <w:rPr>
          <w:rFonts w:cs="Simplified Arabic"/>
          <w:sz w:val="30"/>
          <w:szCs w:val="30"/>
        </w:rPr>
        <w:t>2</w:t>
      </w:r>
      <w:r w:rsidR="00482F2D" w:rsidRPr="007F2F8F">
        <w:rPr>
          <w:rFonts w:cs="Simplified Arabic"/>
          <w:sz w:val="30"/>
          <w:szCs w:val="30"/>
          <w:lang w:bidi="ar-MA"/>
        </w:rPr>
        <w:t>,</w:t>
      </w:r>
      <w:r w:rsidR="00543544">
        <w:rPr>
          <w:rFonts w:cs="Simplified Arabic"/>
          <w:sz w:val="30"/>
          <w:szCs w:val="30"/>
          <w:lang w:bidi="ar-MA"/>
        </w:rPr>
        <w:t>1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A4E60" w:rsidRPr="007F2F8F">
        <w:rPr>
          <w:rFonts w:cs="Simplified Arabic" w:hint="cs"/>
          <w:sz w:val="30"/>
          <w:szCs w:val="30"/>
          <w:rtl/>
        </w:rPr>
        <w:t>و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proofErr w:type="spellStart"/>
      <w:r w:rsidR="00543544">
        <w:rPr>
          <w:rFonts w:cs="Simplified Arabic" w:hint="cs"/>
          <w:sz w:val="30"/>
          <w:szCs w:val="30"/>
          <w:rtl/>
          <w:lang w:bidi="ar-MA"/>
        </w:rPr>
        <w:t>الدارالبيضاء</w:t>
      </w:r>
      <w:proofErr w:type="spellEnd"/>
      <w:r w:rsidR="00543544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FC7937">
        <w:rPr>
          <w:rFonts w:cs="Simplified Arabic" w:hint="cs"/>
          <w:sz w:val="30"/>
          <w:szCs w:val="30"/>
          <w:rtl/>
          <w:lang w:bidi="ar-MA"/>
        </w:rPr>
        <w:t xml:space="preserve">وبني </w:t>
      </w:r>
      <w:proofErr w:type="spellStart"/>
      <w:r w:rsidR="00FC7937">
        <w:rPr>
          <w:rFonts w:cs="Simplified Arabic" w:hint="cs"/>
          <w:sz w:val="30"/>
          <w:szCs w:val="30"/>
          <w:rtl/>
          <w:lang w:bidi="ar-MA"/>
        </w:rPr>
        <w:t>ملال</w:t>
      </w:r>
      <w:proofErr w:type="spellEnd"/>
      <w:r w:rsidR="00FC793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43544">
        <w:rPr>
          <w:rFonts w:cs="Simplified Arabic" w:hint="cs"/>
          <w:sz w:val="30"/>
          <w:szCs w:val="30"/>
          <w:rtl/>
          <w:lang w:bidi="ar-MA"/>
        </w:rPr>
        <w:t>ب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43544">
        <w:rPr>
          <w:rFonts w:cs="Simplified Arabic"/>
          <w:sz w:val="30"/>
          <w:szCs w:val="30"/>
          <w:lang w:bidi="ar-MA"/>
        </w:rPr>
        <w:t>2</w:t>
      </w:r>
      <w:r w:rsidR="00482F2D" w:rsidRPr="007F2F8F">
        <w:rPr>
          <w:rFonts w:cs="Simplified Arabic"/>
          <w:sz w:val="30"/>
          <w:szCs w:val="30"/>
          <w:lang w:bidi="ar-MA"/>
        </w:rPr>
        <w:t>,</w:t>
      </w:r>
      <w:r w:rsidR="00543544">
        <w:rPr>
          <w:rFonts w:cs="Simplified Arabic"/>
          <w:sz w:val="30"/>
          <w:szCs w:val="30"/>
          <w:lang w:bidi="ar-MA"/>
        </w:rPr>
        <w:t>0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482F2D" w:rsidRPr="007F2F8F">
        <w:rPr>
          <w:rFonts w:cs="Simplified Arabic" w:hint="cs"/>
          <w:sz w:val="30"/>
          <w:szCs w:val="30"/>
          <w:rtl/>
        </w:rPr>
        <w:t xml:space="preserve"> </w:t>
      </w:r>
      <w:r w:rsidR="00543544">
        <w:rPr>
          <w:rFonts w:cs="Simplified Arabic" w:hint="cs"/>
          <w:sz w:val="30"/>
          <w:szCs w:val="30"/>
          <w:rtl/>
        </w:rPr>
        <w:t xml:space="preserve">ومراكش ب </w:t>
      </w:r>
      <w:r w:rsidR="00543544">
        <w:rPr>
          <w:rFonts w:cs="Simplified Arabic"/>
          <w:sz w:val="30"/>
          <w:szCs w:val="30"/>
        </w:rPr>
        <w:t>1,8%</w:t>
      </w:r>
      <w:r w:rsidR="00543544">
        <w:rPr>
          <w:rFonts w:cs="Simplified Arabic" w:hint="cs"/>
          <w:sz w:val="30"/>
          <w:szCs w:val="30"/>
          <w:rtl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وأقل</w:t>
      </w:r>
      <w:r w:rsidR="00A55F90" w:rsidRPr="007F2F8F">
        <w:rPr>
          <w:rFonts w:cs="Simplified Arabic" w:hint="cs"/>
          <w:sz w:val="30"/>
          <w:szCs w:val="30"/>
          <w:rtl/>
        </w:rPr>
        <w:t xml:space="preserve"> </w:t>
      </w:r>
      <w:r w:rsidR="00FC7937" w:rsidRPr="007F2F8F">
        <w:rPr>
          <w:rFonts w:cs="Simplified Arabic" w:hint="cs"/>
          <w:sz w:val="30"/>
          <w:szCs w:val="30"/>
          <w:rtl/>
        </w:rPr>
        <w:t>الارتفاعات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43544">
        <w:rPr>
          <w:rFonts w:cs="Simplified Arabic" w:hint="cs"/>
          <w:sz w:val="30"/>
          <w:szCs w:val="30"/>
          <w:rtl/>
          <w:lang w:bidi="ar-MA"/>
        </w:rPr>
        <w:t>الرباط</w:t>
      </w:r>
      <w:r w:rsidR="0027737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482F2D" w:rsidRPr="007F2F8F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543544">
        <w:rPr>
          <w:rFonts w:cs="Simplified Arabic"/>
          <w:sz w:val="30"/>
          <w:szCs w:val="30"/>
          <w:lang w:bidi="ar-MA"/>
        </w:rPr>
        <w:t>6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A55F90" w:rsidRPr="007F2F8F">
        <w:rPr>
          <w:rFonts w:cs="Simplified Arabic" w:hint="cs"/>
          <w:sz w:val="30"/>
          <w:szCs w:val="30"/>
          <w:rtl/>
        </w:rPr>
        <w:t>في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FC7937">
        <w:rPr>
          <w:rFonts w:cs="Simplified Arabic" w:hint="cs"/>
          <w:sz w:val="30"/>
          <w:szCs w:val="30"/>
          <w:rtl/>
          <w:lang w:bidi="ar-MA"/>
        </w:rPr>
        <w:t>أسفي</w:t>
      </w:r>
      <w:r w:rsidR="00866345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543544">
        <w:rPr>
          <w:rFonts w:cs="Simplified Arabic"/>
          <w:sz w:val="30"/>
          <w:szCs w:val="30"/>
          <w:lang w:bidi="ar-MA"/>
        </w:rPr>
        <w:t>9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A702F" w:rsidRPr="007F2F8F">
        <w:rPr>
          <w:rFonts w:cs="Simplified Arabic" w:hint="cs"/>
          <w:sz w:val="30"/>
          <w:szCs w:val="30"/>
          <w:rtl/>
          <w:lang w:bidi="ar-MA"/>
        </w:rPr>
        <w:t xml:space="preserve">وفي </w:t>
      </w:r>
      <w:proofErr w:type="spellStart"/>
      <w:r w:rsidR="00543544">
        <w:rPr>
          <w:rFonts w:cs="Simplified Arabic" w:hint="cs"/>
          <w:sz w:val="30"/>
          <w:szCs w:val="30"/>
          <w:rtl/>
          <w:lang w:bidi="ar-MA"/>
        </w:rPr>
        <w:t>تطوان</w:t>
      </w:r>
      <w:proofErr w:type="spellEnd"/>
      <w:r w:rsidR="00543544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543544">
        <w:rPr>
          <w:rFonts w:cs="Simplified Arabic" w:hint="cs"/>
          <w:sz w:val="30"/>
          <w:szCs w:val="30"/>
          <w:rtl/>
          <w:lang w:bidi="ar-MA"/>
        </w:rPr>
        <w:t>وكلميم</w:t>
      </w:r>
      <w:proofErr w:type="spellEnd"/>
      <w:r w:rsidR="0027737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BA4E60" w:rsidRPr="007F2F8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543544">
        <w:rPr>
          <w:rFonts w:cs="Simplified Arabic"/>
          <w:sz w:val="30"/>
          <w:szCs w:val="30"/>
          <w:lang w:bidi="ar-MA"/>
        </w:rPr>
        <w:t>1</w:t>
      </w:r>
      <w:r w:rsidR="00BA4E60" w:rsidRPr="007F2F8F">
        <w:rPr>
          <w:rFonts w:cs="Simplified Arabic"/>
          <w:sz w:val="30"/>
          <w:szCs w:val="30"/>
          <w:lang w:bidi="ar-MA"/>
        </w:rPr>
        <w:t>,</w:t>
      </w:r>
      <w:r w:rsidR="00543544">
        <w:rPr>
          <w:rFonts w:cs="Simplified Arabic"/>
          <w:sz w:val="30"/>
          <w:szCs w:val="30"/>
          <w:lang w:bidi="ar-MA"/>
        </w:rPr>
        <w:t>1</w:t>
      </w:r>
      <w:r w:rsidR="00BA4E6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="00945AF2">
        <w:rPr>
          <w:rFonts w:cs="Simplified Arabic" w:hint="cs"/>
          <w:sz w:val="30"/>
          <w:szCs w:val="30"/>
          <w:rtl/>
          <w:lang w:bidi="ar-MA"/>
        </w:rPr>
        <w:t xml:space="preserve"> فيما سجل ا</w:t>
      </w:r>
      <w:r w:rsidR="00543544">
        <w:rPr>
          <w:rFonts w:cs="Simplified Arabic" w:hint="cs"/>
          <w:sz w:val="30"/>
          <w:szCs w:val="30"/>
          <w:rtl/>
          <w:lang w:bidi="ar-MA"/>
        </w:rPr>
        <w:t>ستقرار</w:t>
      </w:r>
      <w:r w:rsidR="00FC7937">
        <w:rPr>
          <w:rFonts w:cs="Simplified Arabic" w:hint="cs"/>
          <w:sz w:val="30"/>
          <w:szCs w:val="30"/>
          <w:rtl/>
          <w:lang w:bidi="ar-MA"/>
        </w:rPr>
        <w:t xml:space="preserve"> في</w:t>
      </w:r>
      <w:r w:rsidR="00543544">
        <w:rPr>
          <w:rFonts w:cs="Simplified Arabic" w:hint="cs"/>
          <w:sz w:val="30"/>
          <w:szCs w:val="30"/>
          <w:rtl/>
          <w:lang w:bidi="ar-MA"/>
        </w:rPr>
        <w:t xml:space="preserve"> وجدة.</w:t>
      </w:r>
      <w:r w:rsidR="00945AF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28"/>
          <w:szCs w:val="28"/>
          <w:rtl/>
          <w:lang w:bidi="ar-MA"/>
        </w:rPr>
        <w:t xml:space="preserve"> </w:t>
      </w:r>
    </w:p>
    <w:p w:rsidR="00BA4E60" w:rsidRPr="00B73DF6" w:rsidRDefault="00BA4E60" w:rsidP="007F2F8F">
      <w:pPr>
        <w:spacing w:line="240" w:lineRule="exact"/>
        <w:ind w:left="-286" w:right="-426"/>
        <w:jc w:val="both"/>
        <w:rPr>
          <w:rFonts w:cs="Simplified Arabic"/>
          <w:lang w:bidi="ar-MA"/>
        </w:rPr>
      </w:pPr>
    </w:p>
    <w:p w:rsidR="00CE64B9" w:rsidRPr="00543544" w:rsidRDefault="00CE64B9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FC7937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BC5980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  <w:proofErr w:type="gramStart"/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38325A" w:rsidRPr="004671FE" w:rsidRDefault="0038325A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F57FE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E858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E8581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E858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E85815">
              <w:rPr>
                <w:rFonts w:ascii="Arial" w:hAnsi="Arial" w:cs="Arial"/>
                <w:b/>
                <w:bCs/>
              </w:rPr>
              <w:t>2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D270B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CD270B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CD270B">
              <w:rPr>
                <w:rFonts w:ascii="Arial" w:hAnsi="Arial" w:cs="Arial"/>
                <w:rtl/>
              </w:rPr>
              <w:t>ائية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D270B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CD270B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الملابس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السكن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الترفيه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مطاعم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26740" w:rsidRPr="001F441C" w:rsidTr="001B08AA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مواد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26740" w:rsidRPr="001F441C" w:rsidTr="001B08AA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26740" w:rsidRPr="00CD270B" w:rsidRDefault="00126740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CD270B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CD270B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E858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30B9A">
              <w:rPr>
                <w:rFonts w:ascii="Arial" w:hAnsi="Arial" w:cs="Arial"/>
                <w:b/>
                <w:bCs/>
              </w:rPr>
              <w:t>1</w:t>
            </w:r>
            <w:r w:rsidR="00E85815">
              <w:rPr>
                <w:rFonts w:ascii="Arial" w:hAnsi="Arial" w:cs="Arial"/>
                <w:b/>
                <w:bCs/>
              </w:rPr>
              <w:t>1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E858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E85815">
              <w:rPr>
                <w:rFonts w:ascii="Arial" w:hAnsi="Arial" w:cs="Arial"/>
                <w:b/>
                <w:bCs/>
              </w:rPr>
              <w:t>2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E8581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858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E8581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E858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126740" w:rsidRPr="008631BC" w:rsidTr="001B08AA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-19,6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126740" w:rsidRPr="008631BC" w:rsidTr="001B08AA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26740" w:rsidRPr="008631BC" w:rsidTr="001B08AA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26740" w:rsidRPr="008631BC" w:rsidTr="001B08AA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26740" w:rsidRPr="008631BC" w:rsidRDefault="00126740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 w:rsidTr="00F57FE8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F57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E85815">
              <w:rPr>
                <w:rFonts w:ascii="Arial" w:hAnsi="Arial" w:cs="Arial"/>
                <w:b/>
                <w:bCs/>
              </w:rPr>
              <w:t>2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F57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E85815">
              <w:rPr>
                <w:rFonts w:ascii="Arial" w:hAnsi="Arial" w:cs="Arial"/>
                <w:b/>
                <w:bCs/>
              </w:rPr>
              <w:t>2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F57FE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F57FE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858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F57FE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858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F57FE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الدار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فاس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بني </w:t>
            </w:r>
            <w:proofErr w:type="spellStart"/>
            <w:r w:rsidRPr="00CD270B">
              <w:rPr>
                <w:rFonts w:ascii="Arial" w:hAnsi="Arial" w:cs="Arial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26740" w:rsidRPr="00A153EC" w:rsidTr="001B08A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26740" w:rsidRPr="00CD270B" w:rsidRDefault="00126740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26740" w:rsidRPr="00A153EC" w:rsidTr="001B08AA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26740" w:rsidRPr="00A153EC" w:rsidRDefault="00126740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109,4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110,8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126740" w:rsidRDefault="00126740">
            <w:pPr>
              <w:bidi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1,3</w:t>
            </w:r>
          </w:p>
        </w:tc>
      </w:tr>
    </w:tbl>
    <w:p w:rsidR="0038325A" w:rsidRPr="004671FE" w:rsidRDefault="0038325A" w:rsidP="00F57FE8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>:</w:t>
      </w:r>
      <w:proofErr w:type="gramEnd"/>
      <w:r w:rsidRPr="004671FE">
        <w:rPr>
          <w:rFonts w:cs="Arial"/>
          <w:b/>
          <w:bCs/>
          <w:color w:val="0000FF"/>
          <w:rtl/>
        </w:rPr>
        <w:t xml:space="preserve">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38325A" w:rsidRPr="004671FE" w:rsidSect="00166B16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DA" w:rsidRDefault="00FD4EDA">
      <w:r>
        <w:separator/>
      </w:r>
    </w:p>
  </w:endnote>
  <w:endnote w:type="continuationSeparator" w:id="0">
    <w:p w:rsidR="00FD4EDA" w:rsidRDefault="00FD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DA" w:rsidRDefault="00FD4EDA">
      <w:r>
        <w:separator/>
      </w:r>
    </w:p>
  </w:footnote>
  <w:footnote w:type="continuationSeparator" w:id="0">
    <w:p w:rsidR="00FD4EDA" w:rsidRDefault="00FD4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30C76"/>
    <w:rsid w:val="00035517"/>
    <w:rsid w:val="000570C6"/>
    <w:rsid w:val="00064152"/>
    <w:rsid w:val="00065E5A"/>
    <w:rsid w:val="00075C1E"/>
    <w:rsid w:val="000A1D46"/>
    <w:rsid w:val="000A52E4"/>
    <w:rsid w:val="000D49DC"/>
    <w:rsid w:val="000D759F"/>
    <w:rsid w:val="000E139F"/>
    <w:rsid w:val="000E5657"/>
    <w:rsid w:val="000E593C"/>
    <w:rsid w:val="001023CE"/>
    <w:rsid w:val="001222A6"/>
    <w:rsid w:val="00123BDE"/>
    <w:rsid w:val="001240FF"/>
    <w:rsid w:val="00126740"/>
    <w:rsid w:val="001663A3"/>
    <w:rsid w:val="00166B16"/>
    <w:rsid w:val="00174229"/>
    <w:rsid w:val="00174865"/>
    <w:rsid w:val="001766CF"/>
    <w:rsid w:val="00187931"/>
    <w:rsid w:val="001904F8"/>
    <w:rsid w:val="001A0AEF"/>
    <w:rsid w:val="001A0D5B"/>
    <w:rsid w:val="001A11E5"/>
    <w:rsid w:val="001B08AA"/>
    <w:rsid w:val="001B55A6"/>
    <w:rsid w:val="001C1038"/>
    <w:rsid w:val="001D27AE"/>
    <w:rsid w:val="001F0CDC"/>
    <w:rsid w:val="00221672"/>
    <w:rsid w:val="00222D3B"/>
    <w:rsid w:val="00230B9A"/>
    <w:rsid w:val="00231398"/>
    <w:rsid w:val="00234395"/>
    <w:rsid w:val="00241038"/>
    <w:rsid w:val="00242A85"/>
    <w:rsid w:val="00243FDF"/>
    <w:rsid w:val="00244C66"/>
    <w:rsid w:val="00256362"/>
    <w:rsid w:val="0026117F"/>
    <w:rsid w:val="0027207D"/>
    <w:rsid w:val="00277371"/>
    <w:rsid w:val="0028275C"/>
    <w:rsid w:val="00282A1F"/>
    <w:rsid w:val="00286B29"/>
    <w:rsid w:val="00286E29"/>
    <w:rsid w:val="002A214F"/>
    <w:rsid w:val="002B4D34"/>
    <w:rsid w:val="002B65B6"/>
    <w:rsid w:val="002B73CA"/>
    <w:rsid w:val="002C0ACC"/>
    <w:rsid w:val="002C2C7D"/>
    <w:rsid w:val="002D20F7"/>
    <w:rsid w:val="002F40A6"/>
    <w:rsid w:val="00301E30"/>
    <w:rsid w:val="00307730"/>
    <w:rsid w:val="003435B7"/>
    <w:rsid w:val="0034623C"/>
    <w:rsid w:val="0034758E"/>
    <w:rsid w:val="00357244"/>
    <w:rsid w:val="003733ED"/>
    <w:rsid w:val="0038325A"/>
    <w:rsid w:val="003846CD"/>
    <w:rsid w:val="0039389C"/>
    <w:rsid w:val="003A2B46"/>
    <w:rsid w:val="003C0039"/>
    <w:rsid w:val="003C2C8D"/>
    <w:rsid w:val="003D3B91"/>
    <w:rsid w:val="003F39EE"/>
    <w:rsid w:val="003F759A"/>
    <w:rsid w:val="004319BB"/>
    <w:rsid w:val="00432166"/>
    <w:rsid w:val="00454838"/>
    <w:rsid w:val="00464F92"/>
    <w:rsid w:val="004719B9"/>
    <w:rsid w:val="00482F2D"/>
    <w:rsid w:val="004856DD"/>
    <w:rsid w:val="004D041B"/>
    <w:rsid w:val="004D3DE6"/>
    <w:rsid w:val="004D408A"/>
    <w:rsid w:val="004D6B45"/>
    <w:rsid w:val="004F1389"/>
    <w:rsid w:val="004F160D"/>
    <w:rsid w:val="004F6E6C"/>
    <w:rsid w:val="00501B2D"/>
    <w:rsid w:val="005038BF"/>
    <w:rsid w:val="00513735"/>
    <w:rsid w:val="00517824"/>
    <w:rsid w:val="00533BDB"/>
    <w:rsid w:val="00543544"/>
    <w:rsid w:val="00544A52"/>
    <w:rsid w:val="005714C9"/>
    <w:rsid w:val="00575833"/>
    <w:rsid w:val="005777BC"/>
    <w:rsid w:val="00581787"/>
    <w:rsid w:val="005921DC"/>
    <w:rsid w:val="00592321"/>
    <w:rsid w:val="0059556C"/>
    <w:rsid w:val="005A135B"/>
    <w:rsid w:val="005A527C"/>
    <w:rsid w:val="005C24B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576F7"/>
    <w:rsid w:val="0067538D"/>
    <w:rsid w:val="00680419"/>
    <w:rsid w:val="006A1D00"/>
    <w:rsid w:val="006A5971"/>
    <w:rsid w:val="006C75E4"/>
    <w:rsid w:val="006D75DC"/>
    <w:rsid w:val="006E5CEC"/>
    <w:rsid w:val="006F3813"/>
    <w:rsid w:val="007032A5"/>
    <w:rsid w:val="00704F21"/>
    <w:rsid w:val="00742C28"/>
    <w:rsid w:val="0076573B"/>
    <w:rsid w:val="007819F7"/>
    <w:rsid w:val="00782FF3"/>
    <w:rsid w:val="00787DDB"/>
    <w:rsid w:val="007A38AE"/>
    <w:rsid w:val="007B17F2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6345"/>
    <w:rsid w:val="00882D21"/>
    <w:rsid w:val="0088652B"/>
    <w:rsid w:val="0089415E"/>
    <w:rsid w:val="008A0FB9"/>
    <w:rsid w:val="008B61C0"/>
    <w:rsid w:val="008C368D"/>
    <w:rsid w:val="008C7787"/>
    <w:rsid w:val="008D2424"/>
    <w:rsid w:val="008F7F42"/>
    <w:rsid w:val="009058FF"/>
    <w:rsid w:val="00915880"/>
    <w:rsid w:val="00931AD4"/>
    <w:rsid w:val="00931E4D"/>
    <w:rsid w:val="00943D07"/>
    <w:rsid w:val="00945AF2"/>
    <w:rsid w:val="00946D1E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2E37"/>
    <w:rsid w:val="00A3326F"/>
    <w:rsid w:val="00A332D5"/>
    <w:rsid w:val="00A347B2"/>
    <w:rsid w:val="00A3626A"/>
    <w:rsid w:val="00A55F90"/>
    <w:rsid w:val="00A91337"/>
    <w:rsid w:val="00AB7955"/>
    <w:rsid w:val="00AC3AF4"/>
    <w:rsid w:val="00AE3942"/>
    <w:rsid w:val="00AF01C2"/>
    <w:rsid w:val="00B006A4"/>
    <w:rsid w:val="00B032D7"/>
    <w:rsid w:val="00B201E4"/>
    <w:rsid w:val="00B27CAC"/>
    <w:rsid w:val="00B4467D"/>
    <w:rsid w:val="00B56347"/>
    <w:rsid w:val="00B6157D"/>
    <w:rsid w:val="00B73D18"/>
    <w:rsid w:val="00B73DF6"/>
    <w:rsid w:val="00B76583"/>
    <w:rsid w:val="00B85E04"/>
    <w:rsid w:val="00B90A4A"/>
    <w:rsid w:val="00B92D5E"/>
    <w:rsid w:val="00B960D6"/>
    <w:rsid w:val="00BA4E60"/>
    <w:rsid w:val="00BB090A"/>
    <w:rsid w:val="00BB45E8"/>
    <w:rsid w:val="00BC5980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73C31"/>
    <w:rsid w:val="00C802EC"/>
    <w:rsid w:val="00C83484"/>
    <w:rsid w:val="00C90AEE"/>
    <w:rsid w:val="00C979E1"/>
    <w:rsid w:val="00CA7C59"/>
    <w:rsid w:val="00CC7F1A"/>
    <w:rsid w:val="00CD175F"/>
    <w:rsid w:val="00CD270B"/>
    <w:rsid w:val="00CE64B9"/>
    <w:rsid w:val="00CF02CA"/>
    <w:rsid w:val="00CF2315"/>
    <w:rsid w:val="00CF4BB2"/>
    <w:rsid w:val="00CF57BA"/>
    <w:rsid w:val="00D04FEA"/>
    <w:rsid w:val="00D12CAC"/>
    <w:rsid w:val="00D45872"/>
    <w:rsid w:val="00D45FCA"/>
    <w:rsid w:val="00D56142"/>
    <w:rsid w:val="00D57C38"/>
    <w:rsid w:val="00D60821"/>
    <w:rsid w:val="00D62FE4"/>
    <w:rsid w:val="00D6499B"/>
    <w:rsid w:val="00D72A44"/>
    <w:rsid w:val="00D72F9F"/>
    <w:rsid w:val="00D772D6"/>
    <w:rsid w:val="00D8772E"/>
    <w:rsid w:val="00D9245F"/>
    <w:rsid w:val="00D93EC5"/>
    <w:rsid w:val="00DA3994"/>
    <w:rsid w:val="00DA702F"/>
    <w:rsid w:val="00DF17C4"/>
    <w:rsid w:val="00DF7F64"/>
    <w:rsid w:val="00E00017"/>
    <w:rsid w:val="00E21B44"/>
    <w:rsid w:val="00E225F7"/>
    <w:rsid w:val="00E256FD"/>
    <w:rsid w:val="00E34573"/>
    <w:rsid w:val="00E6291F"/>
    <w:rsid w:val="00E63652"/>
    <w:rsid w:val="00E746EF"/>
    <w:rsid w:val="00E754F0"/>
    <w:rsid w:val="00E85815"/>
    <w:rsid w:val="00EA54A4"/>
    <w:rsid w:val="00EB4936"/>
    <w:rsid w:val="00ED762F"/>
    <w:rsid w:val="00EE441E"/>
    <w:rsid w:val="00EE78D8"/>
    <w:rsid w:val="00EE7ADE"/>
    <w:rsid w:val="00EE7BA8"/>
    <w:rsid w:val="00EF70F4"/>
    <w:rsid w:val="00F14736"/>
    <w:rsid w:val="00F304FA"/>
    <w:rsid w:val="00F57FE8"/>
    <w:rsid w:val="00F650FE"/>
    <w:rsid w:val="00F80074"/>
    <w:rsid w:val="00F825C1"/>
    <w:rsid w:val="00F94D4C"/>
    <w:rsid w:val="00F97C2E"/>
    <w:rsid w:val="00FA46BF"/>
    <w:rsid w:val="00FC51DE"/>
    <w:rsid w:val="00FC7937"/>
    <w:rsid w:val="00FD4EDA"/>
    <w:rsid w:val="00F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16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66B16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66B16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66B16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66B16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66B16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66B16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66B16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66B16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66B16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66B16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66B16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66B16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66B16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66B16"/>
    <w:pPr>
      <w:spacing w:after="120"/>
      <w:ind w:left="283"/>
    </w:pPr>
  </w:style>
  <w:style w:type="paragraph" w:customStyle="1" w:styleId="Corpsdetexte21">
    <w:name w:val="Corps de texte 21"/>
    <w:basedOn w:val="Normal"/>
    <w:rsid w:val="00166B16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66B16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66B16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66B16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66B16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66B16"/>
  </w:style>
  <w:style w:type="character" w:styleId="Appelnotedebasdep">
    <w:name w:val="footnote reference"/>
    <w:basedOn w:val="Policepardfaut"/>
    <w:semiHidden/>
    <w:rsid w:val="00166B16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166B1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166B16"/>
  </w:style>
  <w:style w:type="paragraph" w:styleId="En-tte">
    <w:name w:val="header"/>
    <w:basedOn w:val="Normal"/>
    <w:semiHidden/>
    <w:rsid w:val="00166B16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المملكـة المغربيـة</vt:lpstr>
    </vt:vector>
  </TitlesOfParts>
  <Company>ds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9</cp:revision>
  <cp:lastPrinted>2013-01-16T15:07:00Z</cp:lastPrinted>
  <dcterms:created xsi:type="dcterms:W3CDTF">2013-01-19T15:24:00Z</dcterms:created>
  <dcterms:modified xsi:type="dcterms:W3CDTF">2013-01-19T16:37:00Z</dcterms:modified>
</cp:coreProperties>
</file>