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A7C" w:rsidRPr="00B319DF" w:rsidRDefault="00AD3A7C" w:rsidP="00B319DF">
      <w:pPr>
        <w:pStyle w:val="Titre"/>
        <w:ind w:firstLine="720"/>
        <w:jc w:val="both"/>
        <w:rPr>
          <w:sz w:val="32"/>
          <w:szCs w:val="32"/>
          <w:rtl/>
          <w:lang w:bidi="ar-MA"/>
        </w:rPr>
      </w:pPr>
    </w:p>
    <w:p w:rsidR="00C6624F" w:rsidRPr="00B319DF" w:rsidRDefault="00C6624F" w:rsidP="00B319DF">
      <w:pPr>
        <w:pStyle w:val="Titre"/>
        <w:ind w:firstLine="720"/>
        <w:jc w:val="both"/>
        <w:rPr>
          <w:sz w:val="32"/>
          <w:szCs w:val="32"/>
          <w:rtl/>
          <w:lang w:bidi="ar-MA"/>
        </w:rPr>
      </w:pPr>
    </w:p>
    <w:p w:rsidR="00C6624F" w:rsidRPr="00B319DF" w:rsidRDefault="00C6624F" w:rsidP="00B319DF">
      <w:pPr>
        <w:pStyle w:val="Titre"/>
        <w:ind w:firstLine="720"/>
        <w:jc w:val="both"/>
        <w:rPr>
          <w:sz w:val="32"/>
          <w:szCs w:val="32"/>
          <w:rtl/>
          <w:lang w:bidi="ar-MA"/>
        </w:rPr>
      </w:pPr>
    </w:p>
    <w:p w:rsidR="00C6624F" w:rsidRPr="00B319DF" w:rsidRDefault="00C6624F" w:rsidP="00B319DF">
      <w:pPr>
        <w:pStyle w:val="Titre"/>
        <w:ind w:firstLine="720"/>
        <w:jc w:val="both"/>
        <w:rPr>
          <w:sz w:val="32"/>
          <w:szCs w:val="32"/>
          <w:rtl/>
          <w:lang w:bidi="ar-MA"/>
        </w:rPr>
      </w:pPr>
    </w:p>
    <w:p w:rsidR="00C6624F" w:rsidRPr="0092727B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TimesNewRoman"/>
          <w:color w:val="000000"/>
          <w:sz w:val="22"/>
          <w:szCs w:val="22"/>
          <w:rtl/>
          <w:lang w:bidi="ar-MA"/>
        </w:rPr>
      </w:pPr>
      <w:r w:rsidRPr="0092727B">
        <w:rPr>
          <w:rFonts w:ascii="TimesNewRoman" w:cs="TimesNewRoman" w:hint="cs"/>
          <w:color w:val="000000"/>
          <w:sz w:val="22"/>
          <w:szCs w:val="22"/>
          <w:rtl/>
          <w:lang w:bidi="ar-MA"/>
        </w:rPr>
        <w:t>ال</w:t>
      </w:r>
      <w:r w:rsidRPr="0092727B">
        <w:rPr>
          <w:rFonts w:cs="TimesNewRoman" w:hint="cs"/>
          <w:color w:val="000000"/>
          <w:sz w:val="22"/>
          <w:szCs w:val="22"/>
          <w:rtl/>
          <w:lang w:val="en-US" w:bidi="ar-MA"/>
        </w:rPr>
        <w:t>دار البيضاء</w:t>
      </w:r>
      <w:r w:rsidRPr="0092727B">
        <w:rPr>
          <w:rFonts w:ascii="TimesNewRoman" w:cs="TimesNewRoman" w:hint="cs"/>
          <w:color w:val="000000"/>
          <w:sz w:val="22"/>
          <w:szCs w:val="22"/>
          <w:rtl/>
          <w:lang w:bidi="ar-MA"/>
        </w:rPr>
        <w:t xml:space="preserve">: </w:t>
      </w:r>
      <w:r w:rsidRPr="0092727B">
        <w:rPr>
          <w:rFonts w:ascii="TimesNewRoman" w:cs="TimesNewRoman"/>
          <w:color w:val="000000"/>
          <w:sz w:val="22"/>
          <w:szCs w:val="22"/>
          <w:lang w:bidi="ar-MA"/>
        </w:rPr>
        <w:t>15</w:t>
      </w:r>
      <w:r w:rsidRPr="0092727B">
        <w:rPr>
          <w:rFonts w:ascii="TimesNewRoman" w:cs="TimesNewRoman" w:hint="cs"/>
          <w:color w:val="000000"/>
          <w:sz w:val="22"/>
          <w:szCs w:val="22"/>
          <w:rtl/>
          <w:lang w:bidi="ar-MA"/>
        </w:rPr>
        <w:t xml:space="preserve"> فبراير 2012</w:t>
      </w:r>
    </w:p>
    <w:p w:rsidR="000F1292" w:rsidRPr="00B319DF" w:rsidRDefault="000F1292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TimesNewRoman"/>
          <w:color w:val="000000"/>
          <w:sz w:val="32"/>
          <w:szCs w:val="32"/>
          <w:rtl/>
          <w:lang w:bidi="ar-MA"/>
        </w:rPr>
      </w:pPr>
    </w:p>
    <w:p w:rsidR="000F1292" w:rsidRPr="00B319DF" w:rsidRDefault="000F1292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TimesNewRoman"/>
          <w:color w:val="000000"/>
          <w:sz w:val="32"/>
          <w:szCs w:val="32"/>
          <w:rtl/>
          <w:lang w:bidi="ar-MA"/>
        </w:rPr>
      </w:pPr>
    </w:p>
    <w:p w:rsidR="000F1292" w:rsidRPr="00B319DF" w:rsidRDefault="000F1292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TimesNewRoman"/>
          <w:color w:val="000000"/>
          <w:sz w:val="32"/>
          <w:szCs w:val="32"/>
        </w:rPr>
      </w:pPr>
    </w:p>
    <w:p w:rsidR="000F1292" w:rsidRPr="00B319DF" w:rsidRDefault="000F1292" w:rsidP="00B319DF">
      <w:pPr>
        <w:autoSpaceDE w:val="0"/>
        <w:autoSpaceDN w:val="0"/>
        <w:bidi/>
        <w:adjustRightInd w:val="0"/>
        <w:ind w:right="-284"/>
        <w:jc w:val="center"/>
        <w:rPr>
          <w:rFonts w:ascii="TimesNewRoman,Bold" w:cs="Simplified Arabic"/>
          <w:color w:val="339A66"/>
          <w:sz w:val="32"/>
          <w:szCs w:val="32"/>
          <w:rtl/>
          <w:lang w:bidi="ar-MA"/>
        </w:rPr>
      </w:pPr>
      <w:r w:rsidRPr="00B319DF">
        <w:rPr>
          <w:rFonts w:ascii="TimesNewRoman,Bold" w:cs="Simplified Arabic" w:hint="cs"/>
          <w:color w:val="339A66"/>
          <w:sz w:val="32"/>
          <w:szCs w:val="32"/>
          <w:rtl/>
          <w:lang w:bidi="ar-MA"/>
        </w:rPr>
        <w:t>ملخص حول:</w:t>
      </w:r>
    </w:p>
    <w:p w:rsidR="00C6624F" w:rsidRPr="00B319DF" w:rsidRDefault="000F1292" w:rsidP="00B319DF">
      <w:pPr>
        <w:autoSpaceDE w:val="0"/>
        <w:autoSpaceDN w:val="0"/>
        <w:bidi/>
        <w:adjustRightInd w:val="0"/>
        <w:ind w:right="-284"/>
        <w:jc w:val="center"/>
        <w:rPr>
          <w:rFonts w:cs="Simplified Arabic"/>
          <w:color w:val="339A66"/>
          <w:sz w:val="32"/>
          <w:szCs w:val="32"/>
          <w:rtl/>
        </w:rPr>
      </w:pPr>
      <w:r w:rsidRPr="00B319DF">
        <w:rPr>
          <w:rFonts w:ascii="TimesNewRoman,Bold" w:cs="Simplified Arabic" w:hint="cs"/>
          <w:color w:val="339A66"/>
          <w:sz w:val="32"/>
          <w:szCs w:val="32"/>
          <w:rtl/>
          <w:lang w:bidi="ar-MA"/>
        </w:rPr>
        <w:t>توقعات الميزانية</w:t>
      </w:r>
      <w:r w:rsidR="00C6624F" w:rsidRPr="00B319DF">
        <w:rPr>
          <w:rFonts w:ascii="TimesNewRoman,Bold" w:cs="Simplified Arabic"/>
          <w:color w:val="339A66"/>
          <w:sz w:val="32"/>
          <w:szCs w:val="32"/>
          <w:rtl/>
          <w:lang w:bidi="ar-MA"/>
        </w:rPr>
        <w:t xml:space="preserve"> </w:t>
      </w:r>
      <w:r w:rsidRPr="00B319DF">
        <w:rPr>
          <w:rFonts w:ascii="TimesNewRoman,Bold" w:cs="Simplified Arabic" w:hint="cs"/>
          <w:color w:val="339A66"/>
          <w:sz w:val="32"/>
          <w:szCs w:val="32"/>
          <w:rtl/>
          <w:lang w:bidi="ar-MA"/>
        </w:rPr>
        <w:t xml:space="preserve">الاقتصادية </w:t>
      </w:r>
      <w:r w:rsidR="00C6624F" w:rsidRPr="00B319DF">
        <w:rPr>
          <w:rFonts w:cs="Simplified Arabic" w:hint="cs"/>
          <w:color w:val="339A66"/>
          <w:sz w:val="32"/>
          <w:szCs w:val="32"/>
          <w:rtl/>
        </w:rPr>
        <w:t>وآفاق</w:t>
      </w:r>
      <w:r w:rsidR="00C6624F" w:rsidRPr="00B319DF">
        <w:rPr>
          <w:rFonts w:cs="Simplified Arabic"/>
          <w:color w:val="339A66"/>
          <w:sz w:val="32"/>
          <w:szCs w:val="32"/>
        </w:rPr>
        <w:t xml:space="preserve"> </w:t>
      </w:r>
      <w:r w:rsidR="00C6624F" w:rsidRPr="00B319DF">
        <w:rPr>
          <w:rFonts w:cs="Simplified Arabic" w:hint="cs"/>
          <w:color w:val="339A66"/>
          <w:sz w:val="32"/>
          <w:szCs w:val="32"/>
          <w:rtl/>
          <w:lang w:bidi="ar-MA"/>
        </w:rPr>
        <w:t>سنة</w:t>
      </w:r>
      <w:r w:rsidR="00C6624F" w:rsidRPr="00B319DF">
        <w:rPr>
          <w:rFonts w:cs="Simplified Arabic"/>
          <w:color w:val="339A66"/>
          <w:sz w:val="32"/>
          <w:szCs w:val="32"/>
          <w:rtl/>
        </w:rPr>
        <w:t xml:space="preserve"> 2015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color w:val="339A66"/>
          <w:sz w:val="32"/>
          <w:szCs w:val="32"/>
          <w:rtl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قامت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المندوبية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السامية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للتخطيط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بإعداد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الميزانية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الاقتصادية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التوقعية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لسنة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2012، التي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تقدم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تقديرا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للنمو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الاقتصادي الوطني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="000F1292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خلال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سنة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2011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،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وكذا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مراجعة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توقعات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السنة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الجارية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. </w:t>
      </w:r>
      <w:r w:rsidR="000F1292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كما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قامت</w:t>
      </w:r>
      <w:r w:rsidR="000F1292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، بإعداد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التوقعات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الاقتصادية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في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أفق سنة</w:t>
      </w:r>
      <w:r w:rsidR="000F1292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2015</w:t>
      </w:r>
      <w:r w:rsidR="000F1292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، خاصة فيما يتعلق ب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قابلية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التوازنات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الماكر واقتصادية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والخارجية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للاستمرار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>.</w:t>
      </w:r>
    </w:p>
    <w:p w:rsidR="00B319DF" w:rsidRPr="00B319DF" w:rsidRDefault="00B319D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</w:p>
    <w:p w:rsidR="0092727B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وتعتمد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توقعات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هذه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الميزانية الاقتصادية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على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مجموعة من الفرضيات، التي تهم تطور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المحيط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الدولي والوضعية الاقتصادية الداخلية. وهكذا، سيعرف الطلب العالمي الموجه نحو المغرب خلال سنة 2012، ت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باطؤا، حيث لن يتعدى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نموه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%2,1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عوض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%5,6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2011. و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يتوقع أن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یصل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متوسط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سعر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النفط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الخام إلى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99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دولارا للبرمیل عوض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104,2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دولارا للبرمیل سنة 2011، في حين سينخفض متوسط سعر المواد 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الأولية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غير الطاقية بحوالي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%14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. وست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عرف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قیمة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الیورو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مقابل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الدولار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استقرارا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في حدود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1,36 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.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وترتكز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هذه الفرضيات، كذلك، على استقرار مدا خيل السياحة الدولية وتحويلات المغاربة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المقیمین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في الخارج في 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مستويات المسجلة سنة 2011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وعلى انتعاش طفيف للا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ستثمارات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الأجنبیة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المباشرة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ب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%10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بعد الانخفاض الكبير ب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%37,2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2011.</w:t>
      </w:r>
    </w:p>
    <w:p w:rsidR="00B319DF" w:rsidRPr="00B319DF" w:rsidRDefault="00C6624F" w:rsidP="0092727B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وبخصوص العوامل المرتبطة بالظروف الاقتصادية الداخلية، تعتمد الفرضيات على إنتاج للحبوب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لا يتجاوز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60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ملیون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قنطار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خلال الموسم الفلاحي الحالي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، وعلى المقتضيات المعلنة في مشروع القانون المالي لسنة 2012، خاصة نفقات التسيير والاستثمار.</w:t>
      </w:r>
    </w:p>
    <w:p w:rsidR="00A347D4" w:rsidRPr="00B319DF" w:rsidRDefault="00A347D4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</w:p>
    <w:p w:rsidR="00C6624F" w:rsidRPr="00B319DF" w:rsidRDefault="00C6624F" w:rsidP="00B319DF">
      <w:pPr>
        <w:numPr>
          <w:ilvl w:val="0"/>
          <w:numId w:val="43"/>
        </w:numPr>
        <w:autoSpaceDE w:val="0"/>
        <w:autoSpaceDN w:val="0"/>
        <w:bidi/>
        <w:adjustRightInd w:val="0"/>
        <w:ind w:right="-284"/>
        <w:jc w:val="both"/>
        <w:rPr>
          <w:color w:val="000000"/>
          <w:sz w:val="32"/>
          <w:szCs w:val="32"/>
        </w:rPr>
      </w:pPr>
      <w:r w:rsidRPr="00B319DF">
        <w:rPr>
          <w:rFonts w:hint="cs"/>
          <w:color w:val="00B150"/>
          <w:sz w:val="32"/>
          <w:szCs w:val="32"/>
          <w:u w:val="single"/>
          <w:rtl/>
        </w:rPr>
        <w:t>الاقتصاد</w:t>
      </w:r>
      <w:r w:rsidRPr="00B319DF">
        <w:rPr>
          <w:color w:val="00B150"/>
          <w:sz w:val="32"/>
          <w:szCs w:val="32"/>
          <w:u w:val="single"/>
        </w:rPr>
        <w:t xml:space="preserve"> </w:t>
      </w:r>
      <w:r w:rsidRPr="00B319DF">
        <w:rPr>
          <w:rFonts w:hint="cs"/>
          <w:color w:val="00B150"/>
          <w:sz w:val="32"/>
          <w:szCs w:val="32"/>
          <w:u w:val="single"/>
          <w:rtl/>
        </w:rPr>
        <w:t>الوطني</w:t>
      </w:r>
      <w:r w:rsidRPr="00B319DF">
        <w:rPr>
          <w:color w:val="00B150"/>
          <w:sz w:val="32"/>
          <w:szCs w:val="32"/>
          <w:u w:val="single"/>
        </w:rPr>
        <w:t xml:space="preserve"> </w:t>
      </w:r>
      <w:r w:rsidRPr="00B319DF">
        <w:rPr>
          <w:rFonts w:hint="cs"/>
          <w:color w:val="00B150"/>
          <w:sz w:val="32"/>
          <w:szCs w:val="32"/>
          <w:u w:val="single"/>
          <w:rtl/>
        </w:rPr>
        <w:t>خلال</w:t>
      </w:r>
      <w:r w:rsidRPr="00B319DF">
        <w:rPr>
          <w:color w:val="00B150"/>
          <w:sz w:val="32"/>
          <w:szCs w:val="32"/>
          <w:u w:val="single"/>
        </w:rPr>
        <w:t xml:space="preserve"> </w:t>
      </w:r>
      <w:r w:rsidRPr="00B319DF">
        <w:rPr>
          <w:rFonts w:hint="cs"/>
          <w:color w:val="00B150"/>
          <w:sz w:val="32"/>
          <w:szCs w:val="32"/>
          <w:u w:val="single"/>
          <w:rtl/>
        </w:rPr>
        <w:t>سنة 2011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عرف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الاقتصاد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الوطني خلال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سنة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2011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نموا ب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%4,8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عوض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%3,7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المسجلة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سنة 2010. وي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عزى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هذا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الانتعاش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إلى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ارتفاع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القيمة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المضافة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color w:val="000000"/>
          <w:sz w:val="32"/>
          <w:szCs w:val="32"/>
          <w:rtl/>
        </w:rPr>
        <w:t>للقطاع</w:t>
      </w:r>
      <w:r w:rsidRPr="00B319DF">
        <w:rPr>
          <w:rFonts w:ascii="TimesNewRoman" w:cs="Simplified Arabic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color w:val="000000"/>
          <w:sz w:val="32"/>
          <w:szCs w:val="32"/>
          <w:rtl/>
        </w:rPr>
        <w:t>الأولي</w:t>
      </w:r>
      <w:r w:rsidRPr="00B319DF">
        <w:rPr>
          <w:rFonts w:ascii="TimesNewRoman" w:cs="Simplified Arabic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color w:val="000000"/>
          <w:sz w:val="32"/>
          <w:szCs w:val="32"/>
          <w:rtl/>
        </w:rPr>
        <w:t>ب</w:t>
      </w:r>
      <w:r w:rsidRPr="00B319DF">
        <w:rPr>
          <w:rFonts w:ascii="TimesNewRoman" w:cs="Simplified Arabic"/>
          <w:color w:val="000000"/>
          <w:sz w:val="32"/>
          <w:szCs w:val="32"/>
          <w:rtl/>
        </w:rPr>
        <w:t xml:space="preserve"> 5%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بعد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انخفاض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ب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%2,1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سنة 2010 و</w:t>
      </w:r>
      <w:r w:rsidRPr="00B319DF">
        <w:rPr>
          <w:rFonts w:ascii="TimesNewRoman" w:cs="Simplified Arabic" w:hint="cs"/>
          <w:color w:val="000000"/>
          <w:sz w:val="32"/>
          <w:szCs w:val="32"/>
          <w:rtl/>
        </w:rPr>
        <w:t>نمو الأنشطة غير الفلاحية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="00B319D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بنفس وتيرة</w:t>
      </w:r>
      <w:r w:rsidR="00B319D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%4,7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المسجلة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سنة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2010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.</w:t>
      </w:r>
    </w:p>
    <w:p w:rsidR="003F5E57" w:rsidRPr="00B319DF" w:rsidRDefault="003F5E57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</w:p>
    <w:p w:rsidR="00C6624F" w:rsidRPr="00B319DF" w:rsidRDefault="00C6624F" w:rsidP="00586BB8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من جهة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الطلب، أدى التحكم في تطور أسعار الاستهلاك في حدود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%0,9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2011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، إلى تحسن القدرة الشرائية للأسر وإلى تشجيع الطلب الداخلي، خاصة استهلاك الأسر، الذي سجل حجمه نموا ب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%6,5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عوض 2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,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2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2010، مساهما ب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3,7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نقط في نمو الناتج الداخلي الإجمالي عوض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1,3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نقطة سنة 2010. وبلغت مساهمة استهلاك الإدارات العمومية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0,3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نقطة.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ومن جهته، عرف التكوين الإجمالي لرأس المال الثابت ارتفاع ب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%4,5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، لتصل مساهمته إلى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1,4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نقطة في النمو الاقتصادي، في حين سجل التغير في المخزون خلال سنة 2011، مساهمة سالبة في النمو بحوالي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0,6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نقطة. وإجمالا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وصلت مساهمة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الطلب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في نمو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الناتج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الإجمالي إلى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4,8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نقط</w:t>
      </w:r>
      <w:r w:rsidR="00A347D4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، في حين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سجل الطلب الخارجي </w:t>
      </w:r>
      <w:r w:rsidR="007F5151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من جهته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، مساهمة منعدمة في النمو، بعد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المساهمة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="00586BB8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  <w:lang w:bidi="ar-MA"/>
        </w:rPr>
        <w:t xml:space="preserve">مهمة بلغت </w:t>
      </w:r>
      <w:r w:rsidR="00586BB8">
        <w:rPr>
          <w:rFonts w:ascii="TimesNewRoman" w:cs="Simplified Arabic"/>
          <w:b w:val="0"/>
          <w:bCs w:val="0"/>
          <w:color w:val="000000"/>
          <w:sz w:val="32"/>
          <w:szCs w:val="32"/>
        </w:rPr>
        <w:t>3,4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نقط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سنة 2010. 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</w:p>
    <w:p w:rsidR="00C6624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وعلى مستوى تمویل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الاقتصاد، عرف معدل الادخار الوطني تراجعا، لينتقل من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%30,8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من الناتج الداخلي الإجمالي سنة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2010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إلى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%28,8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2011، في حين سجل الاستثمار الإجمالي، ارتفاعا طفيفا، ليصل معدله إلى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%35,5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من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الناتج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الإجمالي عوض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%35,1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2010. وبالتالي، سجل حساب الادخار- الاستثمار تفاقما في عجز التمويل، ليستقر في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%6,7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من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الناتج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 الإجمالي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عوض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%4,3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2010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. ومن جهتها، تميزت المالية العمومية، خلال سنة 2011، بتفاقم عجز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الميزانية، ليصل إلى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%6,1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من الناتج الداخلي الإجمالي سنة 2011 عوض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%3,7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2010.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</w:p>
    <w:p w:rsidR="00B319DF" w:rsidRDefault="00B319D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</w:p>
    <w:p w:rsidR="00B319DF" w:rsidRDefault="00B319D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</w:p>
    <w:p w:rsidR="00B319DF" w:rsidRPr="00B319DF" w:rsidRDefault="00B319D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left="360" w:right="-284"/>
        <w:jc w:val="both"/>
        <w:rPr>
          <w:b w:val="0"/>
          <w:bCs w:val="0"/>
          <w:color w:val="00B150"/>
          <w:sz w:val="32"/>
          <w:szCs w:val="32"/>
          <w:u w:val="single"/>
          <w:rtl/>
        </w:rPr>
      </w:pPr>
    </w:p>
    <w:p w:rsidR="002F6114" w:rsidRPr="00B319DF" w:rsidRDefault="002F6114" w:rsidP="00B319DF">
      <w:pPr>
        <w:autoSpaceDE w:val="0"/>
        <w:autoSpaceDN w:val="0"/>
        <w:bidi/>
        <w:adjustRightInd w:val="0"/>
        <w:ind w:left="360" w:right="-284"/>
        <w:jc w:val="both"/>
        <w:rPr>
          <w:b w:val="0"/>
          <w:bCs w:val="0"/>
          <w:color w:val="00B150"/>
          <w:sz w:val="32"/>
          <w:szCs w:val="32"/>
          <w:u w:val="single"/>
          <w:rtl/>
        </w:rPr>
      </w:pPr>
    </w:p>
    <w:p w:rsidR="002F6114" w:rsidRPr="00B319DF" w:rsidRDefault="002F6114" w:rsidP="00B319DF">
      <w:pPr>
        <w:autoSpaceDE w:val="0"/>
        <w:autoSpaceDN w:val="0"/>
        <w:bidi/>
        <w:adjustRightInd w:val="0"/>
        <w:ind w:left="360" w:right="-284"/>
        <w:jc w:val="both"/>
        <w:rPr>
          <w:b w:val="0"/>
          <w:bCs w:val="0"/>
          <w:color w:val="00B150"/>
          <w:sz w:val="32"/>
          <w:szCs w:val="32"/>
          <w:u w:val="single"/>
          <w:rtl/>
        </w:rPr>
      </w:pPr>
    </w:p>
    <w:p w:rsidR="00C6624F" w:rsidRPr="00B319DF" w:rsidRDefault="00C6624F" w:rsidP="00B319DF">
      <w:pPr>
        <w:numPr>
          <w:ilvl w:val="0"/>
          <w:numId w:val="43"/>
        </w:numPr>
        <w:autoSpaceDE w:val="0"/>
        <w:autoSpaceDN w:val="0"/>
        <w:bidi/>
        <w:adjustRightInd w:val="0"/>
        <w:ind w:right="-284"/>
        <w:jc w:val="both"/>
        <w:rPr>
          <w:color w:val="00B150"/>
          <w:sz w:val="32"/>
          <w:szCs w:val="32"/>
          <w:u w:val="single"/>
        </w:rPr>
      </w:pPr>
      <w:r w:rsidRPr="00B319DF">
        <w:rPr>
          <w:rFonts w:hint="cs"/>
          <w:color w:val="00B150"/>
          <w:sz w:val="32"/>
          <w:szCs w:val="32"/>
          <w:u w:val="single"/>
          <w:rtl/>
        </w:rPr>
        <w:lastRenderedPageBreak/>
        <w:t>آفاق</w:t>
      </w:r>
      <w:r w:rsidRPr="00B319DF">
        <w:rPr>
          <w:color w:val="00B150"/>
          <w:sz w:val="32"/>
          <w:szCs w:val="32"/>
          <w:u w:val="single"/>
        </w:rPr>
        <w:t xml:space="preserve"> </w:t>
      </w:r>
      <w:r w:rsidRPr="00B319DF">
        <w:rPr>
          <w:rFonts w:hint="cs"/>
          <w:color w:val="00B150"/>
          <w:sz w:val="32"/>
          <w:szCs w:val="32"/>
          <w:u w:val="single"/>
          <w:rtl/>
        </w:rPr>
        <w:t>الاقتصاد</w:t>
      </w:r>
      <w:r w:rsidRPr="00B319DF">
        <w:rPr>
          <w:color w:val="00B150"/>
          <w:sz w:val="32"/>
          <w:szCs w:val="32"/>
          <w:u w:val="single"/>
        </w:rPr>
        <w:t xml:space="preserve"> </w:t>
      </w:r>
      <w:r w:rsidRPr="00B319DF">
        <w:rPr>
          <w:rFonts w:hint="cs"/>
          <w:color w:val="00B150"/>
          <w:sz w:val="32"/>
          <w:szCs w:val="32"/>
          <w:u w:val="single"/>
          <w:rtl/>
        </w:rPr>
        <w:t>الوطني</w:t>
      </w:r>
      <w:r w:rsidRPr="00B319DF">
        <w:rPr>
          <w:color w:val="00B150"/>
          <w:sz w:val="32"/>
          <w:szCs w:val="32"/>
          <w:u w:val="single"/>
        </w:rPr>
        <w:t xml:space="preserve"> </w:t>
      </w:r>
      <w:r w:rsidRPr="00B319DF">
        <w:rPr>
          <w:rFonts w:hint="cs"/>
          <w:color w:val="00B150"/>
          <w:sz w:val="32"/>
          <w:szCs w:val="32"/>
          <w:u w:val="single"/>
          <w:rtl/>
        </w:rPr>
        <w:t>خلال</w:t>
      </w:r>
      <w:r w:rsidRPr="00B319DF">
        <w:rPr>
          <w:color w:val="00B150"/>
          <w:sz w:val="32"/>
          <w:szCs w:val="32"/>
          <w:u w:val="single"/>
        </w:rPr>
        <w:t xml:space="preserve"> </w:t>
      </w:r>
      <w:r w:rsidRPr="00B319DF">
        <w:rPr>
          <w:rFonts w:hint="cs"/>
          <w:color w:val="00B150"/>
          <w:sz w:val="32"/>
          <w:szCs w:val="32"/>
          <w:u w:val="single"/>
          <w:rtl/>
        </w:rPr>
        <w:t xml:space="preserve">سنة </w:t>
      </w:r>
      <w:r w:rsidRPr="00B319DF">
        <w:rPr>
          <w:color w:val="00B150"/>
          <w:sz w:val="32"/>
          <w:szCs w:val="32"/>
          <w:u w:val="single"/>
        </w:rPr>
        <w:t xml:space="preserve"> 2012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TimesNewRoman"/>
          <w:color w:val="000000"/>
          <w:sz w:val="32"/>
          <w:szCs w:val="32"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يرتكز إعداد الآفاق الاقتصادية لسنة 2012، على أساس مجموعة من الفرضيات التي تهم تطور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المحيط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الدولي والوضعية الاقتصادية الداخلية.</w:t>
      </w:r>
    </w:p>
    <w:p w:rsidR="002F6114" w:rsidRPr="00B319DF" w:rsidRDefault="002F6114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وفي هذا السياق وحسب الفرضيات المعتمدة، سيعرف الاقتصاد الوطني خلال سنة 2012، تراجعا في وتيرة نموه لتصل إلى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%4,1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عوض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%4,8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2011. وإجمالا، سترتفع الأنشطة غير الفلاحية ب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%4,9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، في حين سيسجل القطاع  الأولي، انخفاضا في قيمته المضافة ب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%2,2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2012. 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سيواصل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الطلب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 دعمه للنمو الاقتصادي الوطني، حيث سيسجل حجم استهلاك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الأسر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وحجم استهلاك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الإدارات العمومیة والتكوین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الإجمالي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لرأس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المال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الثابت ارتفاعات، ستصل على التوالي إلى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%5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%2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%6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. وهكذا، س</w:t>
      </w:r>
      <w:r w:rsidR="005A5CF5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تعرف مساهمة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الطلب الداخلي </w:t>
      </w:r>
      <w:r w:rsidR="005A5CF5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تحسنا نسبيا ل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تصل إلى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5,4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في النمو سنة 2012 عوض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4,8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نقط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سنة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2011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، </w:t>
      </w:r>
      <w:r w:rsidR="005A5CF5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حيث سيواصل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استفادته من دعم أسعار الاستهلاك ومن التحكم في التضخم في حدود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%2,1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2012 عوض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%1,3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سنة 2011. وفيما يتعلق بالمبادلات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الخارجیة من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السلع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والخدمات، فإنها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ستفرز من جديد مساهمة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سالبة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في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نمو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الناتج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الإجمالي،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بحوالي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="00B319DF">
        <w:rPr>
          <w:rFonts w:ascii="Calibri" w:hAnsi="Calibri" w:cs="Simplified Arabic"/>
          <w:b w:val="0"/>
          <w:bCs w:val="0"/>
          <w:color w:val="000000"/>
          <w:sz w:val="32"/>
          <w:szCs w:val="32"/>
        </w:rPr>
        <w:t>1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,</w:t>
      </w:r>
      <w:r w:rsid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3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نقطة، نتيجة تسارع وتیرة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نمو الواردات، بفعل التأثیر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المضاعف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للطلب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color w:val="000000"/>
          <w:sz w:val="32"/>
          <w:szCs w:val="32"/>
          <w:lang w:val="en-US" w:bidi="ar-MA"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و على مستوى تمويل الاقتصاد، سيصل </w:t>
      </w:r>
      <w:r w:rsidR="003B2FEA" w:rsidRPr="00B319DF">
        <w:rPr>
          <w:rFonts w:ascii="Calibri" w:hAnsi="Calibri"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الع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جز الجاري للمبادلات الخارجية إلى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%7,1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من الناتج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الإجمالي سنة </w:t>
      </w:r>
      <w:r w:rsid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2012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، مما يفسر الفجوة الكبيرة بين معدل الادخار الوطني الذي سيعرف تحسنا طفيفا (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%29,9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من الناتج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الإجمالي سنة 2012) ومعدل الاستثمار (37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من الناتج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الداخلي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الإجمالي).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color w:val="000000"/>
          <w:sz w:val="32"/>
          <w:szCs w:val="32"/>
          <w:rtl/>
          <w:lang w:val="en-US" w:bidi="ar-MA"/>
        </w:rPr>
      </w:pPr>
    </w:p>
    <w:p w:rsidR="00C6624F" w:rsidRPr="00B319DF" w:rsidRDefault="00C6624F" w:rsidP="0092727B">
      <w:pPr>
        <w:numPr>
          <w:ilvl w:val="0"/>
          <w:numId w:val="44"/>
        </w:numPr>
        <w:autoSpaceDE w:val="0"/>
        <w:autoSpaceDN w:val="0"/>
        <w:bidi/>
        <w:adjustRightInd w:val="0"/>
        <w:ind w:right="-284"/>
        <w:jc w:val="both"/>
        <w:rPr>
          <w:rFonts w:ascii="TimesNewRoman,Bold" w:cs="TimesNewRoman,Bold"/>
          <w:color w:val="00B050"/>
          <w:sz w:val="32"/>
          <w:szCs w:val="32"/>
          <w:u w:val="single"/>
        </w:rPr>
      </w:pPr>
      <w:r w:rsidRPr="00B319DF">
        <w:rPr>
          <w:rFonts w:ascii="TimesNewRoman,Bold" w:cs="TimesNewRoman,Bold" w:hint="cs"/>
          <w:color w:val="00B050"/>
          <w:sz w:val="32"/>
          <w:szCs w:val="32"/>
          <w:u w:val="single"/>
          <w:rtl/>
        </w:rPr>
        <w:t>وعلى ضوء هذه التوقعات الاقتصادية لسنة 2012 </w:t>
      </w:r>
      <w:r w:rsidRPr="00B319DF">
        <w:rPr>
          <w:rFonts w:ascii="TimesNewRoman,Bold" w:cs="TimesNewRoman,Bold" w:hint="cs"/>
          <w:color w:val="00B050"/>
          <w:sz w:val="32"/>
          <w:szCs w:val="32"/>
          <w:u w:val="single"/>
        </w:rPr>
        <w:t>:</w:t>
      </w:r>
      <w:r w:rsidRPr="00B319DF">
        <w:rPr>
          <w:rFonts w:ascii="TimesNewRoman,Bold" w:cs="TimesNewRoman,Bold" w:hint="cs"/>
          <w:color w:val="00B050"/>
          <w:sz w:val="32"/>
          <w:szCs w:val="32"/>
          <w:u w:val="single"/>
          <w:rtl/>
        </w:rPr>
        <w:t xml:space="preserve"> أية </w:t>
      </w:r>
      <w:r w:rsidR="0092727B">
        <w:rPr>
          <w:rFonts w:ascii="TimesNewRoman,Bold" w:cs="TimesNewRoman,Bold" w:hint="cs"/>
          <w:color w:val="00B050"/>
          <w:sz w:val="32"/>
          <w:szCs w:val="32"/>
          <w:u w:val="single"/>
          <w:rtl/>
        </w:rPr>
        <w:t xml:space="preserve">قابلية للاستمرار </w:t>
      </w:r>
      <w:r w:rsidRPr="00B319DF">
        <w:rPr>
          <w:rFonts w:ascii="TimesNewRoman,Bold" w:cs="TimesNewRoman,Bold" w:hint="cs"/>
          <w:color w:val="00B050"/>
          <w:sz w:val="32"/>
          <w:szCs w:val="32"/>
          <w:u w:val="single"/>
          <w:rtl/>
        </w:rPr>
        <w:t>في ظل نموذج للنمو الاقتصادي يعتمد على الطلب الداخلي ؟</w:t>
      </w:r>
    </w:p>
    <w:p w:rsidR="00C6624F" w:rsidRPr="0092727B" w:rsidRDefault="00C6624F" w:rsidP="00B319DF">
      <w:pPr>
        <w:autoSpaceDE w:val="0"/>
        <w:autoSpaceDN w:val="0"/>
        <w:bidi/>
        <w:adjustRightInd w:val="0"/>
        <w:ind w:right="-284"/>
        <w:jc w:val="both"/>
        <w:rPr>
          <w:color w:val="000000"/>
          <w:sz w:val="32"/>
          <w:szCs w:val="32"/>
          <w:rtl/>
          <w:lang w:bidi="ar-MA"/>
        </w:rPr>
      </w:pPr>
    </w:p>
    <w:p w:rsidR="00C6624F" w:rsidRPr="00B319DF" w:rsidRDefault="003B2FEA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إن التساؤلات التي تطرح</w:t>
      </w:r>
      <w:r w:rsidR="00C6624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، حاليا، 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تنصب حول 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>إشكالية</w:t>
      </w:r>
      <w:r w:rsidR="00C6624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>تمويل الاقتصاد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الوطني،</w:t>
      </w:r>
      <w:r w:rsidR="00C6624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</w:t>
      </w:r>
      <w:r w:rsidR="003B795C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التي تشكل إحدى أهم الصعوبات التي تواجهها بلادنا، حيث عرفت ا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>لقدرات التمويلية للاقتصاد</w:t>
      </w:r>
      <w:r w:rsidR="00C6624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الوطني 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lastRenderedPageBreak/>
        <w:t>تدهور</w:t>
      </w:r>
      <w:r w:rsidR="00C6624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، </w:t>
      </w:r>
      <w:r w:rsidR="00C6624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بالنظر إلى 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تراجع معدل تغطية الاستثمارات </w:t>
      </w:r>
      <w:r w:rsidR="00C6624F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بالادخار من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%109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سنة 2006 إلى 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>%80</w:t>
      </w:r>
      <w:r w:rsidR="00C6624F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حاليا.</w:t>
      </w:r>
    </w:p>
    <w:p w:rsidR="003B795C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</w:pP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</w:rPr>
        <w:t xml:space="preserve"> 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ascii="TimesNewRoman" w:cs="Simplified Arabic"/>
          <w:b w:val="0"/>
          <w:bCs w:val="0"/>
          <w:color w:val="000000"/>
          <w:sz w:val="32"/>
          <w:szCs w:val="32"/>
        </w:rPr>
      </w:pP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و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قامت المندوبية السامية للتخطيط، في إطار أشغال </w:t>
      </w:r>
      <w:r w:rsidR="003B795C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إنجاز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أهدا</w:t>
      </w:r>
      <w:r w:rsidR="003B795C"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ف الألفية في أفق 2015، بإعداد 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>آفاق الاقتصاد الوطني</w:t>
      </w:r>
      <w:r w:rsidR="003B795C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،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لتحليل استدامة </w:t>
      </w:r>
      <w:r w:rsidR="003B795C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ال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>نموذج</w:t>
      </w:r>
      <w:r w:rsidR="003B795C"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الحالي ل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>لنمو على المدى المتوسط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>. وقد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تم</w:t>
      </w:r>
      <w:r w:rsidRPr="00B319DF">
        <w:rPr>
          <w:rFonts w:ascii="TimesNewRoman" w:cs="Simplified Arabic" w:hint="cs"/>
          <w:b w:val="0"/>
          <w:bCs w:val="0"/>
          <w:color w:val="000000"/>
          <w:sz w:val="32"/>
          <w:szCs w:val="32"/>
          <w:rtl/>
        </w:rPr>
        <w:t xml:space="preserve"> في هذا الصدد،</w:t>
      </w:r>
      <w:r w:rsidRPr="00B319DF">
        <w:rPr>
          <w:rFonts w:ascii="TimesNewRoman" w:cs="Simplified Arabic"/>
          <w:b w:val="0"/>
          <w:bCs w:val="0"/>
          <w:color w:val="000000"/>
          <w:sz w:val="32"/>
          <w:szCs w:val="32"/>
          <w:rtl/>
        </w:rPr>
        <w:t xml:space="preserve"> إعداد ثلاث سيناريوهات:</w:t>
      </w:r>
    </w:p>
    <w:p w:rsidR="00C6624F" w:rsidRPr="00B319DF" w:rsidRDefault="00C6624F" w:rsidP="00B319DF">
      <w:pPr>
        <w:numPr>
          <w:ilvl w:val="0"/>
          <w:numId w:val="45"/>
        </w:num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sz w:val="32"/>
          <w:szCs w:val="32"/>
          <w:rtl/>
          <w:lang w:val="en-US" w:bidi="ar-MA"/>
        </w:rPr>
      </w:pP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سيناريو الأساس الذي يعتمد على فرضية استمرارية التطورات السابقة والاستراتيجيات المعلنة،</w:t>
      </w:r>
    </w:p>
    <w:p w:rsidR="00C6624F" w:rsidRPr="00B319DF" w:rsidRDefault="00C6624F" w:rsidP="00B319DF">
      <w:pPr>
        <w:numPr>
          <w:ilvl w:val="0"/>
          <w:numId w:val="45"/>
        </w:num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sz w:val="32"/>
          <w:szCs w:val="32"/>
          <w:lang w:val="en-US" w:bidi="ar-MA"/>
        </w:rPr>
      </w:pP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سيناريو تأثر الاقتصاد الوطني بإكراهات تطور المحيط الدولي ،</w:t>
      </w:r>
    </w:p>
    <w:p w:rsidR="00C6624F" w:rsidRPr="00B319DF" w:rsidRDefault="00C6624F" w:rsidP="00B319DF">
      <w:pPr>
        <w:numPr>
          <w:ilvl w:val="0"/>
          <w:numId w:val="45"/>
        </w:num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sz w:val="32"/>
          <w:szCs w:val="32"/>
          <w:lang w:val="en-US" w:bidi="ar-MA"/>
        </w:rPr>
      </w:pP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سيناريو إعادة التوازن لنموذج ال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تنمية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،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sz w:val="32"/>
          <w:szCs w:val="32"/>
          <w:u w:val="single"/>
          <w:rtl/>
          <w:lang w:val="en-US" w:bidi="ar-MA"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sz w:val="32"/>
          <w:szCs w:val="32"/>
          <w:u w:val="single"/>
          <w:rtl/>
          <w:lang w:val="en-US" w:bidi="ar-MA"/>
        </w:rPr>
      </w:pPr>
      <w:r w:rsidRPr="00B319DF">
        <w:rPr>
          <w:rFonts w:cs="Simplified Arabic"/>
          <w:sz w:val="32"/>
          <w:szCs w:val="32"/>
          <w:u w:val="single"/>
          <w:rtl/>
          <w:lang w:val="en-US" w:bidi="ar-MA"/>
        </w:rPr>
        <w:t>سيناريو الأساس</w:t>
      </w:r>
      <w:r w:rsidR="003B795C" w:rsidRPr="00B319DF">
        <w:rPr>
          <w:rFonts w:cs="Simplified Arabic" w:hint="cs"/>
          <w:sz w:val="32"/>
          <w:szCs w:val="32"/>
          <w:u w:val="single"/>
          <w:rtl/>
          <w:lang w:val="en-US" w:bidi="ar-MA"/>
        </w:rPr>
        <w:t>: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sz w:val="32"/>
          <w:szCs w:val="32"/>
          <w:rtl/>
          <w:lang w:val="en-US" w:bidi="ar-MA"/>
        </w:rPr>
      </w:pP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و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 xml:space="preserve">يعتمد 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هذا السيناريو ع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لى ا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لتكلفة الإجمالية للاستثمارات المبرمجة في إطار الاستراتيجيات القطاعية المعلنة، أي تقريبا 300 مليار درهم خلال الفترة 2011-2015</w:t>
      </w:r>
      <w:r w:rsidR="003B795C"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،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 xml:space="preserve"> </w:t>
      </w:r>
      <w:r w:rsidR="003B795C"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أي 6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 xml:space="preserve">0 مليار درهم 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ك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معدل سنوي. كما ي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 xml:space="preserve">أخذ 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 xml:space="preserve">هذا السيناريو 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بعين الاعتبار تأثير إعادة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 xml:space="preserve"> تقييم الأجور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،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 xml:space="preserve"> في إطار الحوار الاجتماعي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،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 xml:space="preserve"> على نفقات التسيير.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sz w:val="32"/>
          <w:szCs w:val="32"/>
          <w:lang w:val="en-US" w:bidi="ar-MA"/>
        </w:rPr>
      </w:pP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وترتكز الفرضيات الأخرى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 xml:space="preserve"> المعتمدة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 xml:space="preserve"> على:</w:t>
      </w:r>
    </w:p>
    <w:p w:rsidR="00C6624F" w:rsidRPr="00B319DF" w:rsidRDefault="00C6624F" w:rsidP="00B319DF">
      <w:pPr>
        <w:numPr>
          <w:ilvl w:val="0"/>
          <w:numId w:val="46"/>
        </w:numPr>
        <w:autoSpaceDE w:val="0"/>
        <w:autoSpaceDN w:val="0"/>
        <w:bidi/>
        <w:adjustRightInd w:val="0"/>
        <w:ind w:left="714" w:right="-284" w:hanging="357"/>
        <w:jc w:val="both"/>
        <w:rPr>
          <w:rFonts w:cs="Simplified Arabic"/>
          <w:b w:val="0"/>
          <w:bCs w:val="0"/>
          <w:sz w:val="32"/>
          <w:szCs w:val="32"/>
          <w:rtl/>
          <w:lang w:val="en-US" w:bidi="ar-MA"/>
        </w:rPr>
      </w:pP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المحافظة على نفس المعدلات</w:t>
      </w:r>
      <w:r w:rsidRPr="00B319DF">
        <w:rPr>
          <w:rFonts w:cs="Simplified Arabic"/>
          <w:b w:val="0"/>
          <w:bCs w:val="0"/>
          <w:sz w:val="32"/>
          <w:szCs w:val="32"/>
          <w:lang w:val="en-US" w:bidi="ar-MA"/>
        </w:rPr>
        <w:t xml:space="preserve"> 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الضريبية المتوقعة بالنسبة ل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لناتج الداخلي الإجمالي،</w:t>
      </w:r>
    </w:p>
    <w:p w:rsidR="00C6624F" w:rsidRPr="00B319DF" w:rsidRDefault="00C6624F" w:rsidP="00B319DF">
      <w:pPr>
        <w:numPr>
          <w:ilvl w:val="0"/>
          <w:numId w:val="46"/>
        </w:numPr>
        <w:autoSpaceDE w:val="0"/>
        <w:autoSpaceDN w:val="0"/>
        <w:bidi/>
        <w:adjustRightInd w:val="0"/>
        <w:ind w:left="714" w:right="-284" w:hanging="357"/>
        <w:jc w:val="both"/>
        <w:rPr>
          <w:rFonts w:cs="Simplified Arabic"/>
          <w:b w:val="0"/>
          <w:bCs w:val="0"/>
          <w:sz w:val="32"/>
          <w:szCs w:val="32"/>
          <w:lang w:val="en-US" w:bidi="ar-MA"/>
        </w:rPr>
      </w:pP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انخفاض طفيف لنسبة حقوق الجمارك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 xml:space="preserve"> بالنسبة ل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لواردات،</w:t>
      </w:r>
    </w:p>
    <w:p w:rsidR="00C6624F" w:rsidRPr="00B319DF" w:rsidRDefault="00C6624F" w:rsidP="00B319DF">
      <w:pPr>
        <w:numPr>
          <w:ilvl w:val="0"/>
          <w:numId w:val="46"/>
        </w:numPr>
        <w:autoSpaceDE w:val="0"/>
        <w:autoSpaceDN w:val="0"/>
        <w:bidi/>
        <w:adjustRightInd w:val="0"/>
        <w:ind w:left="714" w:right="-284" w:hanging="357"/>
        <w:jc w:val="both"/>
        <w:rPr>
          <w:rFonts w:cs="Simplified Arabic"/>
          <w:b w:val="0"/>
          <w:bCs w:val="0"/>
          <w:sz w:val="32"/>
          <w:szCs w:val="32"/>
          <w:lang w:val="en-US" w:bidi="ar-MA"/>
        </w:rPr>
      </w:pP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اعتماد نسبة  تابثة بين الضرائب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 xml:space="preserve"> غير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 xml:space="preserve"> المباشرة وباقي المداخيل بالنسبة للناتج الداخلي الإجمالي،</w:t>
      </w:r>
    </w:p>
    <w:p w:rsidR="00C6624F" w:rsidRPr="00B319DF" w:rsidRDefault="00C6624F" w:rsidP="00B319DF">
      <w:pPr>
        <w:numPr>
          <w:ilvl w:val="0"/>
          <w:numId w:val="46"/>
        </w:numPr>
        <w:autoSpaceDE w:val="0"/>
        <w:autoSpaceDN w:val="0"/>
        <w:bidi/>
        <w:adjustRightInd w:val="0"/>
        <w:ind w:left="714" w:right="-284" w:hanging="357"/>
        <w:jc w:val="both"/>
        <w:rPr>
          <w:rFonts w:cs="Simplified Arabic"/>
          <w:sz w:val="32"/>
          <w:szCs w:val="32"/>
          <w:lang w:val="en-US" w:bidi="ar-MA"/>
        </w:rPr>
      </w:pP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زيادة نفقات التسيير بنفس الوتيرة المسجلة بين 2005 و2011</w:t>
      </w:r>
      <w:r w:rsidRPr="00B319DF">
        <w:rPr>
          <w:rFonts w:cs="Simplified Arabic"/>
          <w:sz w:val="32"/>
          <w:szCs w:val="32"/>
          <w:rtl/>
          <w:lang w:val="en-US" w:bidi="ar-MA"/>
        </w:rPr>
        <w:t>،</w:t>
      </w:r>
    </w:p>
    <w:p w:rsidR="00C6624F" w:rsidRPr="00B319DF" w:rsidRDefault="00C6624F" w:rsidP="00B319DF">
      <w:pPr>
        <w:numPr>
          <w:ilvl w:val="0"/>
          <w:numId w:val="46"/>
        </w:num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sz w:val="32"/>
          <w:szCs w:val="32"/>
          <w:lang w:val="en-US" w:bidi="ar-MA"/>
        </w:rPr>
      </w:pP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 xml:space="preserve">استقرار التحويلات الواردة من الخارج ( مداخيل الاستثمارات والتحويلات) في حوالي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7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,5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من ا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لناتج الداخلي الإجمالي</w:t>
      </w:r>
      <w:r w:rsidRPr="00B319DF">
        <w:rPr>
          <w:rFonts w:cs="Simplified Arabic" w:hint="cs"/>
          <w:b w:val="0"/>
          <w:bCs w:val="0"/>
          <w:sz w:val="32"/>
          <w:szCs w:val="32"/>
          <w:rtl/>
          <w:lang w:val="en-US" w:bidi="ar-MA"/>
        </w:rPr>
        <w:t>،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كمتوسط سنوي في أفق 2015.</w:t>
      </w:r>
    </w:p>
    <w:p w:rsidR="00C6624F" w:rsidRPr="00B319DF" w:rsidRDefault="00C6624F" w:rsidP="00B319DF">
      <w:pPr>
        <w:numPr>
          <w:ilvl w:val="0"/>
          <w:numId w:val="46"/>
        </w:num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sz w:val="32"/>
          <w:szCs w:val="32"/>
          <w:lang w:val="en-US" w:bidi="ar-MA"/>
        </w:rPr>
      </w:pP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يفترض أن يصل المتوسط السنوي لسعر النفط إلى 100 دولارا للبرميل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، في حين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لن تعرف أسعار الفائدة العالمي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ة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تغييرات مهمة.</w:t>
      </w:r>
    </w:p>
    <w:p w:rsidR="00C6624F" w:rsidRPr="00B319DF" w:rsidRDefault="00C6624F" w:rsidP="00B319DF">
      <w:pPr>
        <w:numPr>
          <w:ilvl w:val="0"/>
          <w:numId w:val="46"/>
        </w:num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sz w:val="32"/>
          <w:szCs w:val="32"/>
          <w:lang w:val="en-US" w:bidi="ar-MA"/>
        </w:rPr>
      </w:pP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ستمثل الاستثمارات الأجنبية المباشرة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3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من ا</w:t>
      </w:r>
      <w:r w:rsidRPr="00B319DF">
        <w:rPr>
          <w:rFonts w:cs="Simplified Arabic"/>
          <w:b w:val="0"/>
          <w:bCs w:val="0"/>
          <w:sz w:val="32"/>
          <w:szCs w:val="32"/>
          <w:rtl/>
          <w:lang w:val="en-US" w:bidi="ar-MA"/>
        </w:rPr>
        <w:t>لناتج الداخلي الإجمالي.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sz w:val="32"/>
          <w:szCs w:val="32"/>
          <w:rtl/>
          <w:lang w:val="en-US" w:bidi="ar-MA"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lastRenderedPageBreak/>
        <w:t>وفي هذا الإطار، يتوقع أن يصل المتوسط السنوي للنمو الاقتصادي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،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خلال الفترة 2011-2015، </w:t>
      </w:r>
      <w:r w:rsidRPr="00B319DF">
        <w:rPr>
          <w:rFonts w:ascii="Cambria Math" w:hAnsi="Cambria Math" w:cs="Cambria Math" w:hint="cs"/>
          <w:b w:val="0"/>
          <w:bCs w:val="0"/>
          <w:color w:val="000000"/>
          <w:sz w:val="32"/>
          <w:szCs w:val="32"/>
          <w:rtl/>
          <w:lang w:val="en-US" w:bidi="ar-MA"/>
        </w:rPr>
        <w:t>​​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إلى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5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,5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مقارنة ب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 xml:space="preserve">%4,8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المسجلة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خلال السنوات الخمسة الماضية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. وبالتالي، سيستقر معدل الاستثمار في حوالي 36% من الناتج الداخلي الإجمالي سنة 2015. وسيواصل الاستهلاك النهائي للأسر منحاه التصاعدي، بوثيرة نمو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س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تصل إلى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5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,2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كمتوسط سنوي، كما سيسجل الاستهلاك النهائي  للإدارات العمومية نموا ب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%4,2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سنوي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  <w:r w:rsidRPr="00B319DF">
        <w:rPr>
          <w:color w:val="000000"/>
          <w:sz w:val="32"/>
          <w:szCs w:val="32"/>
          <w:rtl/>
          <w:lang w:val="en-US" w:bidi="ar-MA"/>
        </w:rPr>
        <w:br/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وعلى مستوى المبادلات الخارجية، سيعرف حجم الواردات من السلع والخدمات، ارتفاعا ب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5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6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كمتوسط سنوي، نتيجة مو</w:t>
      </w:r>
      <w:r w:rsidR="00D52538"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صلة الطلب الداخلي لديناميته. وبالموازاة مع ذلك، ستسجل الصادرات، تحسنا طفيفا بوتيرة</w:t>
      </w:r>
      <w:r w:rsidR="00D52538"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5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,7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. ورغم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أن هذه ال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وتيرة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تفوق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وتيرة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زيادة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الواردات، فإن معدل ال</w:t>
      </w:r>
      <w:r w:rsidR="00D52538"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مبادلات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س</w:t>
      </w:r>
      <w:r w:rsidR="00D52538"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عرف تدهورا، وبالتالي سيصل عجز الموارد إلى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14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,2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من الناتج الداخلي الإجمالي كمتوسط </w:t>
      </w:r>
      <w:r w:rsidRPr="00B319DF">
        <w:rPr>
          <w:rFonts w:ascii="Cambria Math" w:hAnsi="Cambria Math" w:cs="Cambria Math" w:hint="cs"/>
          <w:b w:val="0"/>
          <w:bCs w:val="0"/>
          <w:color w:val="000000"/>
          <w:sz w:val="32"/>
          <w:szCs w:val="32"/>
          <w:rtl/>
          <w:lang w:val="en-US" w:bidi="ar-MA"/>
        </w:rPr>
        <w:t>​​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سنوي خلال الفترة 2011-2015.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</w:p>
    <w:p w:rsidR="00C6624F" w:rsidRPr="00B319DF" w:rsidRDefault="00C6624F" w:rsidP="0092727B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وفيما يتعلق بتمويل الاقتصاد، سيؤدي ارتفاع النفقات العمومية (التسيير والاستثمار)،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و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التراجع المرتقب للمداخيل الجبائية، إلى تفاقم عجز الميزانية، ليصل إلى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%6,3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سنة 2015، أي ما يعادل حوالي 70 مليار درهم عوض 50 مليار سنة 2011. وفي هذه الظروف، سيرتفع إجمالي الدين العمومي المباشر بحوالي 7 نقط بالنسبة المئوية من الناتج الداخلي الإجمالي ليصل إلى 60% سنة 2015 (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و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سي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بلغ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إجمالي الدين العمومي المباشر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حوالي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656 مليار درهم في أفق سنة 2015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).</w:t>
      </w:r>
    </w:p>
    <w:p w:rsidR="00C6624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</w:pPr>
      <w:r w:rsidRPr="00B319DF">
        <w:rPr>
          <w:color w:val="000000"/>
          <w:sz w:val="32"/>
          <w:szCs w:val="32"/>
          <w:rtl/>
          <w:lang w:val="en-US" w:bidi="ar-MA"/>
        </w:rPr>
        <w:br/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وعلى مستوى المالية الخارجية، فإن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محافظة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التحويلات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على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نفس وتيرة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نموها بالنسبة 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لناتج الداخلي الإجمالي مقابل استنزاف متزايد لصافي مداخيل الاستثمار،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سيكون غير كاف 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تغطية تفاقم عجز الموارد. و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هكذا،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سيواصل الرصيد الجاري لميزان الآداءات ت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دهوره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، لينتقل العجز من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6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,6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من الناتج الداخلي الإجمالي سنة 2011 إلى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8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,5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سنة 2015. ومن أجل تغطية هذا العجز، وعلى أساس الفرضية المعتمدة بالنسبة للاستثمارات الأجنبية المباشرة التي يتوقع أن تصل إلى 3% من الناتج الداخلي الإجمالي، فإن مستوى الدين الخارجي سيصل إلى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37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,1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من الناتج الداخلي الإجمالي سنة 2015. وسيؤثر هذا التطور على مستوى الاحتياطيات من العملة الصعبة التي ستمثل فقط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bidi="ar-MA"/>
        </w:rPr>
        <w:t>3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,8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</w:rPr>
        <w:t>أشهر</w:t>
      </w:r>
      <w:r w:rsidRPr="00B319DF">
        <w:rPr>
          <w:rFonts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</w:rPr>
        <w:t>من</w:t>
      </w:r>
      <w:r w:rsidRPr="00B319DF">
        <w:rPr>
          <w:rFonts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</w:rPr>
        <w:t>الواردات</w:t>
      </w:r>
      <w:r w:rsidRPr="00B319DF">
        <w:rPr>
          <w:rFonts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</w:rPr>
        <w:t>من</w:t>
      </w:r>
      <w:r w:rsidRPr="00B319DF">
        <w:rPr>
          <w:rFonts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</w:rPr>
        <w:t>السلع</w:t>
      </w:r>
      <w:r w:rsidRPr="00B319DF">
        <w:rPr>
          <w:rFonts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</w:rPr>
        <w:t>والخدمات</w:t>
      </w:r>
      <w:r w:rsidRPr="00B319DF">
        <w:rPr>
          <w:rFonts w:cs="Simplified Arabic"/>
          <w:b w:val="0"/>
          <w:bCs w:val="0"/>
          <w:color w:val="000000"/>
          <w:sz w:val="32"/>
          <w:szCs w:val="32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سنة 2015.</w:t>
      </w:r>
    </w:p>
    <w:p w:rsidR="004409A0" w:rsidRPr="00B319DF" w:rsidRDefault="004409A0" w:rsidP="004409A0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b w:val="0"/>
          <w:bCs w:val="0"/>
          <w:color w:val="339A66"/>
          <w:sz w:val="32"/>
          <w:szCs w:val="32"/>
          <w:rtl/>
          <w:lang w:bidi="ar-MA"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sz w:val="32"/>
          <w:szCs w:val="32"/>
          <w:u w:val="single"/>
          <w:rtl/>
          <w:lang w:val="en-US" w:bidi="ar-MA"/>
        </w:rPr>
      </w:pPr>
      <w:r w:rsidRPr="00B319DF">
        <w:rPr>
          <w:sz w:val="32"/>
          <w:szCs w:val="32"/>
          <w:u w:val="single"/>
          <w:rtl/>
          <w:lang w:val="en-US" w:bidi="ar-MA"/>
        </w:rPr>
        <w:t xml:space="preserve">سيناريو </w:t>
      </w:r>
      <w:r w:rsidR="00D52538" w:rsidRPr="00B319DF">
        <w:rPr>
          <w:rFonts w:hint="cs"/>
          <w:sz w:val="32"/>
          <w:szCs w:val="32"/>
          <w:u w:val="single"/>
          <w:rtl/>
          <w:lang w:val="en-US" w:bidi="ar-MA"/>
        </w:rPr>
        <w:t>ال</w:t>
      </w:r>
      <w:r w:rsidRPr="00B319DF">
        <w:rPr>
          <w:sz w:val="32"/>
          <w:szCs w:val="32"/>
          <w:u w:val="single"/>
          <w:rtl/>
          <w:lang w:val="en-US" w:bidi="ar-MA"/>
        </w:rPr>
        <w:t xml:space="preserve">سياق </w:t>
      </w:r>
      <w:r w:rsidR="00D52538" w:rsidRPr="00B319DF">
        <w:rPr>
          <w:rFonts w:hint="cs"/>
          <w:sz w:val="32"/>
          <w:szCs w:val="32"/>
          <w:u w:val="single"/>
          <w:rtl/>
          <w:lang w:val="en-US" w:bidi="ar-MA"/>
        </w:rPr>
        <w:t>ال</w:t>
      </w:r>
      <w:r w:rsidRPr="00B319DF">
        <w:rPr>
          <w:sz w:val="32"/>
          <w:szCs w:val="32"/>
          <w:u w:val="single"/>
          <w:rtl/>
          <w:lang w:val="en-US" w:bidi="ar-MA"/>
        </w:rPr>
        <w:t xml:space="preserve">دولي </w:t>
      </w:r>
      <w:r w:rsidR="00D52538" w:rsidRPr="00B319DF">
        <w:rPr>
          <w:rFonts w:hint="cs"/>
          <w:sz w:val="32"/>
          <w:szCs w:val="32"/>
          <w:u w:val="single"/>
          <w:rtl/>
          <w:lang w:val="en-US" w:bidi="ar-MA"/>
        </w:rPr>
        <w:t>ال</w:t>
      </w:r>
      <w:r w:rsidRPr="00B319DF">
        <w:rPr>
          <w:sz w:val="32"/>
          <w:szCs w:val="32"/>
          <w:u w:val="single"/>
          <w:rtl/>
          <w:lang w:val="en-US" w:bidi="ar-MA"/>
        </w:rPr>
        <w:t>صعب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في هذه ال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حالة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، سيتأثر الاقتصاد المغربي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بإكراهات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المحيط الدولي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، حيث ستتفاقم الوضعية </w:t>
      </w:r>
      <w:r w:rsidR="00D52538"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الماكرواقتصادية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أكثر مقارنة بسيناريو الأساس</w:t>
      </w:r>
      <w:r w:rsidR="00D52538"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.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ويعتمد هذا السيناريو على سعر للنفط يناهز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150 دولارا للبرميل و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على مواصلة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أسعار الفائدة في ال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أ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سو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ق ال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عالمية منحاها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التصاعد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ي لتستقر في حدود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6%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، بفعل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تأثير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وتيرة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الديون السيادية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لأهم الدول ب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منطقة اليورو و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مخاوف من فقدان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ال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ثقة في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جدارتها الائتمانية.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  <w:r w:rsidRPr="00B319DF">
        <w:rPr>
          <w:color w:val="000000"/>
          <w:sz w:val="32"/>
          <w:szCs w:val="32"/>
          <w:rtl/>
          <w:lang w:val="en-US" w:bidi="ar-MA"/>
        </w:rPr>
        <w:br/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ويتوقع أن يسجل ال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عجز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الإجمالي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للميزانية، </w:t>
      </w:r>
      <w:r w:rsidR="00D52538"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حسب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هذا السيناريو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، مستويات عالية ليصل إلى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%8,9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من الناتج الداخلي الإجمالي سنة 2015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، في حين سي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تفاقم عجز الحساب الجاري الخارجي لي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بلغ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%10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من الناتج الداخلي الإجمالي، مما سي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ؤثر على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المالية الخارجية و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ع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لى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مكانة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المغرب في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أسواق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العالمية 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ر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ؤو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س ال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أ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م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و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ال.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sz w:val="32"/>
          <w:szCs w:val="32"/>
          <w:u w:val="single"/>
          <w:rtl/>
          <w:lang w:val="en-US" w:bidi="ar-MA"/>
        </w:rPr>
      </w:pPr>
      <w:r w:rsidRPr="00B319DF">
        <w:rPr>
          <w:color w:val="000000"/>
          <w:sz w:val="32"/>
          <w:szCs w:val="32"/>
          <w:rtl/>
          <w:lang w:val="en-US" w:bidi="ar-MA"/>
        </w:rPr>
        <w:br/>
      </w:r>
      <w:r w:rsidRPr="00B319DF">
        <w:rPr>
          <w:sz w:val="32"/>
          <w:szCs w:val="32"/>
          <w:u w:val="single"/>
          <w:rtl/>
          <w:lang w:val="en-US" w:bidi="ar-MA"/>
        </w:rPr>
        <w:t xml:space="preserve">سيناريو إعادة التوازن 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بالنظر 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لتطور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لمؤسساتي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والسياسي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الذي 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شهده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المغرب، فإنه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يبقى قادرا على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تعميق الإصلاحات الهيكلية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على المستوى ا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لاقتصادي والاجتماعي،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وذلك بهدف تأمين الاستدامة للنمو الاقتصادي وكذا تقوية التضامن الاجتماعي.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إن ت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شج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ع مساهمة القطاع الخاص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،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خاصة الوطني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لإنجاز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أوراش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الكبرى المبرمجة على المستوى الوطني والقطاعي و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الجهوي،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من شأنه أن يكون له تأثير مزدوج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على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الم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يزانية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العامة للدولة،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من خلال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تخفيف عبء النفقات وتحسن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المداخيل العمومية.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</w:p>
    <w:p w:rsidR="00D52538" w:rsidRPr="00B319DF" w:rsidRDefault="00C6624F" w:rsidP="00311D96">
      <w:pPr>
        <w:autoSpaceDE w:val="0"/>
        <w:autoSpaceDN w:val="0"/>
        <w:bidi/>
        <w:adjustRightInd w:val="0"/>
        <w:ind w:right="-284"/>
        <w:jc w:val="both"/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</w:pP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و</w:t>
      </w:r>
      <w:r w:rsidR="00D52538"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حسب الأشغال التي قامت بها المندوبية السامية للتخطيط،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سيؤدي هذا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التطور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إلى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تحسن الإنتاجية ال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كلية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لعوامل الإنتاج بحو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الي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نقطة واحدة، و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سترتفع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الصادرات ب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%6,5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سنويا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عوض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%5,7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في سيناريو الأساس.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وسيستقر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معدل الاستثمار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في حوالي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%34,8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من الناتج الداخلي الإجمالي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كم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توسط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سنوي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​​خلال الفترة 2011-2015، في حين ستكون مساهمة الاستثمار الخاص كبيرة، خاص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ة الاستثمار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ات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الأجنبي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ة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المباشر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ة، التي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س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ت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صل إلى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%5,1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من الناتج الداخلي الإجمالي </w:t>
      </w:r>
      <w:r w:rsidR="00311D96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في أفق 2015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.</w:t>
      </w:r>
    </w:p>
    <w:p w:rsidR="00C6624F" w:rsidRPr="00B319DF" w:rsidRDefault="00C6624F" w:rsidP="00B319DF">
      <w:pPr>
        <w:autoSpaceDE w:val="0"/>
        <w:autoSpaceDN w:val="0"/>
        <w:bidi/>
        <w:adjustRightInd w:val="0"/>
        <w:ind w:right="-284"/>
        <w:jc w:val="both"/>
        <w:rPr>
          <w:sz w:val="32"/>
          <w:szCs w:val="32"/>
          <w:lang w:bidi="ar-MA"/>
        </w:rPr>
      </w:pP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lastRenderedPageBreak/>
        <w:br/>
        <w:t>وهكذا سيصل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 xml:space="preserve">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معدل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النمو الاقتصادي إلى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حوالي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%5,8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سنويا بين 2011 و2015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عوض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%5,5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. كما سيستقر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عجز الم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يزانية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وعجز الحساب الجاري لميزان ال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آداءات على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التوالي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في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ح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دود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%3,7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و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>%4,2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 xml:space="preserve"> م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>ن الناتج ال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داخلي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الإجمالي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lang w:val="en-US" w:bidi="ar-MA"/>
        </w:rPr>
        <w:t xml:space="preserve"> 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في أفق</w:t>
      </w:r>
      <w:r w:rsidRPr="00B319DF">
        <w:rPr>
          <w:rFonts w:cs="Simplified Arabic"/>
          <w:b w:val="0"/>
          <w:bCs w:val="0"/>
          <w:color w:val="000000"/>
          <w:sz w:val="32"/>
          <w:szCs w:val="32"/>
          <w:rtl/>
          <w:lang w:val="en-US" w:bidi="ar-MA"/>
        </w:rPr>
        <w:t xml:space="preserve"> سنة 2015</w:t>
      </w:r>
      <w:r w:rsidRPr="00B319DF">
        <w:rPr>
          <w:rFonts w:cs="Simplified Arabic" w:hint="cs"/>
          <w:b w:val="0"/>
          <w:bCs w:val="0"/>
          <w:color w:val="000000"/>
          <w:sz w:val="32"/>
          <w:szCs w:val="32"/>
          <w:rtl/>
          <w:lang w:val="en-US" w:bidi="ar-MA"/>
        </w:rPr>
        <w:t>.</w:t>
      </w:r>
    </w:p>
    <w:sectPr w:rsidR="00C6624F" w:rsidRPr="00B319DF" w:rsidSect="00BD22FD">
      <w:footerReference w:type="even" r:id="rId8"/>
      <w:footerReference w:type="default" r:id="rId9"/>
      <w:headerReference w:type="first" r:id="rId10"/>
      <w:pgSz w:w="11906" w:h="16838" w:code="9"/>
      <w:pgMar w:top="56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A72" w:rsidRDefault="00E53A72">
      <w:r>
        <w:separator/>
      </w:r>
    </w:p>
  </w:endnote>
  <w:endnote w:type="continuationSeparator" w:id="0">
    <w:p w:rsidR="00E53A72" w:rsidRDefault="00E53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DE" w:rsidRDefault="007712EF" w:rsidP="006259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F3BD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6127C">
      <w:rPr>
        <w:rStyle w:val="Numrodepage"/>
        <w:noProof/>
      </w:rPr>
      <w:t>3</w:t>
    </w:r>
    <w:r>
      <w:rPr>
        <w:rStyle w:val="Numrodepage"/>
      </w:rPr>
      <w:fldChar w:fldCharType="end"/>
    </w:r>
  </w:p>
  <w:p w:rsidR="009F3BDE" w:rsidRDefault="009F3BD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DE" w:rsidRDefault="007712EF" w:rsidP="006259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9F3BD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86BB8">
      <w:rPr>
        <w:rStyle w:val="Numrodepage"/>
        <w:noProof/>
      </w:rPr>
      <w:t>2</w:t>
    </w:r>
    <w:r>
      <w:rPr>
        <w:rStyle w:val="Numrodepage"/>
      </w:rPr>
      <w:fldChar w:fldCharType="end"/>
    </w:r>
  </w:p>
  <w:p w:rsidR="009F3BDE" w:rsidRDefault="009F3BD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A72" w:rsidRDefault="00E53A72">
      <w:r>
        <w:separator/>
      </w:r>
    </w:p>
  </w:footnote>
  <w:footnote w:type="continuationSeparator" w:id="0">
    <w:p w:rsidR="00E53A72" w:rsidRDefault="00E53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BDE" w:rsidRDefault="007712EF">
    <w:pPr>
      <w:pStyle w:val="En-tte"/>
    </w:pPr>
    <w:r>
      <w:rPr>
        <w:noProof/>
      </w:rPr>
      <w:pict>
        <v:rect id="_x0000_s1025" style="position:absolute;margin-left:-124.9pt;margin-top:-44.45pt;width:685.25pt;height:405.75pt;z-index:251657728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1025" DrawAspect="Content" ObjectID="_139098499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"/>
      </v:shape>
    </w:pict>
  </w:numPicBullet>
  <w:abstractNum w:abstractNumId="0">
    <w:nsid w:val="02EB1DFF"/>
    <w:multiLevelType w:val="hybridMultilevel"/>
    <w:tmpl w:val="67DE48B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B70BB6"/>
    <w:multiLevelType w:val="multilevel"/>
    <w:tmpl w:val="3C085BC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3D45EB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color w:val="3D45EB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>
    <w:nsid w:val="04C076E9"/>
    <w:multiLevelType w:val="hybridMultilevel"/>
    <w:tmpl w:val="58263D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DA0102"/>
    <w:multiLevelType w:val="hybridMultilevel"/>
    <w:tmpl w:val="B3D6935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A57D7E"/>
    <w:multiLevelType w:val="hybridMultilevel"/>
    <w:tmpl w:val="E2F09128"/>
    <w:lvl w:ilvl="0" w:tplc="D96EDAA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F74917"/>
    <w:multiLevelType w:val="hybridMultilevel"/>
    <w:tmpl w:val="D87C9F48"/>
    <w:lvl w:ilvl="0" w:tplc="040C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>
    <w:nsid w:val="0FDA60E8"/>
    <w:multiLevelType w:val="hybridMultilevel"/>
    <w:tmpl w:val="AF0E2E1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CA2158"/>
    <w:multiLevelType w:val="hybridMultilevel"/>
    <w:tmpl w:val="DE2021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0A63E0"/>
    <w:multiLevelType w:val="hybridMultilevel"/>
    <w:tmpl w:val="9A4A76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F70594"/>
    <w:multiLevelType w:val="hybridMultilevel"/>
    <w:tmpl w:val="39969C7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D508B"/>
    <w:multiLevelType w:val="hybridMultilevel"/>
    <w:tmpl w:val="30EC5D3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87748"/>
    <w:multiLevelType w:val="multilevel"/>
    <w:tmpl w:val="58263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B244DC"/>
    <w:multiLevelType w:val="hybridMultilevel"/>
    <w:tmpl w:val="D040D6D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9A67E6C"/>
    <w:multiLevelType w:val="hybridMultilevel"/>
    <w:tmpl w:val="97726F9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55935"/>
    <w:multiLevelType w:val="hybridMultilevel"/>
    <w:tmpl w:val="E3B8B5A4"/>
    <w:lvl w:ilvl="0" w:tplc="768417F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781CC7"/>
    <w:multiLevelType w:val="hybridMultilevel"/>
    <w:tmpl w:val="7B76F4D0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EAB1E90"/>
    <w:multiLevelType w:val="hybridMultilevel"/>
    <w:tmpl w:val="6E10BAC2"/>
    <w:lvl w:ilvl="0" w:tplc="8244F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07143F"/>
    <w:multiLevelType w:val="hybridMultilevel"/>
    <w:tmpl w:val="8CE25D40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3BEC0AD8"/>
    <w:multiLevelType w:val="hybridMultilevel"/>
    <w:tmpl w:val="7FFC62C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C4F6D04"/>
    <w:multiLevelType w:val="hybridMultilevel"/>
    <w:tmpl w:val="68B66E48"/>
    <w:lvl w:ilvl="0" w:tplc="4B42AAEC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B15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87CBE"/>
    <w:multiLevelType w:val="hybridMultilevel"/>
    <w:tmpl w:val="94309C8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6C132D"/>
    <w:multiLevelType w:val="hybridMultilevel"/>
    <w:tmpl w:val="9B404B1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E7105C"/>
    <w:multiLevelType w:val="hybridMultilevel"/>
    <w:tmpl w:val="04F8DFF2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5CD1819"/>
    <w:multiLevelType w:val="hybridMultilevel"/>
    <w:tmpl w:val="352E759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1C7B8D"/>
    <w:multiLevelType w:val="hybridMultilevel"/>
    <w:tmpl w:val="503C84B8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2A161D4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BA07282"/>
    <w:multiLevelType w:val="hybridMultilevel"/>
    <w:tmpl w:val="07FA805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C0D604E"/>
    <w:multiLevelType w:val="hybridMultilevel"/>
    <w:tmpl w:val="9C3E8544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DA31C0E"/>
    <w:multiLevelType w:val="hybridMultilevel"/>
    <w:tmpl w:val="FA08B2E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A506BC"/>
    <w:multiLevelType w:val="hybridMultilevel"/>
    <w:tmpl w:val="F9A4AF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DE808D9"/>
    <w:multiLevelType w:val="multilevel"/>
    <w:tmpl w:val="94309C8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F44C2F"/>
    <w:multiLevelType w:val="hybridMultilevel"/>
    <w:tmpl w:val="6044AB76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A4766A"/>
    <w:multiLevelType w:val="hybridMultilevel"/>
    <w:tmpl w:val="1326097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51FC048B"/>
    <w:multiLevelType w:val="hybridMultilevel"/>
    <w:tmpl w:val="CF8CB95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21D616A"/>
    <w:multiLevelType w:val="hybridMultilevel"/>
    <w:tmpl w:val="E2E048A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707715D"/>
    <w:multiLevelType w:val="multilevel"/>
    <w:tmpl w:val="D87C9F48"/>
    <w:lvl w:ilvl="0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57F50D92"/>
    <w:multiLevelType w:val="multilevel"/>
    <w:tmpl w:val="97726F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01C6679"/>
    <w:multiLevelType w:val="hybridMultilevel"/>
    <w:tmpl w:val="0298B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73526E"/>
    <w:multiLevelType w:val="hybridMultilevel"/>
    <w:tmpl w:val="1FD69A4E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7C00586"/>
    <w:multiLevelType w:val="hybridMultilevel"/>
    <w:tmpl w:val="FA96F624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8AE28BD"/>
    <w:multiLevelType w:val="hybridMultilevel"/>
    <w:tmpl w:val="AFACEABE"/>
    <w:lvl w:ilvl="0" w:tplc="C616D812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D9532D9"/>
    <w:multiLevelType w:val="hybridMultilevel"/>
    <w:tmpl w:val="FB1AC68A"/>
    <w:lvl w:ilvl="0" w:tplc="040C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1">
    <w:nsid w:val="6EE6382C"/>
    <w:multiLevelType w:val="hybridMultilevel"/>
    <w:tmpl w:val="7AF6D6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161D4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EFC00F9"/>
    <w:multiLevelType w:val="hybridMultilevel"/>
    <w:tmpl w:val="128A9214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5D12064"/>
    <w:multiLevelType w:val="hybridMultilevel"/>
    <w:tmpl w:val="CBF615C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161D4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A65B43"/>
    <w:multiLevelType w:val="hybridMultilevel"/>
    <w:tmpl w:val="E662E050"/>
    <w:lvl w:ilvl="0" w:tplc="5C2A141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A7E035B"/>
    <w:multiLevelType w:val="hybridMultilevel"/>
    <w:tmpl w:val="28E668B2"/>
    <w:lvl w:ilvl="0" w:tplc="0B4CACF4">
      <w:start w:val="1"/>
      <w:numFmt w:val="decimal"/>
      <w:lvlText w:val="%1-"/>
      <w:lvlJc w:val="left"/>
      <w:pPr>
        <w:ind w:left="720" w:hanging="360"/>
      </w:pPr>
      <w:rPr>
        <w:rFonts w:ascii="TimesNewRoman" w:cs="TimesNewRoman" w:hint="default"/>
        <w:b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1"/>
  </w:num>
  <w:num w:numId="3">
    <w:abstractNumId w:val="17"/>
  </w:num>
  <w:num w:numId="4">
    <w:abstractNumId w:val="0"/>
  </w:num>
  <w:num w:numId="5">
    <w:abstractNumId w:val="44"/>
  </w:num>
  <w:num w:numId="6">
    <w:abstractNumId w:val="8"/>
  </w:num>
  <w:num w:numId="7">
    <w:abstractNumId w:val="40"/>
  </w:num>
  <w:num w:numId="8">
    <w:abstractNumId w:val="43"/>
  </w:num>
  <w:num w:numId="9">
    <w:abstractNumId w:val="22"/>
  </w:num>
  <w:num w:numId="10">
    <w:abstractNumId w:val="38"/>
  </w:num>
  <w:num w:numId="11">
    <w:abstractNumId w:val="42"/>
  </w:num>
  <w:num w:numId="12">
    <w:abstractNumId w:val="2"/>
  </w:num>
  <w:num w:numId="13">
    <w:abstractNumId w:val="11"/>
  </w:num>
  <w:num w:numId="14">
    <w:abstractNumId w:val="37"/>
  </w:num>
  <w:num w:numId="15">
    <w:abstractNumId w:val="31"/>
  </w:num>
  <w:num w:numId="16">
    <w:abstractNumId w:val="13"/>
  </w:num>
  <w:num w:numId="17">
    <w:abstractNumId w:val="35"/>
  </w:num>
  <w:num w:numId="18">
    <w:abstractNumId w:val="27"/>
  </w:num>
  <w:num w:numId="19">
    <w:abstractNumId w:val="18"/>
  </w:num>
  <w:num w:numId="20">
    <w:abstractNumId w:val="33"/>
  </w:num>
  <w:num w:numId="21">
    <w:abstractNumId w:val="24"/>
  </w:num>
  <w:num w:numId="22">
    <w:abstractNumId w:val="15"/>
  </w:num>
  <w:num w:numId="23">
    <w:abstractNumId w:val="16"/>
  </w:num>
  <w:num w:numId="24">
    <w:abstractNumId w:val="30"/>
  </w:num>
  <w:num w:numId="25">
    <w:abstractNumId w:val="23"/>
  </w:num>
  <w:num w:numId="26">
    <w:abstractNumId w:val="5"/>
  </w:num>
  <w:num w:numId="27">
    <w:abstractNumId w:val="9"/>
  </w:num>
  <w:num w:numId="28">
    <w:abstractNumId w:val="21"/>
  </w:num>
  <w:num w:numId="29">
    <w:abstractNumId w:val="6"/>
  </w:num>
  <w:num w:numId="30">
    <w:abstractNumId w:val="3"/>
  </w:num>
  <w:num w:numId="31">
    <w:abstractNumId w:val="34"/>
  </w:num>
  <w:num w:numId="32">
    <w:abstractNumId w:val="26"/>
  </w:num>
  <w:num w:numId="33">
    <w:abstractNumId w:val="20"/>
  </w:num>
  <w:num w:numId="34">
    <w:abstractNumId w:val="29"/>
  </w:num>
  <w:num w:numId="35">
    <w:abstractNumId w:val="10"/>
  </w:num>
  <w:num w:numId="36">
    <w:abstractNumId w:val="39"/>
  </w:num>
  <w:num w:numId="37">
    <w:abstractNumId w:val="36"/>
  </w:num>
  <w:num w:numId="38">
    <w:abstractNumId w:val="28"/>
  </w:num>
  <w:num w:numId="39">
    <w:abstractNumId w:val="1"/>
  </w:num>
  <w:num w:numId="40">
    <w:abstractNumId w:val="7"/>
  </w:num>
  <w:num w:numId="41">
    <w:abstractNumId w:val="32"/>
  </w:num>
  <w:num w:numId="42">
    <w:abstractNumId w:val="12"/>
  </w:num>
  <w:num w:numId="43">
    <w:abstractNumId w:val="19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05B3C"/>
    <w:rsid w:val="000037C6"/>
    <w:rsid w:val="00003817"/>
    <w:rsid w:val="00003D85"/>
    <w:rsid w:val="00004092"/>
    <w:rsid w:val="00004494"/>
    <w:rsid w:val="0000502A"/>
    <w:rsid w:val="00010D0C"/>
    <w:rsid w:val="000112E3"/>
    <w:rsid w:val="000159F8"/>
    <w:rsid w:val="00016D3A"/>
    <w:rsid w:val="00017F2E"/>
    <w:rsid w:val="00020A6A"/>
    <w:rsid w:val="000213EE"/>
    <w:rsid w:val="000247CD"/>
    <w:rsid w:val="00027140"/>
    <w:rsid w:val="00031CF7"/>
    <w:rsid w:val="00032ACC"/>
    <w:rsid w:val="00034F86"/>
    <w:rsid w:val="000423A8"/>
    <w:rsid w:val="00043526"/>
    <w:rsid w:val="00044373"/>
    <w:rsid w:val="00044433"/>
    <w:rsid w:val="00044CEB"/>
    <w:rsid w:val="00045358"/>
    <w:rsid w:val="00045E32"/>
    <w:rsid w:val="0004656B"/>
    <w:rsid w:val="00050BA0"/>
    <w:rsid w:val="00054110"/>
    <w:rsid w:val="00054712"/>
    <w:rsid w:val="00055212"/>
    <w:rsid w:val="00056625"/>
    <w:rsid w:val="00057B80"/>
    <w:rsid w:val="00061A9A"/>
    <w:rsid w:val="00062DD0"/>
    <w:rsid w:val="0006357A"/>
    <w:rsid w:val="00063A16"/>
    <w:rsid w:val="0006446E"/>
    <w:rsid w:val="0006498B"/>
    <w:rsid w:val="00065781"/>
    <w:rsid w:val="00065EAB"/>
    <w:rsid w:val="0006634A"/>
    <w:rsid w:val="00066A76"/>
    <w:rsid w:val="00067921"/>
    <w:rsid w:val="0007171B"/>
    <w:rsid w:val="00072F8A"/>
    <w:rsid w:val="000738B7"/>
    <w:rsid w:val="000748D5"/>
    <w:rsid w:val="000841F8"/>
    <w:rsid w:val="00084EFF"/>
    <w:rsid w:val="00086CD4"/>
    <w:rsid w:val="00092125"/>
    <w:rsid w:val="00093A02"/>
    <w:rsid w:val="00095CBB"/>
    <w:rsid w:val="00096006"/>
    <w:rsid w:val="000966B7"/>
    <w:rsid w:val="00097BCD"/>
    <w:rsid w:val="000A18A7"/>
    <w:rsid w:val="000A3DAF"/>
    <w:rsid w:val="000A4885"/>
    <w:rsid w:val="000B03DB"/>
    <w:rsid w:val="000B09A8"/>
    <w:rsid w:val="000B2B85"/>
    <w:rsid w:val="000B3C75"/>
    <w:rsid w:val="000B56BB"/>
    <w:rsid w:val="000B597C"/>
    <w:rsid w:val="000B5DD7"/>
    <w:rsid w:val="000B6DCE"/>
    <w:rsid w:val="000C01D7"/>
    <w:rsid w:val="000C1D1C"/>
    <w:rsid w:val="000C2F9B"/>
    <w:rsid w:val="000C347A"/>
    <w:rsid w:val="000C66E7"/>
    <w:rsid w:val="000C7B29"/>
    <w:rsid w:val="000D1AFC"/>
    <w:rsid w:val="000D2A4B"/>
    <w:rsid w:val="000D44B0"/>
    <w:rsid w:val="000D547E"/>
    <w:rsid w:val="000D54D7"/>
    <w:rsid w:val="000D59CA"/>
    <w:rsid w:val="000D5F53"/>
    <w:rsid w:val="000D6277"/>
    <w:rsid w:val="000E0EEA"/>
    <w:rsid w:val="000E6847"/>
    <w:rsid w:val="000E6E48"/>
    <w:rsid w:val="000E7BAA"/>
    <w:rsid w:val="000E7E2F"/>
    <w:rsid w:val="000F107C"/>
    <w:rsid w:val="000F1292"/>
    <w:rsid w:val="000F2DDF"/>
    <w:rsid w:val="000F34C0"/>
    <w:rsid w:val="000F3F6A"/>
    <w:rsid w:val="000F4384"/>
    <w:rsid w:val="000F48F5"/>
    <w:rsid w:val="000F4A3D"/>
    <w:rsid w:val="000F4F02"/>
    <w:rsid w:val="000F53E6"/>
    <w:rsid w:val="000F56A0"/>
    <w:rsid w:val="000F6F79"/>
    <w:rsid w:val="0010006F"/>
    <w:rsid w:val="0010162E"/>
    <w:rsid w:val="001025D0"/>
    <w:rsid w:val="0010301E"/>
    <w:rsid w:val="00103CE3"/>
    <w:rsid w:val="00103FAD"/>
    <w:rsid w:val="001042C9"/>
    <w:rsid w:val="001065E5"/>
    <w:rsid w:val="00106FD5"/>
    <w:rsid w:val="0011043F"/>
    <w:rsid w:val="00110778"/>
    <w:rsid w:val="00111027"/>
    <w:rsid w:val="00111343"/>
    <w:rsid w:val="0011139A"/>
    <w:rsid w:val="0011197E"/>
    <w:rsid w:val="00117B24"/>
    <w:rsid w:val="0012172D"/>
    <w:rsid w:val="00122C93"/>
    <w:rsid w:val="00123057"/>
    <w:rsid w:val="00123905"/>
    <w:rsid w:val="0012612F"/>
    <w:rsid w:val="0012635A"/>
    <w:rsid w:val="00130ADB"/>
    <w:rsid w:val="00130C6C"/>
    <w:rsid w:val="00132EE1"/>
    <w:rsid w:val="00135536"/>
    <w:rsid w:val="00136A43"/>
    <w:rsid w:val="00136F2D"/>
    <w:rsid w:val="0014027A"/>
    <w:rsid w:val="0014087B"/>
    <w:rsid w:val="00141602"/>
    <w:rsid w:val="00141857"/>
    <w:rsid w:val="00144539"/>
    <w:rsid w:val="001445B7"/>
    <w:rsid w:val="0014549D"/>
    <w:rsid w:val="00145EF7"/>
    <w:rsid w:val="00146D42"/>
    <w:rsid w:val="001500E1"/>
    <w:rsid w:val="00150E8C"/>
    <w:rsid w:val="00151627"/>
    <w:rsid w:val="00151764"/>
    <w:rsid w:val="0015443F"/>
    <w:rsid w:val="00155CB9"/>
    <w:rsid w:val="00160078"/>
    <w:rsid w:val="00160979"/>
    <w:rsid w:val="00161380"/>
    <w:rsid w:val="00162937"/>
    <w:rsid w:val="00163FA7"/>
    <w:rsid w:val="0016543E"/>
    <w:rsid w:val="00166527"/>
    <w:rsid w:val="00166D06"/>
    <w:rsid w:val="00170A7D"/>
    <w:rsid w:val="00170CD9"/>
    <w:rsid w:val="00170CEB"/>
    <w:rsid w:val="00170D4B"/>
    <w:rsid w:val="0017254F"/>
    <w:rsid w:val="00172C11"/>
    <w:rsid w:val="00172D73"/>
    <w:rsid w:val="001849FC"/>
    <w:rsid w:val="00184F98"/>
    <w:rsid w:val="00187123"/>
    <w:rsid w:val="001875C0"/>
    <w:rsid w:val="00187ADA"/>
    <w:rsid w:val="00187CE6"/>
    <w:rsid w:val="00190151"/>
    <w:rsid w:val="00192AAC"/>
    <w:rsid w:val="00196142"/>
    <w:rsid w:val="001971CE"/>
    <w:rsid w:val="0019774F"/>
    <w:rsid w:val="001A4A8B"/>
    <w:rsid w:val="001B5C4A"/>
    <w:rsid w:val="001B6AD6"/>
    <w:rsid w:val="001B7126"/>
    <w:rsid w:val="001C00A6"/>
    <w:rsid w:val="001C1385"/>
    <w:rsid w:val="001C1BEC"/>
    <w:rsid w:val="001C5BE5"/>
    <w:rsid w:val="001C6898"/>
    <w:rsid w:val="001D066D"/>
    <w:rsid w:val="001D099D"/>
    <w:rsid w:val="001D15BF"/>
    <w:rsid w:val="001D2068"/>
    <w:rsid w:val="001D30A7"/>
    <w:rsid w:val="001D4286"/>
    <w:rsid w:val="001D531A"/>
    <w:rsid w:val="001D75DE"/>
    <w:rsid w:val="001E08BF"/>
    <w:rsid w:val="001E0E5C"/>
    <w:rsid w:val="001E1AAB"/>
    <w:rsid w:val="001E20E5"/>
    <w:rsid w:val="001E3812"/>
    <w:rsid w:val="001F0375"/>
    <w:rsid w:val="001F04A9"/>
    <w:rsid w:val="001F0E61"/>
    <w:rsid w:val="001F0F93"/>
    <w:rsid w:val="001F2E40"/>
    <w:rsid w:val="001F308F"/>
    <w:rsid w:val="001F4456"/>
    <w:rsid w:val="001F5104"/>
    <w:rsid w:val="001F58E8"/>
    <w:rsid w:val="001F61A6"/>
    <w:rsid w:val="00201A7E"/>
    <w:rsid w:val="00207785"/>
    <w:rsid w:val="002106AB"/>
    <w:rsid w:val="002114B5"/>
    <w:rsid w:val="00212AAC"/>
    <w:rsid w:val="00212CEA"/>
    <w:rsid w:val="00214726"/>
    <w:rsid w:val="002155D4"/>
    <w:rsid w:val="002163FB"/>
    <w:rsid w:val="0021667B"/>
    <w:rsid w:val="002168A4"/>
    <w:rsid w:val="0022029C"/>
    <w:rsid w:val="00220E50"/>
    <w:rsid w:val="0022315D"/>
    <w:rsid w:val="002238E0"/>
    <w:rsid w:val="00225671"/>
    <w:rsid w:val="00226A4B"/>
    <w:rsid w:val="0023094A"/>
    <w:rsid w:val="00231AED"/>
    <w:rsid w:val="00233297"/>
    <w:rsid w:val="002333B4"/>
    <w:rsid w:val="0023382A"/>
    <w:rsid w:val="00234C7D"/>
    <w:rsid w:val="00235223"/>
    <w:rsid w:val="00236EAB"/>
    <w:rsid w:val="00236ED4"/>
    <w:rsid w:val="002423C7"/>
    <w:rsid w:val="00243DC8"/>
    <w:rsid w:val="0024469B"/>
    <w:rsid w:val="00245D05"/>
    <w:rsid w:val="00247971"/>
    <w:rsid w:val="002514E2"/>
    <w:rsid w:val="002523B0"/>
    <w:rsid w:val="002534C1"/>
    <w:rsid w:val="00253FB8"/>
    <w:rsid w:val="0025569E"/>
    <w:rsid w:val="002559D4"/>
    <w:rsid w:val="00257A36"/>
    <w:rsid w:val="00257D19"/>
    <w:rsid w:val="0026127C"/>
    <w:rsid w:val="002621A1"/>
    <w:rsid w:val="0026283D"/>
    <w:rsid w:val="00262E69"/>
    <w:rsid w:val="0026335D"/>
    <w:rsid w:val="002634DA"/>
    <w:rsid w:val="00263541"/>
    <w:rsid w:val="0026367F"/>
    <w:rsid w:val="00263AC6"/>
    <w:rsid w:val="00263E2A"/>
    <w:rsid w:val="00266390"/>
    <w:rsid w:val="00266D5C"/>
    <w:rsid w:val="00267855"/>
    <w:rsid w:val="0027527E"/>
    <w:rsid w:val="00282014"/>
    <w:rsid w:val="00285C58"/>
    <w:rsid w:val="00285D48"/>
    <w:rsid w:val="002868C4"/>
    <w:rsid w:val="00290F47"/>
    <w:rsid w:val="00292628"/>
    <w:rsid w:val="00292831"/>
    <w:rsid w:val="002943A8"/>
    <w:rsid w:val="00294FA0"/>
    <w:rsid w:val="00296310"/>
    <w:rsid w:val="002A2D59"/>
    <w:rsid w:val="002A56C9"/>
    <w:rsid w:val="002A5C80"/>
    <w:rsid w:val="002A6A34"/>
    <w:rsid w:val="002A6B98"/>
    <w:rsid w:val="002B167D"/>
    <w:rsid w:val="002B43F2"/>
    <w:rsid w:val="002B47B8"/>
    <w:rsid w:val="002B4C8E"/>
    <w:rsid w:val="002B62FC"/>
    <w:rsid w:val="002B633E"/>
    <w:rsid w:val="002C0AB2"/>
    <w:rsid w:val="002C1E7C"/>
    <w:rsid w:val="002C33A8"/>
    <w:rsid w:val="002C788B"/>
    <w:rsid w:val="002D0130"/>
    <w:rsid w:val="002D0803"/>
    <w:rsid w:val="002D1017"/>
    <w:rsid w:val="002D31F5"/>
    <w:rsid w:val="002D728D"/>
    <w:rsid w:val="002E07C3"/>
    <w:rsid w:val="002E28FA"/>
    <w:rsid w:val="002E2B42"/>
    <w:rsid w:val="002E33A9"/>
    <w:rsid w:val="002E43C3"/>
    <w:rsid w:val="002E66AC"/>
    <w:rsid w:val="002E751A"/>
    <w:rsid w:val="002E7C89"/>
    <w:rsid w:val="002F2C9F"/>
    <w:rsid w:val="002F35B6"/>
    <w:rsid w:val="002F37FF"/>
    <w:rsid w:val="002F4F46"/>
    <w:rsid w:val="002F5389"/>
    <w:rsid w:val="002F6114"/>
    <w:rsid w:val="003020EC"/>
    <w:rsid w:val="00302CC9"/>
    <w:rsid w:val="00302FD1"/>
    <w:rsid w:val="003037E3"/>
    <w:rsid w:val="00303FDA"/>
    <w:rsid w:val="00306A05"/>
    <w:rsid w:val="00306B6C"/>
    <w:rsid w:val="00310061"/>
    <w:rsid w:val="00310962"/>
    <w:rsid w:val="00311243"/>
    <w:rsid w:val="00311B31"/>
    <w:rsid w:val="00311D96"/>
    <w:rsid w:val="00312B21"/>
    <w:rsid w:val="00314379"/>
    <w:rsid w:val="003147C1"/>
    <w:rsid w:val="00316A08"/>
    <w:rsid w:val="00316FB7"/>
    <w:rsid w:val="00317E4B"/>
    <w:rsid w:val="0032164F"/>
    <w:rsid w:val="00322165"/>
    <w:rsid w:val="00322C6F"/>
    <w:rsid w:val="00322FC7"/>
    <w:rsid w:val="0032663B"/>
    <w:rsid w:val="00327B0F"/>
    <w:rsid w:val="0033201D"/>
    <w:rsid w:val="003320D4"/>
    <w:rsid w:val="00334EDE"/>
    <w:rsid w:val="00340FF7"/>
    <w:rsid w:val="0034462C"/>
    <w:rsid w:val="00344683"/>
    <w:rsid w:val="003453F6"/>
    <w:rsid w:val="0034623A"/>
    <w:rsid w:val="003468BB"/>
    <w:rsid w:val="0034710F"/>
    <w:rsid w:val="0034755D"/>
    <w:rsid w:val="00347BB1"/>
    <w:rsid w:val="00353C47"/>
    <w:rsid w:val="00356988"/>
    <w:rsid w:val="00357A78"/>
    <w:rsid w:val="00360385"/>
    <w:rsid w:val="00364AEB"/>
    <w:rsid w:val="00367161"/>
    <w:rsid w:val="00370821"/>
    <w:rsid w:val="00372AF8"/>
    <w:rsid w:val="0037459B"/>
    <w:rsid w:val="00377059"/>
    <w:rsid w:val="00380606"/>
    <w:rsid w:val="00380CE7"/>
    <w:rsid w:val="003836C8"/>
    <w:rsid w:val="00385557"/>
    <w:rsid w:val="003901B4"/>
    <w:rsid w:val="00390D8D"/>
    <w:rsid w:val="00393C7E"/>
    <w:rsid w:val="00395967"/>
    <w:rsid w:val="00397118"/>
    <w:rsid w:val="003A130A"/>
    <w:rsid w:val="003A1851"/>
    <w:rsid w:val="003A1A34"/>
    <w:rsid w:val="003A1F5D"/>
    <w:rsid w:val="003A3D10"/>
    <w:rsid w:val="003A4596"/>
    <w:rsid w:val="003A51E7"/>
    <w:rsid w:val="003A6DC6"/>
    <w:rsid w:val="003A784E"/>
    <w:rsid w:val="003B1240"/>
    <w:rsid w:val="003B259C"/>
    <w:rsid w:val="003B2FEA"/>
    <w:rsid w:val="003B5260"/>
    <w:rsid w:val="003B5A90"/>
    <w:rsid w:val="003B6FC8"/>
    <w:rsid w:val="003B795C"/>
    <w:rsid w:val="003C00A6"/>
    <w:rsid w:val="003C172B"/>
    <w:rsid w:val="003C1D6F"/>
    <w:rsid w:val="003C314B"/>
    <w:rsid w:val="003C4982"/>
    <w:rsid w:val="003D0A43"/>
    <w:rsid w:val="003D2182"/>
    <w:rsid w:val="003D236F"/>
    <w:rsid w:val="003D304F"/>
    <w:rsid w:val="003D635D"/>
    <w:rsid w:val="003D7FC0"/>
    <w:rsid w:val="003E402E"/>
    <w:rsid w:val="003E48E4"/>
    <w:rsid w:val="003F490A"/>
    <w:rsid w:val="003F567C"/>
    <w:rsid w:val="003F5777"/>
    <w:rsid w:val="003F5E57"/>
    <w:rsid w:val="003F6A69"/>
    <w:rsid w:val="004024AF"/>
    <w:rsid w:val="0040310D"/>
    <w:rsid w:val="00405174"/>
    <w:rsid w:val="00406AA6"/>
    <w:rsid w:val="0041221D"/>
    <w:rsid w:val="004133EC"/>
    <w:rsid w:val="004135E0"/>
    <w:rsid w:val="004159E7"/>
    <w:rsid w:val="00416445"/>
    <w:rsid w:val="00416721"/>
    <w:rsid w:val="00417BF0"/>
    <w:rsid w:val="00417FF1"/>
    <w:rsid w:val="004211EA"/>
    <w:rsid w:val="00421249"/>
    <w:rsid w:val="00421CAC"/>
    <w:rsid w:val="00424815"/>
    <w:rsid w:val="004304C4"/>
    <w:rsid w:val="0043234A"/>
    <w:rsid w:val="00433647"/>
    <w:rsid w:val="00433E9C"/>
    <w:rsid w:val="00435EE4"/>
    <w:rsid w:val="004365A8"/>
    <w:rsid w:val="00436FC0"/>
    <w:rsid w:val="004402D5"/>
    <w:rsid w:val="004409A0"/>
    <w:rsid w:val="0044100B"/>
    <w:rsid w:val="004419B1"/>
    <w:rsid w:val="004430AF"/>
    <w:rsid w:val="00443B85"/>
    <w:rsid w:val="00444079"/>
    <w:rsid w:val="004441EC"/>
    <w:rsid w:val="004465E0"/>
    <w:rsid w:val="00446DF1"/>
    <w:rsid w:val="00450351"/>
    <w:rsid w:val="004517ED"/>
    <w:rsid w:val="00451AD6"/>
    <w:rsid w:val="00453975"/>
    <w:rsid w:val="0045567A"/>
    <w:rsid w:val="00455A82"/>
    <w:rsid w:val="00455B78"/>
    <w:rsid w:val="0045753D"/>
    <w:rsid w:val="00461F4A"/>
    <w:rsid w:val="00470E30"/>
    <w:rsid w:val="004715EF"/>
    <w:rsid w:val="00471B41"/>
    <w:rsid w:val="00476FB8"/>
    <w:rsid w:val="004815B9"/>
    <w:rsid w:val="00481975"/>
    <w:rsid w:val="00491B05"/>
    <w:rsid w:val="00492080"/>
    <w:rsid w:val="00493474"/>
    <w:rsid w:val="004935D4"/>
    <w:rsid w:val="00493B60"/>
    <w:rsid w:val="004948CD"/>
    <w:rsid w:val="00494DB3"/>
    <w:rsid w:val="00494F1C"/>
    <w:rsid w:val="0049574F"/>
    <w:rsid w:val="00497B7B"/>
    <w:rsid w:val="00497CDD"/>
    <w:rsid w:val="004A0C05"/>
    <w:rsid w:val="004A1CB4"/>
    <w:rsid w:val="004A515A"/>
    <w:rsid w:val="004A5A26"/>
    <w:rsid w:val="004A6D23"/>
    <w:rsid w:val="004A7531"/>
    <w:rsid w:val="004B30AA"/>
    <w:rsid w:val="004B375A"/>
    <w:rsid w:val="004B4A02"/>
    <w:rsid w:val="004B4FD1"/>
    <w:rsid w:val="004B558B"/>
    <w:rsid w:val="004C3412"/>
    <w:rsid w:val="004C38F8"/>
    <w:rsid w:val="004C3EC7"/>
    <w:rsid w:val="004C40EF"/>
    <w:rsid w:val="004C6F56"/>
    <w:rsid w:val="004D1319"/>
    <w:rsid w:val="004D13E1"/>
    <w:rsid w:val="004D1C00"/>
    <w:rsid w:val="004D6142"/>
    <w:rsid w:val="004E0B52"/>
    <w:rsid w:val="004E14F9"/>
    <w:rsid w:val="004E2AE5"/>
    <w:rsid w:val="004E3AEC"/>
    <w:rsid w:val="004E79FD"/>
    <w:rsid w:val="004F609A"/>
    <w:rsid w:val="00500117"/>
    <w:rsid w:val="005033C0"/>
    <w:rsid w:val="0050377F"/>
    <w:rsid w:val="0050572E"/>
    <w:rsid w:val="00505EDA"/>
    <w:rsid w:val="005108C0"/>
    <w:rsid w:val="00511C19"/>
    <w:rsid w:val="00511CDE"/>
    <w:rsid w:val="00511E80"/>
    <w:rsid w:val="005146C5"/>
    <w:rsid w:val="00514C25"/>
    <w:rsid w:val="005154EC"/>
    <w:rsid w:val="00515CC4"/>
    <w:rsid w:val="0052017D"/>
    <w:rsid w:val="00520545"/>
    <w:rsid w:val="005256D2"/>
    <w:rsid w:val="00526207"/>
    <w:rsid w:val="005267E0"/>
    <w:rsid w:val="005270EF"/>
    <w:rsid w:val="00531CDA"/>
    <w:rsid w:val="00532733"/>
    <w:rsid w:val="00532FDE"/>
    <w:rsid w:val="00533BDC"/>
    <w:rsid w:val="005350A3"/>
    <w:rsid w:val="005356E8"/>
    <w:rsid w:val="00535CE6"/>
    <w:rsid w:val="0053772A"/>
    <w:rsid w:val="005562C4"/>
    <w:rsid w:val="00556C81"/>
    <w:rsid w:val="00562724"/>
    <w:rsid w:val="00565649"/>
    <w:rsid w:val="00565CC2"/>
    <w:rsid w:val="005661A6"/>
    <w:rsid w:val="0056695C"/>
    <w:rsid w:val="00567DB7"/>
    <w:rsid w:val="005700A0"/>
    <w:rsid w:val="00572264"/>
    <w:rsid w:val="005722DD"/>
    <w:rsid w:val="005744AC"/>
    <w:rsid w:val="005747A1"/>
    <w:rsid w:val="0058351E"/>
    <w:rsid w:val="0058534B"/>
    <w:rsid w:val="00586BB8"/>
    <w:rsid w:val="00587B6B"/>
    <w:rsid w:val="0059458F"/>
    <w:rsid w:val="005950C2"/>
    <w:rsid w:val="005962C0"/>
    <w:rsid w:val="0059635E"/>
    <w:rsid w:val="00596719"/>
    <w:rsid w:val="0059773B"/>
    <w:rsid w:val="005A19E2"/>
    <w:rsid w:val="005A2759"/>
    <w:rsid w:val="005A3EA4"/>
    <w:rsid w:val="005A4314"/>
    <w:rsid w:val="005A500A"/>
    <w:rsid w:val="005A5CF5"/>
    <w:rsid w:val="005A5CF6"/>
    <w:rsid w:val="005B19E7"/>
    <w:rsid w:val="005B2C81"/>
    <w:rsid w:val="005B3B7E"/>
    <w:rsid w:val="005B4530"/>
    <w:rsid w:val="005B4C66"/>
    <w:rsid w:val="005B4D2C"/>
    <w:rsid w:val="005B5F3E"/>
    <w:rsid w:val="005C043A"/>
    <w:rsid w:val="005C1191"/>
    <w:rsid w:val="005C179C"/>
    <w:rsid w:val="005C291E"/>
    <w:rsid w:val="005C31C5"/>
    <w:rsid w:val="005C3539"/>
    <w:rsid w:val="005C42B0"/>
    <w:rsid w:val="005C6F87"/>
    <w:rsid w:val="005D14BE"/>
    <w:rsid w:val="005D25DA"/>
    <w:rsid w:val="005D59BA"/>
    <w:rsid w:val="005E0512"/>
    <w:rsid w:val="005E47B3"/>
    <w:rsid w:val="005E6F98"/>
    <w:rsid w:val="005F0A3A"/>
    <w:rsid w:val="005F3044"/>
    <w:rsid w:val="005F5223"/>
    <w:rsid w:val="005F60EA"/>
    <w:rsid w:val="005F7193"/>
    <w:rsid w:val="005F73D1"/>
    <w:rsid w:val="006004A5"/>
    <w:rsid w:val="00601499"/>
    <w:rsid w:val="0060368D"/>
    <w:rsid w:val="00605B3C"/>
    <w:rsid w:val="00611140"/>
    <w:rsid w:val="006125F0"/>
    <w:rsid w:val="006132AD"/>
    <w:rsid w:val="006137CA"/>
    <w:rsid w:val="00616254"/>
    <w:rsid w:val="0062039D"/>
    <w:rsid w:val="00620C56"/>
    <w:rsid w:val="00620F8F"/>
    <w:rsid w:val="00623BA3"/>
    <w:rsid w:val="00623C48"/>
    <w:rsid w:val="00625996"/>
    <w:rsid w:val="00626F83"/>
    <w:rsid w:val="00627CD4"/>
    <w:rsid w:val="00630DF9"/>
    <w:rsid w:val="006343BD"/>
    <w:rsid w:val="00635F6B"/>
    <w:rsid w:val="00636154"/>
    <w:rsid w:val="0063629A"/>
    <w:rsid w:val="00641BB5"/>
    <w:rsid w:val="00643DA3"/>
    <w:rsid w:val="00644796"/>
    <w:rsid w:val="00644979"/>
    <w:rsid w:val="00653026"/>
    <w:rsid w:val="006531EE"/>
    <w:rsid w:val="00657526"/>
    <w:rsid w:val="00662354"/>
    <w:rsid w:val="0066280D"/>
    <w:rsid w:val="0066366E"/>
    <w:rsid w:val="00666146"/>
    <w:rsid w:val="00672438"/>
    <w:rsid w:val="006755C4"/>
    <w:rsid w:val="00675D52"/>
    <w:rsid w:val="006762DD"/>
    <w:rsid w:val="00676FD2"/>
    <w:rsid w:val="006773E3"/>
    <w:rsid w:val="006774EB"/>
    <w:rsid w:val="00683604"/>
    <w:rsid w:val="00683D9E"/>
    <w:rsid w:val="00684328"/>
    <w:rsid w:val="00686A0B"/>
    <w:rsid w:val="00686E07"/>
    <w:rsid w:val="00687A1C"/>
    <w:rsid w:val="00690016"/>
    <w:rsid w:val="00690CDC"/>
    <w:rsid w:val="00691B1D"/>
    <w:rsid w:val="00691F6C"/>
    <w:rsid w:val="00692011"/>
    <w:rsid w:val="00693B5E"/>
    <w:rsid w:val="00693FC5"/>
    <w:rsid w:val="006A0CBD"/>
    <w:rsid w:val="006A6EEE"/>
    <w:rsid w:val="006A79B7"/>
    <w:rsid w:val="006B080D"/>
    <w:rsid w:val="006B0F37"/>
    <w:rsid w:val="006B3067"/>
    <w:rsid w:val="006B4252"/>
    <w:rsid w:val="006B469E"/>
    <w:rsid w:val="006C07CF"/>
    <w:rsid w:val="006C4112"/>
    <w:rsid w:val="006C48F6"/>
    <w:rsid w:val="006C71B9"/>
    <w:rsid w:val="006D017C"/>
    <w:rsid w:val="006D0CAE"/>
    <w:rsid w:val="006D1B71"/>
    <w:rsid w:val="006D1E9C"/>
    <w:rsid w:val="006D24C9"/>
    <w:rsid w:val="006D4775"/>
    <w:rsid w:val="006D54E4"/>
    <w:rsid w:val="006D663A"/>
    <w:rsid w:val="006D68D5"/>
    <w:rsid w:val="006E0454"/>
    <w:rsid w:val="006E177F"/>
    <w:rsid w:val="006E36C7"/>
    <w:rsid w:val="006E4266"/>
    <w:rsid w:val="006E65A0"/>
    <w:rsid w:val="006F0431"/>
    <w:rsid w:val="006F094F"/>
    <w:rsid w:val="006F358C"/>
    <w:rsid w:val="006F45D8"/>
    <w:rsid w:val="006F7223"/>
    <w:rsid w:val="00700913"/>
    <w:rsid w:val="00700E1F"/>
    <w:rsid w:val="00701B64"/>
    <w:rsid w:val="00707175"/>
    <w:rsid w:val="00710A57"/>
    <w:rsid w:val="007151FD"/>
    <w:rsid w:val="00716DA5"/>
    <w:rsid w:val="00717C81"/>
    <w:rsid w:val="00720F1B"/>
    <w:rsid w:val="00721295"/>
    <w:rsid w:val="00724C32"/>
    <w:rsid w:val="007250CB"/>
    <w:rsid w:val="00732F25"/>
    <w:rsid w:val="0073425D"/>
    <w:rsid w:val="007343D9"/>
    <w:rsid w:val="00736C51"/>
    <w:rsid w:val="00737447"/>
    <w:rsid w:val="007375FD"/>
    <w:rsid w:val="00737D9B"/>
    <w:rsid w:val="0074225A"/>
    <w:rsid w:val="007429BC"/>
    <w:rsid w:val="00743C90"/>
    <w:rsid w:val="00744DEA"/>
    <w:rsid w:val="00745843"/>
    <w:rsid w:val="00745CC8"/>
    <w:rsid w:val="00746BC8"/>
    <w:rsid w:val="007474BF"/>
    <w:rsid w:val="00747543"/>
    <w:rsid w:val="00751231"/>
    <w:rsid w:val="00752F9A"/>
    <w:rsid w:val="007531C7"/>
    <w:rsid w:val="007539E9"/>
    <w:rsid w:val="00754632"/>
    <w:rsid w:val="00754A33"/>
    <w:rsid w:val="00754FBE"/>
    <w:rsid w:val="00756213"/>
    <w:rsid w:val="00756346"/>
    <w:rsid w:val="00756AFE"/>
    <w:rsid w:val="0075759E"/>
    <w:rsid w:val="00760E36"/>
    <w:rsid w:val="0076154C"/>
    <w:rsid w:val="00761769"/>
    <w:rsid w:val="007624D6"/>
    <w:rsid w:val="00765C30"/>
    <w:rsid w:val="00766069"/>
    <w:rsid w:val="00766BF8"/>
    <w:rsid w:val="007712EF"/>
    <w:rsid w:val="007763FF"/>
    <w:rsid w:val="0077718A"/>
    <w:rsid w:val="0077793A"/>
    <w:rsid w:val="00777B26"/>
    <w:rsid w:val="00780C7B"/>
    <w:rsid w:val="007846CA"/>
    <w:rsid w:val="007849B9"/>
    <w:rsid w:val="0078702E"/>
    <w:rsid w:val="007900C0"/>
    <w:rsid w:val="007921DD"/>
    <w:rsid w:val="00792740"/>
    <w:rsid w:val="00793BC4"/>
    <w:rsid w:val="00795214"/>
    <w:rsid w:val="00795D5A"/>
    <w:rsid w:val="00796B62"/>
    <w:rsid w:val="007971CA"/>
    <w:rsid w:val="007A0666"/>
    <w:rsid w:val="007A0D68"/>
    <w:rsid w:val="007A10A1"/>
    <w:rsid w:val="007A3A88"/>
    <w:rsid w:val="007A4AC4"/>
    <w:rsid w:val="007A4BC7"/>
    <w:rsid w:val="007A635F"/>
    <w:rsid w:val="007A70E2"/>
    <w:rsid w:val="007B013B"/>
    <w:rsid w:val="007B07D4"/>
    <w:rsid w:val="007B0B61"/>
    <w:rsid w:val="007B2D6E"/>
    <w:rsid w:val="007B3624"/>
    <w:rsid w:val="007B43F3"/>
    <w:rsid w:val="007B5AB6"/>
    <w:rsid w:val="007C00A3"/>
    <w:rsid w:val="007C052F"/>
    <w:rsid w:val="007C0A9E"/>
    <w:rsid w:val="007C0C19"/>
    <w:rsid w:val="007C16A8"/>
    <w:rsid w:val="007C1820"/>
    <w:rsid w:val="007C2117"/>
    <w:rsid w:val="007C3919"/>
    <w:rsid w:val="007C3D91"/>
    <w:rsid w:val="007C5509"/>
    <w:rsid w:val="007C5F86"/>
    <w:rsid w:val="007C6F24"/>
    <w:rsid w:val="007C7CED"/>
    <w:rsid w:val="007D23AA"/>
    <w:rsid w:val="007D499E"/>
    <w:rsid w:val="007D66CD"/>
    <w:rsid w:val="007D66DF"/>
    <w:rsid w:val="007D6AE6"/>
    <w:rsid w:val="007E16B1"/>
    <w:rsid w:val="007E1D24"/>
    <w:rsid w:val="007E46E2"/>
    <w:rsid w:val="007F049A"/>
    <w:rsid w:val="007F137A"/>
    <w:rsid w:val="007F29A4"/>
    <w:rsid w:val="007F3D86"/>
    <w:rsid w:val="007F46C6"/>
    <w:rsid w:val="007F5151"/>
    <w:rsid w:val="007F53C1"/>
    <w:rsid w:val="007F5EDC"/>
    <w:rsid w:val="007F612D"/>
    <w:rsid w:val="0080012D"/>
    <w:rsid w:val="0080299F"/>
    <w:rsid w:val="00813D08"/>
    <w:rsid w:val="00816998"/>
    <w:rsid w:val="00817AF0"/>
    <w:rsid w:val="0082194D"/>
    <w:rsid w:val="00821D35"/>
    <w:rsid w:val="0082397C"/>
    <w:rsid w:val="008262A3"/>
    <w:rsid w:val="00827B40"/>
    <w:rsid w:val="00830A41"/>
    <w:rsid w:val="008315F1"/>
    <w:rsid w:val="0083353F"/>
    <w:rsid w:val="00833951"/>
    <w:rsid w:val="00836803"/>
    <w:rsid w:val="00837454"/>
    <w:rsid w:val="00842009"/>
    <w:rsid w:val="0084354F"/>
    <w:rsid w:val="00847890"/>
    <w:rsid w:val="008504F3"/>
    <w:rsid w:val="008506B1"/>
    <w:rsid w:val="00851157"/>
    <w:rsid w:val="008534E3"/>
    <w:rsid w:val="00853C38"/>
    <w:rsid w:val="00856AE6"/>
    <w:rsid w:val="008625CE"/>
    <w:rsid w:val="00862D0C"/>
    <w:rsid w:val="00863F49"/>
    <w:rsid w:val="0086426C"/>
    <w:rsid w:val="008704EE"/>
    <w:rsid w:val="00870CD0"/>
    <w:rsid w:val="008718EB"/>
    <w:rsid w:val="00873DC4"/>
    <w:rsid w:val="008744FF"/>
    <w:rsid w:val="008755F3"/>
    <w:rsid w:val="00875CE3"/>
    <w:rsid w:val="0087612F"/>
    <w:rsid w:val="0088017B"/>
    <w:rsid w:val="00880C15"/>
    <w:rsid w:val="008810A5"/>
    <w:rsid w:val="00881E08"/>
    <w:rsid w:val="00882925"/>
    <w:rsid w:val="008836CC"/>
    <w:rsid w:val="008844F3"/>
    <w:rsid w:val="00886C85"/>
    <w:rsid w:val="008870A0"/>
    <w:rsid w:val="00887583"/>
    <w:rsid w:val="00890B72"/>
    <w:rsid w:val="008910F8"/>
    <w:rsid w:val="00891140"/>
    <w:rsid w:val="00893938"/>
    <w:rsid w:val="00893FFB"/>
    <w:rsid w:val="008940BF"/>
    <w:rsid w:val="00896603"/>
    <w:rsid w:val="008A0850"/>
    <w:rsid w:val="008A0E65"/>
    <w:rsid w:val="008A1F78"/>
    <w:rsid w:val="008A35FC"/>
    <w:rsid w:val="008A3EDA"/>
    <w:rsid w:val="008A5DE4"/>
    <w:rsid w:val="008B172F"/>
    <w:rsid w:val="008B1DC9"/>
    <w:rsid w:val="008B449C"/>
    <w:rsid w:val="008B6BF2"/>
    <w:rsid w:val="008B6F35"/>
    <w:rsid w:val="008C46DC"/>
    <w:rsid w:val="008C5200"/>
    <w:rsid w:val="008C57A9"/>
    <w:rsid w:val="008D051A"/>
    <w:rsid w:val="008D0B73"/>
    <w:rsid w:val="008D2886"/>
    <w:rsid w:val="008D455D"/>
    <w:rsid w:val="008D49BB"/>
    <w:rsid w:val="008D5A63"/>
    <w:rsid w:val="008D5EA3"/>
    <w:rsid w:val="008D7ABB"/>
    <w:rsid w:val="008E1632"/>
    <w:rsid w:val="008E1B39"/>
    <w:rsid w:val="008E343E"/>
    <w:rsid w:val="008E54B5"/>
    <w:rsid w:val="008E57BA"/>
    <w:rsid w:val="008F0327"/>
    <w:rsid w:val="008F0962"/>
    <w:rsid w:val="008F3418"/>
    <w:rsid w:val="00902597"/>
    <w:rsid w:val="00904DBD"/>
    <w:rsid w:val="00907568"/>
    <w:rsid w:val="009076D1"/>
    <w:rsid w:val="00910CD4"/>
    <w:rsid w:val="00912026"/>
    <w:rsid w:val="00912364"/>
    <w:rsid w:val="00913B4B"/>
    <w:rsid w:val="00914935"/>
    <w:rsid w:val="00914958"/>
    <w:rsid w:val="00915000"/>
    <w:rsid w:val="00915C51"/>
    <w:rsid w:val="009178A7"/>
    <w:rsid w:val="00920ED5"/>
    <w:rsid w:val="009221BD"/>
    <w:rsid w:val="00923057"/>
    <w:rsid w:val="0092533B"/>
    <w:rsid w:val="009253CD"/>
    <w:rsid w:val="0092727B"/>
    <w:rsid w:val="00927458"/>
    <w:rsid w:val="0092765A"/>
    <w:rsid w:val="00927A67"/>
    <w:rsid w:val="00927B6D"/>
    <w:rsid w:val="00930EB8"/>
    <w:rsid w:val="00932113"/>
    <w:rsid w:val="00932EA7"/>
    <w:rsid w:val="0093513C"/>
    <w:rsid w:val="00937017"/>
    <w:rsid w:val="00940938"/>
    <w:rsid w:val="009426E4"/>
    <w:rsid w:val="009431B1"/>
    <w:rsid w:val="00943BAD"/>
    <w:rsid w:val="00944CD1"/>
    <w:rsid w:val="00944EAE"/>
    <w:rsid w:val="009514AE"/>
    <w:rsid w:val="00951C6A"/>
    <w:rsid w:val="00953A91"/>
    <w:rsid w:val="00954D19"/>
    <w:rsid w:val="009562CD"/>
    <w:rsid w:val="00960AAB"/>
    <w:rsid w:val="00961113"/>
    <w:rsid w:val="0096213B"/>
    <w:rsid w:val="009621C4"/>
    <w:rsid w:val="0096255F"/>
    <w:rsid w:val="009654F4"/>
    <w:rsid w:val="00971289"/>
    <w:rsid w:val="00974EB5"/>
    <w:rsid w:val="00977766"/>
    <w:rsid w:val="009808A5"/>
    <w:rsid w:val="009808E9"/>
    <w:rsid w:val="00982563"/>
    <w:rsid w:val="00982E29"/>
    <w:rsid w:val="00983A11"/>
    <w:rsid w:val="00984596"/>
    <w:rsid w:val="009860D8"/>
    <w:rsid w:val="009879F7"/>
    <w:rsid w:val="00990B36"/>
    <w:rsid w:val="00992695"/>
    <w:rsid w:val="00992B19"/>
    <w:rsid w:val="009971C8"/>
    <w:rsid w:val="009977A5"/>
    <w:rsid w:val="009A0942"/>
    <w:rsid w:val="009A1524"/>
    <w:rsid w:val="009B082E"/>
    <w:rsid w:val="009B2A38"/>
    <w:rsid w:val="009B47F7"/>
    <w:rsid w:val="009B571B"/>
    <w:rsid w:val="009B7A22"/>
    <w:rsid w:val="009C24B6"/>
    <w:rsid w:val="009C31E6"/>
    <w:rsid w:val="009C3AB9"/>
    <w:rsid w:val="009C40A5"/>
    <w:rsid w:val="009C7EDF"/>
    <w:rsid w:val="009D1B6D"/>
    <w:rsid w:val="009D2EA2"/>
    <w:rsid w:val="009D41DC"/>
    <w:rsid w:val="009D435D"/>
    <w:rsid w:val="009D5D64"/>
    <w:rsid w:val="009D5E30"/>
    <w:rsid w:val="009D64E8"/>
    <w:rsid w:val="009D7AA6"/>
    <w:rsid w:val="009E06EA"/>
    <w:rsid w:val="009E2232"/>
    <w:rsid w:val="009E4E38"/>
    <w:rsid w:val="009E66C0"/>
    <w:rsid w:val="009E6CDE"/>
    <w:rsid w:val="009F0459"/>
    <w:rsid w:val="009F07ED"/>
    <w:rsid w:val="009F2AE3"/>
    <w:rsid w:val="009F3BDE"/>
    <w:rsid w:val="009F3F6A"/>
    <w:rsid w:val="009F4D65"/>
    <w:rsid w:val="009F58F6"/>
    <w:rsid w:val="009F6157"/>
    <w:rsid w:val="00A01B90"/>
    <w:rsid w:val="00A02AB0"/>
    <w:rsid w:val="00A0488F"/>
    <w:rsid w:val="00A04F31"/>
    <w:rsid w:val="00A062CB"/>
    <w:rsid w:val="00A077E5"/>
    <w:rsid w:val="00A13E7D"/>
    <w:rsid w:val="00A15B4A"/>
    <w:rsid w:val="00A161F9"/>
    <w:rsid w:val="00A22CB8"/>
    <w:rsid w:val="00A22EB5"/>
    <w:rsid w:val="00A24093"/>
    <w:rsid w:val="00A24155"/>
    <w:rsid w:val="00A249BE"/>
    <w:rsid w:val="00A278F0"/>
    <w:rsid w:val="00A301FC"/>
    <w:rsid w:val="00A31A03"/>
    <w:rsid w:val="00A34011"/>
    <w:rsid w:val="00A347D4"/>
    <w:rsid w:val="00A349EF"/>
    <w:rsid w:val="00A34E0F"/>
    <w:rsid w:val="00A35A43"/>
    <w:rsid w:val="00A37136"/>
    <w:rsid w:val="00A37BAC"/>
    <w:rsid w:val="00A4059C"/>
    <w:rsid w:val="00A4117C"/>
    <w:rsid w:val="00A44CC5"/>
    <w:rsid w:val="00A44F87"/>
    <w:rsid w:val="00A456A2"/>
    <w:rsid w:val="00A47D32"/>
    <w:rsid w:val="00A50A09"/>
    <w:rsid w:val="00A516DA"/>
    <w:rsid w:val="00A52D5D"/>
    <w:rsid w:val="00A530AD"/>
    <w:rsid w:val="00A536EB"/>
    <w:rsid w:val="00A57076"/>
    <w:rsid w:val="00A606B6"/>
    <w:rsid w:val="00A6200A"/>
    <w:rsid w:val="00A631DB"/>
    <w:rsid w:val="00A63CCA"/>
    <w:rsid w:val="00A65568"/>
    <w:rsid w:val="00A67030"/>
    <w:rsid w:val="00A67267"/>
    <w:rsid w:val="00A71CD4"/>
    <w:rsid w:val="00A73438"/>
    <w:rsid w:val="00A73E94"/>
    <w:rsid w:val="00A81536"/>
    <w:rsid w:val="00A833F6"/>
    <w:rsid w:val="00A83966"/>
    <w:rsid w:val="00A878EA"/>
    <w:rsid w:val="00A91806"/>
    <w:rsid w:val="00A93C4E"/>
    <w:rsid w:val="00A94B3D"/>
    <w:rsid w:val="00AA2BF4"/>
    <w:rsid w:val="00AA2E21"/>
    <w:rsid w:val="00AA42FE"/>
    <w:rsid w:val="00AA7251"/>
    <w:rsid w:val="00AA76FA"/>
    <w:rsid w:val="00AA7925"/>
    <w:rsid w:val="00AB10FE"/>
    <w:rsid w:val="00AB48F7"/>
    <w:rsid w:val="00AB5FEB"/>
    <w:rsid w:val="00AB6D1B"/>
    <w:rsid w:val="00AC144E"/>
    <w:rsid w:val="00AC1F0C"/>
    <w:rsid w:val="00AC2570"/>
    <w:rsid w:val="00AC3F73"/>
    <w:rsid w:val="00AC479F"/>
    <w:rsid w:val="00AC4D5D"/>
    <w:rsid w:val="00AC609D"/>
    <w:rsid w:val="00AC74C0"/>
    <w:rsid w:val="00AC7B02"/>
    <w:rsid w:val="00AD0248"/>
    <w:rsid w:val="00AD2417"/>
    <w:rsid w:val="00AD3496"/>
    <w:rsid w:val="00AD3A7C"/>
    <w:rsid w:val="00AD566E"/>
    <w:rsid w:val="00AD6855"/>
    <w:rsid w:val="00AE09E8"/>
    <w:rsid w:val="00AE09F2"/>
    <w:rsid w:val="00AE0CEA"/>
    <w:rsid w:val="00AE20AB"/>
    <w:rsid w:val="00AE2696"/>
    <w:rsid w:val="00AE3657"/>
    <w:rsid w:val="00AE4E08"/>
    <w:rsid w:val="00AE663E"/>
    <w:rsid w:val="00AF42A7"/>
    <w:rsid w:val="00AF720B"/>
    <w:rsid w:val="00AF776F"/>
    <w:rsid w:val="00B106AE"/>
    <w:rsid w:val="00B108C8"/>
    <w:rsid w:val="00B113F9"/>
    <w:rsid w:val="00B1393F"/>
    <w:rsid w:val="00B1467A"/>
    <w:rsid w:val="00B15D73"/>
    <w:rsid w:val="00B16941"/>
    <w:rsid w:val="00B17D00"/>
    <w:rsid w:val="00B20B19"/>
    <w:rsid w:val="00B211C4"/>
    <w:rsid w:val="00B22799"/>
    <w:rsid w:val="00B23C03"/>
    <w:rsid w:val="00B26021"/>
    <w:rsid w:val="00B319DF"/>
    <w:rsid w:val="00B33865"/>
    <w:rsid w:val="00B3510A"/>
    <w:rsid w:val="00B3651C"/>
    <w:rsid w:val="00B366A7"/>
    <w:rsid w:val="00B401AC"/>
    <w:rsid w:val="00B436F3"/>
    <w:rsid w:val="00B43EB2"/>
    <w:rsid w:val="00B4515B"/>
    <w:rsid w:val="00B502F4"/>
    <w:rsid w:val="00B53886"/>
    <w:rsid w:val="00B54330"/>
    <w:rsid w:val="00B5438F"/>
    <w:rsid w:val="00B57781"/>
    <w:rsid w:val="00B63BF7"/>
    <w:rsid w:val="00B66789"/>
    <w:rsid w:val="00B71034"/>
    <w:rsid w:val="00B74321"/>
    <w:rsid w:val="00B7687C"/>
    <w:rsid w:val="00B8046F"/>
    <w:rsid w:val="00B80842"/>
    <w:rsid w:val="00B80FCF"/>
    <w:rsid w:val="00B81488"/>
    <w:rsid w:val="00B85AB8"/>
    <w:rsid w:val="00B85CC9"/>
    <w:rsid w:val="00B86364"/>
    <w:rsid w:val="00B872B1"/>
    <w:rsid w:val="00B87A5A"/>
    <w:rsid w:val="00B9061F"/>
    <w:rsid w:val="00B91870"/>
    <w:rsid w:val="00B91C50"/>
    <w:rsid w:val="00B92780"/>
    <w:rsid w:val="00B92CC8"/>
    <w:rsid w:val="00B93DCC"/>
    <w:rsid w:val="00B95E03"/>
    <w:rsid w:val="00B9600B"/>
    <w:rsid w:val="00BA21EE"/>
    <w:rsid w:val="00BA28BD"/>
    <w:rsid w:val="00BA36E6"/>
    <w:rsid w:val="00BA5ADA"/>
    <w:rsid w:val="00BB171C"/>
    <w:rsid w:val="00BB21AC"/>
    <w:rsid w:val="00BB2868"/>
    <w:rsid w:val="00BB5789"/>
    <w:rsid w:val="00BB5DDB"/>
    <w:rsid w:val="00BB68D4"/>
    <w:rsid w:val="00BB7B5F"/>
    <w:rsid w:val="00BB7F65"/>
    <w:rsid w:val="00BC0695"/>
    <w:rsid w:val="00BC08C5"/>
    <w:rsid w:val="00BC263A"/>
    <w:rsid w:val="00BC36B6"/>
    <w:rsid w:val="00BC5A3F"/>
    <w:rsid w:val="00BD1A0E"/>
    <w:rsid w:val="00BD22FD"/>
    <w:rsid w:val="00BD2FCF"/>
    <w:rsid w:val="00BD4A32"/>
    <w:rsid w:val="00BD4BFD"/>
    <w:rsid w:val="00BE00B8"/>
    <w:rsid w:val="00BE054D"/>
    <w:rsid w:val="00BE2E88"/>
    <w:rsid w:val="00BE7B2A"/>
    <w:rsid w:val="00BE7C2A"/>
    <w:rsid w:val="00BF46F6"/>
    <w:rsid w:val="00BF5C57"/>
    <w:rsid w:val="00BF6873"/>
    <w:rsid w:val="00BF7BB0"/>
    <w:rsid w:val="00C015F6"/>
    <w:rsid w:val="00C07790"/>
    <w:rsid w:val="00C07C20"/>
    <w:rsid w:val="00C11E4B"/>
    <w:rsid w:val="00C126AA"/>
    <w:rsid w:val="00C126BE"/>
    <w:rsid w:val="00C17937"/>
    <w:rsid w:val="00C20730"/>
    <w:rsid w:val="00C21AAC"/>
    <w:rsid w:val="00C2287A"/>
    <w:rsid w:val="00C23837"/>
    <w:rsid w:val="00C24B66"/>
    <w:rsid w:val="00C25FF8"/>
    <w:rsid w:val="00C27468"/>
    <w:rsid w:val="00C322E1"/>
    <w:rsid w:val="00C32EDB"/>
    <w:rsid w:val="00C32F8A"/>
    <w:rsid w:val="00C32FA2"/>
    <w:rsid w:val="00C3725C"/>
    <w:rsid w:val="00C41886"/>
    <w:rsid w:val="00C44752"/>
    <w:rsid w:val="00C45158"/>
    <w:rsid w:val="00C46DAA"/>
    <w:rsid w:val="00C50B53"/>
    <w:rsid w:val="00C50DDF"/>
    <w:rsid w:val="00C519DA"/>
    <w:rsid w:val="00C51F67"/>
    <w:rsid w:val="00C5212F"/>
    <w:rsid w:val="00C5255A"/>
    <w:rsid w:val="00C52E52"/>
    <w:rsid w:val="00C54944"/>
    <w:rsid w:val="00C55136"/>
    <w:rsid w:val="00C60580"/>
    <w:rsid w:val="00C60991"/>
    <w:rsid w:val="00C60C79"/>
    <w:rsid w:val="00C656CA"/>
    <w:rsid w:val="00C6624F"/>
    <w:rsid w:val="00C66BE0"/>
    <w:rsid w:val="00C66D99"/>
    <w:rsid w:val="00C6738E"/>
    <w:rsid w:val="00C70459"/>
    <w:rsid w:val="00C7250C"/>
    <w:rsid w:val="00C73F1E"/>
    <w:rsid w:val="00C7656E"/>
    <w:rsid w:val="00C8488E"/>
    <w:rsid w:val="00C855DF"/>
    <w:rsid w:val="00C87B5A"/>
    <w:rsid w:val="00C91024"/>
    <w:rsid w:val="00C9284F"/>
    <w:rsid w:val="00C92CA0"/>
    <w:rsid w:val="00C932C4"/>
    <w:rsid w:val="00C97CE5"/>
    <w:rsid w:val="00CA023A"/>
    <w:rsid w:val="00CA0BA2"/>
    <w:rsid w:val="00CA18BE"/>
    <w:rsid w:val="00CA2251"/>
    <w:rsid w:val="00CA3067"/>
    <w:rsid w:val="00CA5330"/>
    <w:rsid w:val="00CA61E3"/>
    <w:rsid w:val="00CB06CD"/>
    <w:rsid w:val="00CB259D"/>
    <w:rsid w:val="00CB26C3"/>
    <w:rsid w:val="00CB3743"/>
    <w:rsid w:val="00CB4279"/>
    <w:rsid w:val="00CC1AB2"/>
    <w:rsid w:val="00CC3D0C"/>
    <w:rsid w:val="00CC509F"/>
    <w:rsid w:val="00CC5ACB"/>
    <w:rsid w:val="00CC6FEA"/>
    <w:rsid w:val="00CC7973"/>
    <w:rsid w:val="00CD00CF"/>
    <w:rsid w:val="00CD0BAE"/>
    <w:rsid w:val="00CD2A01"/>
    <w:rsid w:val="00CD3FDA"/>
    <w:rsid w:val="00CE0C87"/>
    <w:rsid w:val="00CE129D"/>
    <w:rsid w:val="00CE51AC"/>
    <w:rsid w:val="00CE6621"/>
    <w:rsid w:val="00CE798B"/>
    <w:rsid w:val="00CE7CB6"/>
    <w:rsid w:val="00CF3CF7"/>
    <w:rsid w:val="00CF415B"/>
    <w:rsid w:val="00CF4CEC"/>
    <w:rsid w:val="00CF5A64"/>
    <w:rsid w:val="00CF5B68"/>
    <w:rsid w:val="00CF6623"/>
    <w:rsid w:val="00CF6CF4"/>
    <w:rsid w:val="00CF733B"/>
    <w:rsid w:val="00CF73C2"/>
    <w:rsid w:val="00D013F8"/>
    <w:rsid w:val="00D02AD6"/>
    <w:rsid w:val="00D07675"/>
    <w:rsid w:val="00D114B9"/>
    <w:rsid w:val="00D13B10"/>
    <w:rsid w:val="00D14BF9"/>
    <w:rsid w:val="00D17483"/>
    <w:rsid w:val="00D17535"/>
    <w:rsid w:val="00D20E16"/>
    <w:rsid w:val="00D25D47"/>
    <w:rsid w:val="00D27940"/>
    <w:rsid w:val="00D31851"/>
    <w:rsid w:val="00D32965"/>
    <w:rsid w:val="00D34443"/>
    <w:rsid w:val="00D35A12"/>
    <w:rsid w:val="00D35FA6"/>
    <w:rsid w:val="00D3679B"/>
    <w:rsid w:val="00D41091"/>
    <w:rsid w:val="00D43C4A"/>
    <w:rsid w:val="00D44067"/>
    <w:rsid w:val="00D44E20"/>
    <w:rsid w:val="00D451B1"/>
    <w:rsid w:val="00D51480"/>
    <w:rsid w:val="00D52495"/>
    <w:rsid w:val="00D52538"/>
    <w:rsid w:val="00D559D1"/>
    <w:rsid w:val="00D57142"/>
    <w:rsid w:val="00D5769D"/>
    <w:rsid w:val="00D57DED"/>
    <w:rsid w:val="00D57E23"/>
    <w:rsid w:val="00D57E74"/>
    <w:rsid w:val="00D618A2"/>
    <w:rsid w:val="00D618AD"/>
    <w:rsid w:val="00D634D0"/>
    <w:rsid w:val="00D64747"/>
    <w:rsid w:val="00D65A4D"/>
    <w:rsid w:val="00D66D57"/>
    <w:rsid w:val="00D66F16"/>
    <w:rsid w:val="00D67948"/>
    <w:rsid w:val="00D724D4"/>
    <w:rsid w:val="00D72C35"/>
    <w:rsid w:val="00D75DA7"/>
    <w:rsid w:val="00D80D4C"/>
    <w:rsid w:val="00D820C9"/>
    <w:rsid w:val="00D820F4"/>
    <w:rsid w:val="00D82721"/>
    <w:rsid w:val="00D86A25"/>
    <w:rsid w:val="00D86C0C"/>
    <w:rsid w:val="00D918E5"/>
    <w:rsid w:val="00D91990"/>
    <w:rsid w:val="00D93543"/>
    <w:rsid w:val="00D93BF9"/>
    <w:rsid w:val="00DA417D"/>
    <w:rsid w:val="00DA4370"/>
    <w:rsid w:val="00DA4DF8"/>
    <w:rsid w:val="00DA5065"/>
    <w:rsid w:val="00DA6B9E"/>
    <w:rsid w:val="00DA76B7"/>
    <w:rsid w:val="00DA7AF4"/>
    <w:rsid w:val="00DB0E76"/>
    <w:rsid w:val="00DB197E"/>
    <w:rsid w:val="00DB5938"/>
    <w:rsid w:val="00DC0D79"/>
    <w:rsid w:val="00DC1D47"/>
    <w:rsid w:val="00DC34CD"/>
    <w:rsid w:val="00DC4EAD"/>
    <w:rsid w:val="00DC5966"/>
    <w:rsid w:val="00DD086F"/>
    <w:rsid w:val="00DD32C7"/>
    <w:rsid w:val="00DD34ED"/>
    <w:rsid w:val="00DD664B"/>
    <w:rsid w:val="00DD6B3F"/>
    <w:rsid w:val="00DD7CC5"/>
    <w:rsid w:val="00DE056F"/>
    <w:rsid w:val="00DE2A40"/>
    <w:rsid w:val="00DE4F84"/>
    <w:rsid w:val="00DE55BE"/>
    <w:rsid w:val="00DE59B1"/>
    <w:rsid w:val="00DE5E57"/>
    <w:rsid w:val="00DE7366"/>
    <w:rsid w:val="00DF037C"/>
    <w:rsid w:val="00DF105D"/>
    <w:rsid w:val="00DF5B0F"/>
    <w:rsid w:val="00DF7DA6"/>
    <w:rsid w:val="00E0094E"/>
    <w:rsid w:val="00E033DB"/>
    <w:rsid w:val="00E03747"/>
    <w:rsid w:val="00E04D52"/>
    <w:rsid w:val="00E06E0B"/>
    <w:rsid w:val="00E07BD0"/>
    <w:rsid w:val="00E10D96"/>
    <w:rsid w:val="00E1117E"/>
    <w:rsid w:val="00E115ED"/>
    <w:rsid w:val="00E131E9"/>
    <w:rsid w:val="00E1406D"/>
    <w:rsid w:val="00E1518A"/>
    <w:rsid w:val="00E161DB"/>
    <w:rsid w:val="00E270D9"/>
    <w:rsid w:val="00E27338"/>
    <w:rsid w:val="00E30B82"/>
    <w:rsid w:val="00E3148A"/>
    <w:rsid w:val="00E31EFF"/>
    <w:rsid w:val="00E35B38"/>
    <w:rsid w:val="00E36BEB"/>
    <w:rsid w:val="00E36C46"/>
    <w:rsid w:val="00E375C7"/>
    <w:rsid w:val="00E3761B"/>
    <w:rsid w:val="00E3782F"/>
    <w:rsid w:val="00E4162A"/>
    <w:rsid w:val="00E41B18"/>
    <w:rsid w:val="00E41C9E"/>
    <w:rsid w:val="00E437DD"/>
    <w:rsid w:val="00E43E44"/>
    <w:rsid w:val="00E44A8E"/>
    <w:rsid w:val="00E50640"/>
    <w:rsid w:val="00E518C0"/>
    <w:rsid w:val="00E53A72"/>
    <w:rsid w:val="00E566D7"/>
    <w:rsid w:val="00E56836"/>
    <w:rsid w:val="00E5767D"/>
    <w:rsid w:val="00E576F1"/>
    <w:rsid w:val="00E57DBB"/>
    <w:rsid w:val="00E57FAA"/>
    <w:rsid w:val="00E60390"/>
    <w:rsid w:val="00E60679"/>
    <w:rsid w:val="00E611A4"/>
    <w:rsid w:val="00E62596"/>
    <w:rsid w:val="00E64498"/>
    <w:rsid w:val="00E650B3"/>
    <w:rsid w:val="00E65C3D"/>
    <w:rsid w:val="00E66093"/>
    <w:rsid w:val="00E6615A"/>
    <w:rsid w:val="00E6749C"/>
    <w:rsid w:val="00E70BC2"/>
    <w:rsid w:val="00E7130D"/>
    <w:rsid w:val="00E72230"/>
    <w:rsid w:val="00E74A49"/>
    <w:rsid w:val="00E74E07"/>
    <w:rsid w:val="00E758EF"/>
    <w:rsid w:val="00E837BF"/>
    <w:rsid w:val="00E83A88"/>
    <w:rsid w:val="00E84184"/>
    <w:rsid w:val="00E864AD"/>
    <w:rsid w:val="00E913DC"/>
    <w:rsid w:val="00E91954"/>
    <w:rsid w:val="00E92AC8"/>
    <w:rsid w:val="00E9302F"/>
    <w:rsid w:val="00E9568F"/>
    <w:rsid w:val="00E95773"/>
    <w:rsid w:val="00E95A10"/>
    <w:rsid w:val="00E95CF3"/>
    <w:rsid w:val="00E95E93"/>
    <w:rsid w:val="00E9793D"/>
    <w:rsid w:val="00EA1FA3"/>
    <w:rsid w:val="00EA1FB7"/>
    <w:rsid w:val="00EA509D"/>
    <w:rsid w:val="00EB147F"/>
    <w:rsid w:val="00EB1F6E"/>
    <w:rsid w:val="00EB3571"/>
    <w:rsid w:val="00EB4F7E"/>
    <w:rsid w:val="00EC25A9"/>
    <w:rsid w:val="00EC2DC1"/>
    <w:rsid w:val="00EC3192"/>
    <w:rsid w:val="00EC4543"/>
    <w:rsid w:val="00EC4888"/>
    <w:rsid w:val="00EC5708"/>
    <w:rsid w:val="00EC7712"/>
    <w:rsid w:val="00ED0547"/>
    <w:rsid w:val="00ED1542"/>
    <w:rsid w:val="00ED42FF"/>
    <w:rsid w:val="00ED4633"/>
    <w:rsid w:val="00ED6560"/>
    <w:rsid w:val="00ED683E"/>
    <w:rsid w:val="00ED6C83"/>
    <w:rsid w:val="00EE2B2A"/>
    <w:rsid w:val="00EE3D0E"/>
    <w:rsid w:val="00EE4906"/>
    <w:rsid w:val="00EE497F"/>
    <w:rsid w:val="00EF12C4"/>
    <w:rsid w:val="00EF1788"/>
    <w:rsid w:val="00EF2C12"/>
    <w:rsid w:val="00EF406B"/>
    <w:rsid w:val="00EF48E5"/>
    <w:rsid w:val="00EF4F42"/>
    <w:rsid w:val="00EF5F80"/>
    <w:rsid w:val="00F00A70"/>
    <w:rsid w:val="00F00B38"/>
    <w:rsid w:val="00F019CA"/>
    <w:rsid w:val="00F03352"/>
    <w:rsid w:val="00F036A4"/>
    <w:rsid w:val="00F13315"/>
    <w:rsid w:val="00F13675"/>
    <w:rsid w:val="00F13762"/>
    <w:rsid w:val="00F15F33"/>
    <w:rsid w:val="00F161D0"/>
    <w:rsid w:val="00F165E4"/>
    <w:rsid w:val="00F16C41"/>
    <w:rsid w:val="00F24D06"/>
    <w:rsid w:val="00F30E37"/>
    <w:rsid w:val="00F35D4B"/>
    <w:rsid w:val="00F36731"/>
    <w:rsid w:val="00F376C8"/>
    <w:rsid w:val="00F401CB"/>
    <w:rsid w:val="00F405F3"/>
    <w:rsid w:val="00F413C6"/>
    <w:rsid w:val="00F4628D"/>
    <w:rsid w:val="00F47862"/>
    <w:rsid w:val="00F50281"/>
    <w:rsid w:val="00F50957"/>
    <w:rsid w:val="00F535AC"/>
    <w:rsid w:val="00F6067B"/>
    <w:rsid w:val="00F607C3"/>
    <w:rsid w:val="00F612C2"/>
    <w:rsid w:val="00F626CC"/>
    <w:rsid w:val="00F6336F"/>
    <w:rsid w:val="00F63391"/>
    <w:rsid w:val="00F63FDE"/>
    <w:rsid w:val="00F64A35"/>
    <w:rsid w:val="00F672BD"/>
    <w:rsid w:val="00F7039E"/>
    <w:rsid w:val="00F70B1D"/>
    <w:rsid w:val="00F713D4"/>
    <w:rsid w:val="00F747B6"/>
    <w:rsid w:val="00F752D4"/>
    <w:rsid w:val="00F80778"/>
    <w:rsid w:val="00F80C10"/>
    <w:rsid w:val="00F814CD"/>
    <w:rsid w:val="00F82B30"/>
    <w:rsid w:val="00F83ADC"/>
    <w:rsid w:val="00F87EFC"/>
    <w:rsid w:val="00F92AF7"/>
    <w:rsid w:val="00F9425E"/>
    <w:rsid w:val="00F94E1D"/>
    <w:rsid w:val="00FA0DC0"/>
    <w:rsid w:val="00FA2E42"/>
    <w:rsid w:val="00FA3ADE"/>
    <w:rsid w:val="00FA737C"/>
    <w:rsid w:val="00FB2242"/>
    <w:rsid w:val="00FB237B"/>
    <w:rsid w:val="00FB3876"/>
    <w:rsid w:val="00FB41ED"/>
    <w:rsid w:val="00FB424F"/>
    <w:rsid w:val="00FB437D"/>
    <w:rsid w:val="00FB5405"/>
    <w:rsid w:val="00FB73C2"/>
    <w:rsid w:val="00FB7D42"/>
    <w:rsid w:val="00FC0675"/>
    <w:rsid w:val="00FC1890"/>
    <w:rsid w:val="00FC6911"/>
    <w:rsid w:val="00FD05DB"/>
    <w:rsid w:val="00FD6816"/>
    <w:rsid w:val="00FD7541"/>
    <w:rsid w:val="00FE0664"/>
    <w:rsid w:val="00FE40CA"/>
    <w:rsid w:val="00FE529D"/>
    <w:rsid w:val="00FE5680"/>
    <w:rsid w:val="00FE67D8"/>
    <w:rsid w:val="00FE7A61"/>
    <w:rsid w:val="00FF3373"/>
    <w:rsid w:val="00FF3E3D"/>
    <w:rsid w:val="00FF517F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051A"/>
    <w:rPr>
      <w:rFonts w:eastAsia="Calibri"/>
      <w:b/>
      <w:bCs/>
      <w:sz w:val="24"/>
      <w:szCs w:val="24"/>
    </w:rPr>
  </w:style>
  <w:style w:type="paragraph" w:styleId="Titre1">
    <w:name w:val="heading 1"/>
    <w:basedOn w:val="Normal"/>
    <w:next w:val="Normal"/>
    <w:link w:val="Titre1Car1"/>
    <w:qFormat/>
    <w:rsid w:val="00605B3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5E47B3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05B3C"/>
    <w:pPr>
      <w:tabs>
        <w:tab w:val="center" w:pos="4536"/>
        <w:tab w:val="right" w:pos="9072"/>
      </w:tabs>
    </w:pPr>
    <w:rPr>
      <w:b w:val="0"/>
      <w:bCs w:val="0"/>
    </w:rPr>
  </w:style>
  <w:style w:type="paragraph" w:styleId="Notedebasdepage">
    <w:name w:val="footnote text"/>
    <w:basedOn w:val="Normal"/>
    <w:link w:val="NotedebasdepageCar"/>
    <w:semiHidden/>
    <w:rsid w:val="00605B3C"/>
    <w:rPr>
      <w:b w:val="0"/>
      <w:bCs w:val="0"/>
      <w:sz w:val="20"/>
      <w:szCs w:val="20"/>
    </w:rPr>
  </w:style>
  <w:style w:type="character" w:styleId="Appelnotedebasdep">
    <w:name w:val="footnote reference"/>
    <w:basedOn w:val="Policepardfaut"/>
    <w:semiHidden/>
    <w:rsid w:val="00605B3C"/>
    <w:rPr>
      <w:vertAlign w:val="superscript"/>
    </w:rPr>
  </w:style>
  <w:style w:type="character" w:styleId="Numrodepage">
    <w:name w:val="page number"/>
    <w:basedOn w:val="Policepardfaut"/>
    <w:rsid w:val="00605B3C"/>
  </w:style>
  <w:style w:type="paragraph" w:styleId="Titre">
    <w:name w:val="Title"/>
    <w:basedOn w:val="Normal"/>
    <w:link w:val="TitreCar"/>
    <w:qFormat/>
    <w:rsid w:val="00605B3C"/>
    <w:pPr>
      <w:jc w:val="center"/>
    </w:pPr>
    <w:rPr>
      <w:sz w:val="28"/>
      <w:szCs w:val="28"/>
    </w:rPr>
  </w:style>
  <w:style w:type="character" w:customStyle="1" w:styleId="Titre1Car1">
    <w:name w:val="Titre 1 Car1"/>
    <w:basedOn w:val="Policepardfaut"/>
    <w:link w:val="Titre1"/>
    <w:locked/>
    <w:rsid w:val="00605B3C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PieddepageCar">
    <w:name w:val="Pied de page Car"/>
    <w:basedOn w:val="Policepardfaut"/>
    <w:link w:val="Pieddepage"/>
    <w:locked/>
    <w:rsid w:val="00605B3C"/>
    <w:rPr>
      <w:sz w:val="24"/>
      <w:szCs w:val="24"/>
      <w:lang w:val="fr-FR" w:eastAsia="fr-FR" w:bidi="ar-SA"/>
    </w:rPr>
  </w:style>
  <w:style w:type="character" w:customStyle="1" w:styleId="NotedebasdepageCar">
    <w:name w:val="Note de bas de page Car"/>
    <w:basedOn w:val="Policepardfaut"/>
    <w:link w:val="Notedebasdepage"/>
    <w:semiHidden/>
    <w:locked/>
    <w:rsid w:val="00605B3C"/>
    <w:rPr>
      <w:lang w:val="fr-FR" w:eastAsia="fr-FR" w:bidi="ar-SA"/>
    </w:rPr>
  </w:style>
  <w:style w:type="character" w:customStyle="1" w:styleId="TitreCar">
    <w:name w:val="Titre Car"/>
    <w:basedOn w:val="Policepardfaut"/>
    <w:link w:val="Titre"/>
    <w:locked/>
    <w:rsid w:val="00605B3C"/>
    <w:rPr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rsid w:val="00605B3C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rsid w:val="00CB3743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CarCar1">
    <w:name w:val="Car Car1"/>
    <w:basedOn w:val="Policepardfaut"/>
    <w:semiHidden/>
    <w:locked/>
    <w:rsid w:val="005E47B3"/>
    <w:rPr>
      <w:lang w:val="fr-FR" w:eastAsia="fr-FR" w:bidi="ar-SA"/>
    </w:rPr>
  </w:style>
  <w:style w:type="character" w:customStyle="1" w:styleId="Titre3Car">
    <w:name w:val="Titre 3 Car"/>
    <w:basedOn w:val="Policepardfaut"/>
    <w:link w:val="Titre3"/>
    <w:semiHidden/>
    <w:rsid w:val="005E47B3"/>
    <w:rPr>
      <w:rFonts w:ascii="Cambria" w:hAnsi="Cambria"/>
      <w:b/>
      <w:bCs/>
      <w:sz w:val="26"/>
      <w:szCs w:val="26"/>
      <w:lang w:val="fr-FR" w:eastAsia="fr-FR" w:bidi="ar-SA"/>
    </w:rPr>
  </w:style>
  <w:style w:type="character" w:customStyle="1" w:styleId="CarCar38">
    <w:name w:val="Car Car38"/>
    <w:basedOn w:val="Policepardfaut"/>
    <w:semiHidden/>
    <w:locked/>
    <w:rsid w:val="00880C15"/>
    <w:rPr>
      <w:lang w:val="fr-FR" w:eastAsia="fr-FR" w:bidi="ar-SA"/>
    </w:rPr>
  </w:style>
  <w:style w:type="paragraph" w:styleId="Notedefin">
    <w:name w:val="endnote text"/>
    <w:basedOn w:val="Normal"/>
    <w:link w:val="NotedefinCar"/>
    <w:rsid w:val="00D86C0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D86C0C"/>
    <w:rPr>
      <w:b/>
      <w:bCs/>
    </w:rPr>
  </w:style>
  <w:style w:type="character" w:styleId="Appeldenotedefin">
    <w:name w:val="endnote reference"/>
    <w:basedOn w:val="Policepardfaut"/>
    <w:rsid w:val="00D86C0C"/>
    <w:rPr>
      <w:vertAlign w:val="superscript"/>
    </w:rPr>
  </w:style>
  <w:style w:type="character" w:customStyle="1" w:styleId="FootnoteTextChar">
    <w:name w:val="Footnote Text Char"/>
    <w:basedOn w:val="Policepardfaut"/>
    <w:semiHidden/>
    <w:locked/>
    <w:rsid w:val="008D051A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leChar">
    <w:name w:val="Title Char"/>
    <w:basedOn w:val="Policepardfaut"/>
    <w:locked/>
    <w:rsid w:val="008D051A"/>
    <w:rPr>
      <w:rFonts w:ascii="Times New Roman" w:hAnsi="Times New Roman" w:cs="Times New Roman"/>
      <w:b/>
      <w:bCs/>
      <w:sz w:val="28"/>
      <w:szCs w:val="28"/>
      <w:lang w:eastAsia="fr-FR"/>
    </w:rPr>
  </w:style>
  <w:style w:type="paragraph" w:styleId="Textedebulles">
    <w:name w:val="Balloon Text"/>
    <w:basedOn w:val="Normal"/>
    <w:semiHidden/>
    <w:rsid w:val="000D627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65C3D"/>
    <w:pPr>
      <w:ind w:left="720"/>
      <w:contextualSpacing/>
    </w:pPr>
  </w:style>
  <w:style w:type="paragraph" w:styleId="NormalWeb">
    <w:name w:val="Normal (Web)"/>
    <w:basedOn w:val="Normal"/>
    <w:uiPriority w:val="99"/>
    <w:rsid w:val="00B7687C"/>
    <w:pPr>
      <w:spacing w:before="100" w:beforeAutospacing="1" w:after="100" w:afterAutospacing="1"/>
    </w:pPr>
    <w:rPr>
      <w:rFonts w:ascii="Verdana" w:eastAsia="Times New Roman" w:hAnsi="Verdana"/>
      <w:b w:val="0"/>
      <w:bCs w:val="0"/>
      <w:color w:val="000066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D28A-3CD0-48A6-82D1-9F5C6908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1441</Words>
  <Characters>7926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Rabat, le 3 février 2009</vt:lpstr>
    </vt:vector>
  </TitlesOfParts>
  <Company>HCP</Company>
  <LinksUpToDate>false</LinksUpToDate>
  <CharactersWithSpaces>9349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Rabat, le 3 février 2009</dc:title>
  <dc:creator>Mr niho</dc:creator>
  <cp:lastModifiedBy>hcp</cp:lastModifiedBy>
  <cp:revision>4</cp:revision>
  <cp:lastPrinted>2012-02-15T11:15:00Z</cp:lastPrinted>
  <dcterms:created xsi:type="dcterms:W3CDTF">2012-02-15T14:06:00Z</dcterms:created>
  <dcterms:modified xsi:type="dcterms:W3CDTF">2012-02-17T11:57:00Z</dcterms:modified>
</cp:coreProperties>
</file>