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A0" w:rsidRDefault="003A0BA0" w:rsidP="00305222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3A0BA0" w:rsidRDefault="003A0BA0" w:rsidP="003A0BA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892060" w:rsidRDefault="007668B7" w:rsidP="0089206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</w:p>
    <w:p w:rsidR="00892060" w:rsidRDefault="00892060" w:rsidP="00892060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132D1C" w:rsidRDefault="00EE3236" w:rsidP="003A0BA0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132D1C" w:rsidRDefault="00EE3236" w:rsidP="00132D1C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نتائج بحث </w:t>
      </w:r>
      <w:r w:rsidR="0036550C"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لظرفية</w:t>
      </w:r>
      <w:r w:rsidR="00132D1C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EE3236" w:rsidRPr="00305222" w:rsidRDefault="00EE3236" w:rsidP="00132D1C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الفصل </w:t>
      </w:r>
      <w:r w:rsidR="0036550C"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الرابع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من</w:t>
      </w:r>
      <w:r w:rsidR="00B26593"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سنة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5819C0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2011</w:t>
      </w:r>
    </w:p>
    <w:p w:rsidR="00EE3236" w:rsidRPr="00892060" w:rsidRDefault="00EE3236" w:rsidP="00D77812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AD4F15" w:rsidRPr="000F5040" w:rsidRDefault="00AD4F15" w:rsidP="00F168A5">
      <w:pPr>
        <w:bidi/>
        <w:spacing w:before="24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تبين نتائج </w:t>
      </w:r>
      <w:r w:rsidR="000F5040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البحث الدائم حول الظرفية لدى الأسر، المنجز من طرف</w:t>
      </w:r>
      <w:r w:rsidR="000F5040"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="000F5040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أن مؤشر ثقة الأسر قد سجل خلال الفصل الرابع من سنة 2011 </w:t>
      </w:r>
      <w:r w:rsidR="002026A4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ارتفاعا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قدر </w:t>
      </w:r>
      <w:r w:rsidR="002026A4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ب 9,</w:t>
      </w:r>
      <w:r w:rsidR="00132D1C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8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 </w:t>
      </w:r>
      <w:r w:rsidR="002026A4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نقاط مقارنة مع نفس الفصل من سنة 2010 في حين عرف انخفاضا طفيفا قدر ب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نقطتين مقارنة مع الفصل ال</w:t>
      </w:r>
      <w:r w:rsidR="002026A4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ثالث من 2011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E55400" w:rsidRDefault="00924F8C" w:rsidP="00924F8C">
      <w:pPr>
        <w:bidi/>
        <w:spacing w:before="24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الرابع من سنة 2011، </w:t>
      </w:r>
      <w:r w:rsidR="009F089E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="00393C8B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393C8B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93C8B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9F08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F089E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(غير معالج من التأثيرات </w:t>
      </w:r>
      <w:r w:rsidR="00E55400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الموسمية)</w:t>
      </w:r>
      <w:r w:rsidR="00E5540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9F08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84</w:t>
      </w:r>
      <w:r w:rsidR="009F089E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F08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5 نقطة </w:t>
      </w:r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74,7 نقطة</w:t>
      </w:r>
      <w:r w:rsidR="00202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02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proofErr w:type="gramStart"/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proofErr w:type="gramEnd"/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فصل من السنة </w:t>
      </w:r>
      <w:proofErr w:type="spellStart"/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proofErr w:type="spellEnd"/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5540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بذلك ا</w:t>
      </w:r>
      <w:r w:rsidR="00202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رتفاعا يقارب 10 نقاط.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بمستواه خلال الفصل السابق (86,5</w:t>
      </w:r>
      <w:r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نقطة) </w:t>
      </w:r>
      <w:r w:rsid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هذا</w:t>
      </w:r>
      <w:r w:rsid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393C8B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</w:t>
      </w:r>
      <w:r w:rsidR="00393C8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قدر بنقطتين.</w:t>
      </w:r>
    </w:p>
    <w:p w:rsidR="00650400" w:rsidRDefault="00650400" w:rsidP="00650400">
      <w:pPr>
        <w:bidi/>
        <w:jc w:val="both"/>
        <w:rPr>
          <w:rFonts w:cs="Simplified Arabic"/>
          <w:rtl/>
          <w:lang w:bidi="ar-MA"/>
        </w:rPr>
      </w:pPr>
    </w:p>
    <w:p w:rsidR="00B8267E" w:rsidRDefault="003D2522" w:rsidP="00892060">
      <w:pPr>
        <w:bidi/>
        <w:spacing w:line="276" w:lineRule="auto"/>
        <w:jc w:val="both"/>
        <w:rPr>
          <w:rFonts w:cs="Simplified Arabic"/>
          <w:noProof/>
          <w:rtl/>
        </w:rPr>
      </w:pPr>
      <w:r>
        <w:rPr>
          <w:rFonts w:cs="Simplified Arabic"/>
          <w:noProof/>
        </w:rPr>
        <w:drawing>
          <wp:inline distT="0" distB="0" distL="0" distR="0">
            <wp:extent cx="5924550" cy="3480054"/>
            <wp:effectExtent l="12192" t="6096" r="6858" b="0"/>
            <wp:docPr id="1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624" w:rsidRDefault="00152624" w:rsidP="00152624">
      <w:pPr>
        <w:bidi/>
        <w:jc w:val="both"/>
        <w:rPr>
          <w:rFonts w:cs="Simplified Arabic"/>
          <w:noProof/>
          <w:rtl/>
        </w:rPr>
      </w:pPr>
    </w:p>
    <w:p w:rsidR="00650400" w:rsidRDefault="00650400" w:rsidP="00650400">
      <w:pPr>
        <w:bidi/>
        <w:jc w:val="both"/>
        <w:rPr>
          <w:rFonts w:cs="Simplified Arabic"/>
          <w:noProof/>
        </w:rPr>
      </w:pPr>
    </w:p>
    <w:p w:rsidR="00A530FE" w:rsidRDefault="00A530FE" w:rsidP="00A530FE">
      <w:pPr>
        <w:bidi/>
        <w:jc w:val="both"/>
        <w:rPr>
          <w:rFonts w:cs="Simplified Arabic"/>
          <w:noProof/>
          <w:rtl/>
        </w:rPr>
      </w:pPr>
    </w:p>
    <w:p w:rsidR="00924F8C" w:rsidRDefault="00924F8C" w:rsidP="00924F8C">
      <w:pPr>
        <w:bidi/>
        <w:jc w:val="both"/>
        <w:rPr>
          <w:rFonts w:cs="Simplified Arabic"/>
          <w:noProof/>
        </w:rPr>
      </w:pPr>
    </w:p>
    <w:p w:rsidR="00A530FE" w:rsidRDefault="00A530FE" w:rsidP="00A530FE">
      <w:pPr>
        <w:bidi/>
        <w:jc w:val="both"/>
        <w:rPr>
          <w:rFonts w:cs="Simplified Arabic"/>
          <w:noProof/>
          <w:rtl/>
        </w:rPr>
      </w:pPr>
    </w:p>
    <w:p w:rsidR="00A4667A" w:rsidRDefault="00DE73E0" w:rsidP="00A530FE">
      <w:pPr>
        <w:pStyle w:val="Paragraphedeliste"/>
        <w:widowControl/>
        <w:numPr>
          <w:ilvl w:val="0"/>
          <w:numId w:val="13"/>
        </w:numPr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 w:rsid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C3227C" w:rsidRPr="00DE73E0" w:rsidRDefault="00C3227C" w:rsidP="00A530FE">
      <w:pPr>
        <w:pStyle w:val="Paragraphedeliste"/>
        <w:widowControl/>
        <w:autoSpaceDE/>
        <w:autoSpaceDN/>
        <w:bidi/>
        <w:adjustRightInd/>
        <w:spacing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0F5040" w:rsidRPr="003E265E" w:rsidRDefault="000F5040" w:rsidP="00A530FE">
      <w:pPr>
        <w:pStyle w:val="Paragraphedeliste"/>
        <w:widowControl/>
        <w:numPr>
          <w:ilvl w:val="1"/>
          <w:numId w:val="13"/>
        </w:numPr>
        <w:autoSpaceDE/>
        <w:autoSpaceDN/>
        <w:bidi/>
        <w:adjustRightInd/>
        <w:spacing w:after="200" w:line="380" w:lineRule="exact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لمعيشة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بالمغرب: </w:t>
      </w:r>
      <w:r w:rsidR="00132D1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تحسن </w:t>
      </w:r>
      <w:proofErr w:type="gramStart"/>
      <w:r w:rsidR="00132D1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مرتقب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0F5040" w:rsidRDefault="00132D1C" w:rsidP="00A530FE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الرابع من سنة 2011، 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عبرت الأسر 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>عن تصورات أكثر تفاؤلا بخصوص التطور المستقبل</w:t>
      </w:r>
      <w:r w:rsidR="000F5040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ي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لمستوى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المعيشة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 بالمقارنة مع نفس 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الفترة من 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2010 أو مع 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ارتفع 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24</w:t>
      </w:r>
      <w:proofErr w:type="gramStart"/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proofErr w:type="gramEnd"/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و </w:t>
      </w:r>
      <w:r w:rsidR="000F5040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0F5040">
        <w:rPr>
          <w:rFonts w:ascii="Times New Roman" w:hAnsi="Times New Roman" w:cs="Simplified Arabic" w:hint="cs"/>
          <w:sz w:val="28"/>
          <w:szCs w:val="28"/>
          <w:rtl/>
          <w:lang w:bidi="ar-MA"/>
        </w:rPr>
        <w:t>3 نقطة على التوالي.</w:t>
      </w:r>
    </w:p>
    <w:p w:rsidR="000F5040" w:rsidRDefault="000F5040" w:rsidP="00A530FE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فيما يخص التطور السابق لمستوى المعيشة،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تحسنت آراء الأسر مقارنة مع نفس الفصل من 2010 (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 ب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17 نقطة) في حين 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 رصيد هذا المؤشر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72D47">
        <w:rPr>
          <w:rFonts w:ascii="Times New Roman" w:hAnsi="Times New Roman" w:cs="Simplified Arabic" w:hint="cs"/>
          <w:sz w:val="28"/>
          <w:szCs w:val="28"/>
          <w:rtl/>
          <w:lang w:bidi="ar-MA"/>
        </w:rPr>
        <w:t>ب 6</w:t>
      </w:r>
      <w:proofErr w:type="gramStart"/>
      <w:r w:rsidR="00472D47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72D47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proofErr w:type="gramEnd"/>
      <w:r w:rsidR="00472D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الثالث </w:t>
      </w:r>
      <w:r w:rsidR="00BC74D9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0F5040" w:rsidRDefault="003D2522" w:rsidP="000F5040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>
        <w:rPr>
          <w:rFonts w:ascii="Times New Roman" w:hAnsi="Times New Roman" w:cs="Simplified Arabic"/>
          <w:b/>
          <w:bCs/>
          <w:noProof/>
          <w:sz w:val="30"/>
          <w:szCs w:val="30"/>
        </w:rPr>
        <w:drawing>
          <wp:inline distT="0" distB="0" distL="0" distR="0">
            <wp:extent cx="5543677" cy="2746629"/>
            <wp:effectExtent l="12192" t="6096" r="6731" b="0"/>
            <wp:docPr id="2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2467" w:rsidRPr="00DC2D0E" w:rsidRDefault="005657AF" w:rsidP="00A530FE">
      <w:pPr>
        <w:pStyle w:val="Paragraphedeliste"/>
        <w:widowControl/>
        <w:numPr>
          <w:ilvl w:val="0"/>
          <w:numId w:val="8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</w:t>
      </w:r>
      <w:proofErr w:type="gramEnd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4F342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البطالة: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توقعات أقل </w:t>
      </w:r>
      <w:proofErr w:type="spell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حدة</w:t>
      </w:r>
      <w:proofErr w:type="spellEnd"/>
      <w:r w:rsidR="006D2467" w:rsidRPr="00DC2D0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2A048C" w:rsidRDefault="00BB33CF" w:rsidP="00924F8C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</w:t>
      </w:r>
      <w:r w:rsidR="009775FB">
        <w:rPr>
          <w:rFonts w:ascii="Times New Roman" w:hAnsi="Times New Roman" w:cs="Simplified Arabic" w:hint="cs"/>
          <w:sz w:val="28"/>
          <w:szCs w:val="28"/>
          <w:rtl/>
          <w:lang w:bidi="ar-MA"/>
        </w:rPr>
        <w:t>رابع</w:t>
      </w:r>
      <w:r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</w:t>
      </w:r>
      <w:r w:rsidR="003E5AFB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2011</w:t>
      </w:r>
      <w:r w:rsidR="003E5A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13A9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ستة أسر من كل عشرة </w:t>
      </w:r>
      <w:r w:rsidR="00913A9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913A94">
        <w:rPr>
          <w:rFonts w:ascii="Times New Roman" w:hAnsi="Times New Roman" w:cs="Simplified Arabic" w:hint="cs"/>
          <w:sz w:val="28"/>
          <w:szCs w:val="28"/>
          <w:rtl/>
          <w:lang w:bidi="ar-MA"/>
        </w:rPr>
        <w:t>60</w:t>
      </w:r>
      <w:proofErr w:type="gramStart"/>
      <w:r w:rsidR="00913A9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57AF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13A9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13A9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proofErr w:type="gramEnd"/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13A9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13A9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913A9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المقبلة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>. و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بما أن 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>18</w:t>
      </w:r>
      <w:proofErr w:type="gramStart"/>
      <w:r w:rsidR="009D773C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9D773C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تتوقع عكس ذلك، فقد استقر </w:t>
      </w:r>
      <w:r w:rsidR="009D773C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</w:t>
      </w:r>
      <w:r w:rsidR="009D773C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ي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مستوى سلبي يقدر ب </w:t>
      </w:r>
      <w:r w:rsidR="009D773C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>41</w:t>
      </w:r>
      <w:r w:rsidR="009D773C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>-</w:t>
      </w:r>
      <w:r w:rsidR="009D773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نقطة، أي شبه استقرار 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</w:t>
      </w:r>
      <w:r w:rsidR="00132D1C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(41-) 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>وتحسن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ملحوظ مقارنة مع الفصل الرابع من 2010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حيث سجل</w:t>
      </w:r>
      <w:r w:rsidR="00E154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مستواه 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>52</w:t>
      </w:r>
      <w:r w:rsidR="002A048C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E154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2A048C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نقطة.</w:t>
      </w:r>
    </w:p>
    <w:p w:rsidR="001E6AEE" w:rsidRDefault="00943F3A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اقتناء</w:t>
      </w:r>
      <w:proofErr w:type="gramEnd"/>
      <w:r w:rsidR="00B95170" w:rsidRPr="00007D3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السلع المستديمة</w:t>
      </w:r>
      <w:r w:rsidR="00B9517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ظرف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غير ملائم</w:t>
      </w:r>
    </w:p>
    <w:p w:rsidR="002F110A" w:rsidRDefault="000841BB" w:rsidP="00924F8C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الرابع من 201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اعتبرت </w:t>
      </w:r>
      <w:r w:rsidR="00B9517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proofErr w:type="gramStart"/>
      <w:r w:rsidR="001E0A4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Pr="002F110A">
        <w:rPr>
          <w:rFonts w:ascii="Times New Roman" w:hAnsi="Times New Roman" w:cs="Simplified Arabic"/>
          <w:sz w:val="28"/>
          <w:szCs w:val="28"/>
          <w:lang w:bidi="ar-MA"/>
        </w:rPr>
        <w:t>%56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 w:rsidR="002F110A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 الظروف غير ملائمة للقيام بشراء سلع مستديمة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بينما اعتبرت 18% 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ذلك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وقد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38</w:t>
      </w:r>
      <w:proofErr w:type="gramStart"/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,5-</w:t>
      </w:r>
      <w:proofErr w:type="gramEnd"/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سجل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ا بذلك انخفاض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2,1 نقطة مقارنة مع 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سابق 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ارتفاعا ب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CC710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CC710E" w:rsidRPr="002F110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مقارنة مع نفس الفصل من السنة الماضية. </w:t>
      </w:r>
    </w:p>
    <w:p w:rsidR="00A530FE" w:rsidRDefault="00A530FE" w:rsidP="00A530FE">
      <w:pPr>
        <w:widowControl/>
        <w:autoSpaceDE/>
        <w:autoSpaceDN/>
        <w:bidi/>
        <w:adjustRightInd/>
        <w:spacing w:after="200" w:line="380" w:lineRule="exact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734C6" w:rsidRPr="00933B5C" w:rsidRDefault="00606F77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ال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المالية للأسر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: تدهور طفيف</w:t>
      </w:r>
      <w:r w:rsidR="00F734C6" w:rsidRPr="00933B5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A17517" w:rsidRDefault="00A17517" w:rsidP="00924F8C">
      <w:pPr>
        <w:widowControl/>
        <w:autoSpaceDE/>
        <w:autoSpaceDN/>
        <w:bidi/>
        <w:adjustRightInd/>
        <w:spacing w:after="200"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عبرت الأسر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المغربية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خلال الفصل الرابع من </w:t>
      </w:r>
      <w:r w:rsidR="003F54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2011،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عن آراء سلبية بخصوص وضعيته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 الحالية و</w:t>
      </w:r>
      <w:r w:rsidR="001E0A4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كذا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تطورها السابق </w:t>
      </w:r>
      <w:r w:rsidR="001E0A4E">
        <w:rPr>
          <w:rFonts w:ascii="Times New Roman" w:hAnsi="Times New Roman" w:cs="Simplified Arabic" w:hint="cs"/>
          <w:sz w:val="28"/>
          <w:szCs w:val="28"/>
          <w:rtl/>
          <w:lang w:bidi="ar-MA"/>
        </w:rPr>
        <w:t>و المستقبلي حيث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انخفضت أرصدة هذه المؤشرات ب 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proofErr w:type="gramStart"/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End"/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3</w:t>
      </w:r>
      <w:r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 ن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على التوالي 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مع الفصل السابق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56DFF" w:rsidRDefault="00A17517" w:rsidP="00A530FE">
      <w:pPr>
        <w:widowControl/>
        <w:autoSpaceDE/>
        <w:autoSpaceDN/>
        <w:bidi/>
        <w:adjustRightInd/>
        <w:spacing w:after="200"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بالمقارنة مع 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الفصل من سنة 20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10، </w:t>
      </w:r>
      <w:r w:rsidR="001E0A4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فتبقى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آراء الأسر أكثر إيجابية 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إذ ارتفعت هذه الأرصدة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على التوالي 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proofErr w:type="gramStart"/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proofErr w:type="gramEnd"/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و 3</w:t>
      </w:r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و 4</w:t>
      </w:r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6 ن</w:t>
      </w:r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2E438D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2E438D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C56DFF" w:rsidRPr="00F734C6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530FE" w:rsidRDefault="00A530FE" w:rsidP="00A530FE">
      <w:pPr>
        <w:widowControl/>
        <w:autoSpaceDE/>
        <w:autoSpaceDN/>
        <w:bidi/>
        <w:adjustRightInd/>
        <w:spacing w:line="380" w:lineRule="exact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F194B" w:rsidRDefault="003D2522" w:rsidP="001F194B">
      <w:pPr>
        <w:widowControl/>
        <w:autoSpaceDE/>
        <w:autoSpaceDN/>
        <w:bidi/>
        <w:adjustRightInd/>
        <w:spacing w:after="200"/>
        <w:ind w:firstLine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noProof/>
          <w:sz w:val="28"/>
          <w:szCs w:val="28"/>
        </w:rPr>
        <w:drawing>
          <wp:inline distT="0" distB="0" distL="0" distR="0">
            <wp:extent cx="5440680" cy="2604070"/>
            <wp:effectExtent l="19050" t="0" r="26670" b="5780"/>
            <wp:docPr id="3" name="Graphiqu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123D" w:rsidRPr="00A343E7" w:rsidRDefault="0077123D" w:rsidP="00A530FE">
      <w:pPr>
        <w:widowControl/>
        <w:autoSpaceDE/>
        <w:autoSpaceDN/>
        <w:bidi/>
        <w:adjustRightInd/>
        <w:spacing w:before="240" w:after="200" w:line="380" w:lineRule="exact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2. تطور مؤشرات 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</w:p>
    <w:p w:rsidR="0077123D" w:rsidRDefault="0077123D" w:rsidP="00924F8C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</w:t>
      </w:r>
      <w:proofErr w:type="gramEnd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المؤشرات السبع المكونة لمؤشر الثقة للأسر، يوفر البحث معطيات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مجالات أخرى. وفيما يلي النتائج المتعلقة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</w:t>
      </w:r>
      <w:proofErr w:type="spellStart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الأثمنة</w:t>
      </w:r>
      <w:proofErr w:type="spellEnd"/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وقدرة الأسر على الادخار وكذا تطور جودة الخدمات الإدارية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وخدمات الصحة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التعليم وتطور وضعية حقوق الإنسان والبيئة.</w:t>
      </w:r>
    </w:p>
    <w:p w:rsidR="00C56DFF" w:rsidRPr="0077123D" w:rsidRDefault="00052AEE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تصور التضخم: </w:t>
      </w:r>
      <w:r w:rsidR="00943F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توقع حاد ل</w:t>
      </w:r>
      <w:r w:rsidR="00D679C0"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ارتفاع</w:t>
      </w:r>
      <w:r w:rsidR="00C56DFF"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C56DFF"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</w:t>
      </w:r>
      <w:r w:rsidR="00797D11"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ثمنة</w:t>
      </w:r>
      <w:proofErr w:type="spellEnd"/>
      <w:r w:rsidR="00797D11" w:rsidRPr="0077123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B5066A" w:rsidRDefault="0063161E" w:rsidP="00924F8C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تمثل </w:t>
      </w:r>
      <w:r w:rsidR="00615CB3">
        <w:rPr>
          <w:rFonts w:ascii="Times New Roman" w:hAnsi="Times New Roman" w:cs="Simplified Arabic" w:hint="cs"/>
          <w:sz w:val="28"/>
          <w:szCs w:val="28"/>
          <w:rtl/>
          <w:lang w:bidi="ar-MA"/>
        </w:rPr>
        <w:t>للأسر</w:t>
      </w:r>
      <w:r w:rsidR="004860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انطباع بأن</w:t>
      </w:r>
      <w:r w:rsidR="00486045" w:rsidRPr="004860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486045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="00486045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</w:t>
      </w:r>
      <w:r w:rsidR="0048604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 ارتفعت وسوف ترتفع </w:t>
      </w:r>
      <w:r w:rsidR="00486045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12 شهرا القادمة</w:t>
      </w:r>
      <w:r w:rsidR="00486045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B2B08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>قد بقيت نسبة الأسر التي تتوقع ارتفاع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>ا في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proofErr w:type="spellStart"/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B5066A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</w:t>
      </w:r>
      <w:r w:rsidR="00B5066A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لال 12 شهرا 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الموالية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مستقرة في</w:t>
      </w:r>
      <w:r w:rsidR="00615CB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75,8</w:t>
      </w:r>
      <w:r w:rsidR="009F1E47" w:rsidRPr="0046378A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ما بين ا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>لفصل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ين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الثالث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والرابع 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سنة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2011. 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قدرت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هذه النسبة 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نفس الفترة من 201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>73</w:t>
      </w:r>
      <w:proofErr w:type="gramStart"/>
      <w:r w:rsidR="00B5066A">
        <w:rPr>
          <w:rFonts w:ascii="Times New Roman" w:hAnsi="Times New Roman" w:cs="Simplified Arabic" w:hint="cs"/>
          <w:sz w:val="28"/>
          <w:szCs w:val="28"/>
          <w:rtl/>
          <w:lang w:bidi="ar-MA"/>
        </w:rPr>
        <w:t>,1</w:t>
      </w:r>
      <w:r w:rsidR="00B5066A" w:rsidRPr="0046378A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9F1E4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9F1E47" w:rsidRDefault="009F1E47" w:rsidP="00A530FE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فيما يخص الانطباع حول التطور السابق لهذه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ف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تعتقد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قرابة تسع أسر من كل عشرة أن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أثمنة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الغذائية  سجلت ارتفاعا خلال </w:t>
      </w:r>
      <w:r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12 شهرا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التي سبقت تاريخ إجراء البحث.</w:t>
      </w:r>
    </w:p>
    <w:p w:rsidR="009B58B9" w:rsidRDefault="003D2522" w:rsidP="00892060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/>
          <w:noProof/>
          <w:sz w:val="28"/>
          <w:szCs w:val="28"/>
        </w:rPr>
        <w:lastRenderedPageBreak/>
        <w:drawing>
          <wp:inline distT="0" distB="0" distL="0" distR="0">
            <wp:extent cx="2631186" cy="2746629"/>
            <wp:effectExtent l="12192" t="6096" r="4572" b="0"/>
            <wp:docPr id="4" name="Graphiqu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92060">
        <w:rPr>
          <w:rFonts w:ascii="Times New Roman" w:hAnsi="Times New Roman" w:cs="Simplified Arabic"/>
          <w:sz w:val="28"/>
          <w:szCs w:val="28"/>
          <w:lang w:bidi="ar-MA"/>
        </w:rPr>
        <w:t xml:space="preserve">     </w:t>
      </w:r>
      <w:r>
        <w:rPr>
          <w:rFonts w:ascii="Times New Roman" w:hAnsi="Times New Roman" w:cs="Simplified Arabic"/>
          <w:noProof/>
          <w:sz w:val="28"/>
          <w:szCs w:val="28"/>
        </w:rPr>
        <w:drawing>
          <wp:inline distT="0" distB="0" distL="0" distR="0">
            <wp:extent cx="2823210" cy="2746629"/>
            <wp:effectExtent l="12192" t="6096" r="3048" b="0"/>
            <wp:docPr id="5" name="Graphiqu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2FC2" w:rsidRPr="00007D34" w:rsidRDefault="00147146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القدرة على الادخار: ال</w:t>
      </w:r>
      <w:r w:rsidR="007E6B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أسر</w:t>
      </w:r>
      <w:r w:rsidR="003149A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</w:t>
      </w:r>
      <w:r w:rsidR="003149A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E6B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تشا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ؤ</w:t>
      </w:r>
      <w:r w:rsidR="007E6B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943F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مستمر</w:t>
      </w:r>
      <w:r w:rsidR="007E6BF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726A70" w:rsidRDefault="00615CB3" w:rsidP="00A530FE">
      <w:pPr>
        <w:pStyle w:val="Paragraphedeliste"/>
        <w:widowControl/>
        <w:autoSpaceDE/>
        <w:autoSpaceDN/>
        <w:bidi/>
        <w:adjustRightInd/>
        <w:spacing w:line="380" w:lineRule="exact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26A70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تظل الأسر بصفة عامة متشائمة بخصوص قدرتها على الادخار خلال الأشهر المقبلة 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حيث أن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17</w:t>
      </w:r>
      <w:proofErr w:type="gramStart"/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527B5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فقط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الرابع 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2011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، ت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عتبر نفسه</w:t>
      </w:r>
      <w:r w:rsidR="00B527B5" w:rsidRPr="00FE56B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ا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قادرة على الادخار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F54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تبقى</w:t>
      </w:r>
      <w:r w:rsidR="003F54D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هذه النسبة 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شبه متساوية مع تلك المسجلة خلال الفصل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proofErr w:type="gramStart"/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527B5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) وكذلك خلال 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</w:t>
      </w:r>
      <w:r w:rsidR="00C5211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21D3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2010 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B527B5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726A70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26A7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726A70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26A70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527B5">
        <w:rPr>
          <w:rFonts w:ascii="Times New Roman" w:hAnsi="Times New Roman" w:cs="Simplified Arabic" w:hint="cs"/>
          <w:sz w:val="28"/>
          <w:szCs w:val="28"/>
          <w:rtl/>
          <w:lang w:bidi="ar-MA"/>
        </w:rPr>
        <w:t>).</w:t>
      </w:r>
    </w:p>
    <w:p w:rsidR="00B527B5" w:rsidRDefault="00B527B5" w:rsidP="00A530FE">
      <w:pPr>
        <w:pStyle w:val="Paragraphedeliste"/>
        <w:widowControl/>
        <w:autoSpaceDE/>
        <w:autoSpaceDN/>
        <w:bidi/>
        <w:adjustRightInd/>
        <w:spacing w:line="380" w:lineRule="exact"/>
        <w:ind w:left="283" w:hanging="283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BD383B" w:rsidRDefault="00924F8C" w:rsidP="00A530FE">
      <w:pPr>
        <w:pStyle w:val="Paragraphedeliste"/>
        <w:widowControl/>
        <w:autoSpaceDE/>
        <w:autoSpaceDN/>
        <w:bidi/>
        <w:adjustRightInd/>
        <w:spacing w:line="380" w:lineRule="exact"/>
        <w:ind w:left="0"/>
        <w:rPr>
          <w:rFonts w:ascii="Times New Roman" w:hAnsi="Times New Roman" w:cs="Simplified Arabic"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جهة أخرى 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برز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تحليل التطور الحاصل ما بين 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>2010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201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لآراء الأسر حول </w:t>
      </w:r>
      <w:r w:rsidR="00BD383B" w:rsidRPr="00007D34">
        <w:rPr>
          <w:rFonts w:ascii="Times New Roman" w:hAnsi="Times New Roman" w:cs="Simplified Arabic"/>
          <w:sz w:val="28"/>
          <w:szCs w:val="28"/>
          <w:rtl/>
          <w:lang w:bidi="ar-MA"/>
        </w:rPr>
        <w:t>وضعية حقوق الإنسان والبيئة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كذا 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جودة بعض الخدمات العمومية </w:t>
      </w:r>
      <w:r w:rsidR="00BD383B">
        <w:rPr>
          <w:rFonts w:ascii="Times New Roman" w:hAnsi="Times New Roman" w:cs="Simplified Arabic" w:hint="cs"/>
          <w:sz w:val="28"/>
          <w:szCs w:val="28"/>
          <w:rtl/>
          <w:lang w:bidi="ar-MA"/>
        </w:rPr>
        <w:t>ما يلي</w:t>
      </w:r>
      <w:r w:rsidR="00BD383B" w:rsidRPr="00007D34">
        <w:rPr>
          <w:rFonts w:ascii="Times New Roman" w:hAnsi="Times New Roman" w:cs="Simplified Arabic" w:hint="cs"/>
          <w:sz w:val="28"/>
          <w:szCs w:val="28"/>
          <w:rtl/>
          <w:lang w:bidi="ar-MA"/>
        </w:rPr>
        <w:t>:</w:t>
      </w:r>
    </w:p>
    <w:p w:rsidR="00BD383B" w:rsidRPr="00FE56B2" w:rsidRDefault="00BD383B" w:rsidP="00A530FE">
      <w:pPr>
        <w:pStyle w:val="Paragraphedeliste"/>
        <w:widowControl/>
        <w:autoSpaceDE/>
        <w:autoSpaceDN/>
        <w:bidi/>
        <w:adjustRightInd/>
        <w:spacing w:line="380" w:lineRule="exact"/>
        <w:ind w:left="283" w:hanging="283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8922F1" w:rsidRPr="00BD383B" w:rsidRDefault="00BD383B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BD383B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وضعية حقوق الإنسان</w:t>
      </w:r>
      <w:r w:rsidRPr="00BD383B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: </w:t>
      </w:r>
      <w:proofErr w:type="gramStart"/>
      <w:r w:rsidR="00943F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آراء</w:t>
      </w:r>
      <w:proofErr w:type="gramEnd"/>
      <w:r w:rsidR="00943F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إيجابية</w:t>
      </w:r>
      <w:r w:rsidR="00EA3909" w:rsidRPr="00BD383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470C38" w:rsidRDefault="00BD383B" w:rsidP="00A530FE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2011، 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ستة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بين عشرة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(61</w:t>
      </w:r>
      <w:proofErr w:type="gramStart"/>
      <w:r w:rsidR="00135EDD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35EDD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proofErr w:type="gramEnd"/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وضعية </w:t>
      </w:r>
      <w:r w:rsidR="00135EDD"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>حقوق الإنسان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بالمغرب قد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28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تظن أنها لم ت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أي تغيير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فيما تظن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>أن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ها 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تراجعت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>. و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بهذا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 رصيد هذا المؤشر في 50</w:t>
      </w:r>
      <w:proofErr w:type="gramStart"/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24F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13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بذلك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ارتفاعا ب 12</w:t>
      </w:r>
      <w:r w:rsidR="003E5AFB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E5AFB">
        <w:rPr>
          <w:rFonts w:ascii="Times New Roman" w:hAnsi="Times New Roman" w:cs="Simplified Arabic" w:hint="cs"/>
          <w:sz w:val="28"/>
          <w:szCs w:val="28"/>
          <w:rtl/>
          <w:lang w:bidi="ar-MA"/>
        </w:rPr>
        <w:t>1 نقطة مقارنة مع مستواه خلال سنة 2010.</w:t>
      </w:r>
    </w:p>
    <w:p w:rsidR="001F00EB" w:rsidRDefault="001F00EB" w:rsidP="00A530FE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3E5AFB" w:rsidRPr="008F1A33" w:rsidRDefault="003E5AFB" w:rsidP="00924F8C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proofErr w:type="gramStart"/>
      <w:r w:rsidRPr="003E5AF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حماية</w:t>
      </w:r>
      <w:proofErr w:type="gramEnd"/>
      <w:r w:rsidRPr="003E5AFB"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  <w:t xml:space="preserve"> البيئة</w:t>
      </w:r>
      <w:r w:rsidRPr="003E5AF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943F3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 تحسن</w:t>
      </w:r>
    </w:p>
    <w:p w:rsidR="008F1A33" w:rsidRDefault="001D1850" w:rsidP="00A530FE">
      <w:pPr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تزايد عدد الأسر التي ترى تحسنا في وضعية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حماية</w:t>
      </w:r>
      <w:r w:rsidRPr="007A4C39">
        <w:rPr>
          <w:rFonts w:ascii="Times New Roman" w:hAnsi="Times New Roman" w:cs="Simplified Arabic"/>
          <w:sz w:val="28"/>
          <w:szCs w:val="28"/>
          <w:rtl/>
          <w:lang w:bidi="ar-MA"/>
        </w:rPr>
        <w:t xml:space="preserve"> البيئة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سنة 2011</w:t>
      </w:r>
      <w:r w:rsidR="00943F3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53</w:t>
      </w:r>
      <w:proofErr w:type="gramStart"/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49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2010.</w:t>
      </w:r>
    </w:p>
    <w:p w:rsidR="00805BC8" w:rsidRPr="00805BC8" w:rsidRDefault="00805BC8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="001D1850"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="001D1850"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proofErr w:type="gramEnd"/>
      <w:r w:rsidR="001D1850"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الخدمات الإدارية</w:t>
      </w:r>
      <w:r w:rsid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C3227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تراجع طفيف</w:t>
      </w:r>
    </w:p>
    <w:p w:rsidR="00805BC8" w:rsidRDefault="00805BC8" w:rsidP="00D91003">
      <w:pPr>
        <w:pStyle w:val="Paragraphedeliste"/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2011،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سجل رأي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الأسر بخصوص 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Pr="007A4C39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Pr="007A4C3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الخدمات الإدارية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تراجعا طفيفا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إذ 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تظن أسرة من بين اثنتين (50</w:t>
      </w:r>
      <w:proofErr w:type="gramStart"/>
      <w:r w:rsidR="003839D8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839D8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 w:rsidR="003839D8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53</w:t>
      </w:r>
      <w:r w:rsidR="003839D8"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3839D8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2010) 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قد ت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، واحدة من بين أربعة (مقابل 21</w:t>
      </w:r>
      <w:r w:rsidR="003839D8"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>) تظن أنها بقيت مستقرة في حين ي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ظن 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باق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</w:t>
      </w:r>
      <w:r w:rsidR="00D910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تراجعت</w:t>
      </w:r>
      <w:r w:rsidR="003839D8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530FE" w:rsidRDefault="00A530FE" w:rsidP="00A530FE">
      <w:pPr>
        <w:pStyle w:val="Paragraphedeliste"/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3227C" w:rsidRPr="00805BC8" w:rsidRDefault="00C3227C" w:rsidP="00A530FE">
      <w:pPr>
        <w:pStyle w:val="Paragraphedeliste"/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</w:p>
    <w:p w:rsidR="003839D8" w:rsidRPr="003839D8" w:rsidRDefault="003839D8" w:rsidP="00A530FE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proofErr w:type="gramStart"/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ج</w:t>
      </w:r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ود</w:t>
      </w:r>
      <w:r w:rsidRPr="001D1850"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proofErr w:type="gramEnd"/>
      <w:r w:rsidRPr="001D1850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خدمات التعليم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و</w:t>
      </w:r>
      <w:r w:rsidRPr="003839D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الصحة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C3227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في تراجع</w:t>
      </w:r>
    </w:p>
    <w:p w:rsidR="001D1850" w:rsidRDefault="00644182" w:rsidP="00C5211C">
      <w:pPr>
        <w:pStyle w:val="Paragraphedeliste"/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سنة 2011،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ظن 41</w:t>
      </w:r>
      <w:proofErr w:type="gramStart"/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(مقابل 37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2010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أن</w:t>
      </w:r>
      <w:r w:rsidR="00C3227C"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>جود</w:t>
      </w:r>
      <w:r w:rsidRPr="0064418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Pr="0064418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خدمات التعليم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قد تدهورت 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26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(مقابل 26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C5211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أنها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قد استقرت في</w:t>
      </w:r>
      <w:r w:rsidR="00C5211C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يظن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31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(مقابل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36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) </w:t>
      </w:r>
      <w:r w:rsidR="00C3227C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أنها قد تحسنت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15203B" w:rsidRPr="008F1A33" w:rsidRDefault="0015203B" w:rsidP="00A530FE">
      <w:pPr>
        <w:pStyle w:val="Paragraphedeliste"/>
        <w:widowControl/>
        <w:autoSpaceDE/>
        <w:autoSpaceDN/>
        <w:bidi/>
        <w:adjustRightInd/>
        <w:spacing w:after="200" w:line="380" w:lineRule="exact"/>
        <w:ind w:left="141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فيما يخص </w:t>
      </w:r>
      <w:r w:rsidRPr="0015203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الخدمات الصحية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،  فقد تزايد عدد الأسر التي ترى تدهورا لجودتها (46</w:t>
      </w:r>
      <w:proofErr w:type="gramStart"/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2011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44</w:t>
      </w:r>
      <w:r w:rsidRPr="00FE56B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4  </w:t>
      </w:r>
      <w:r w:rsidRPr="00FE56B2">
        <w:rPr>
          <w:rFonts w:ascii="Times New Roman" w:hAnsi="Times New Roman" w:cs="Simplified Arabic"/>
          <w:sz w:val="28"/>
          <w:szCs w:val="28"/>
          <w:lang w:bidi="ar-MA"/>
        </w:rPr>
        <w:t>%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2010).</w:t>
      </w:r>
    </w:p>
    <w:p w:rsidR="007A4C39" w:rsidRDefault="00AC5F55" w:rsidP="00A530FE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يلي تفصيل لنتائج مختلف </w:t>
      </w:r>
      <w:proofErr w:type="gramStart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المؤشرات</w:t>
      </w:r>
      <w:proofErr w:type="gramEnd"/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تذكير بأهم المفاهيم</w:t>
      </w:r>
      <w:r w:rsidR="00442D7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63161E" w:rsidRDefault="0063161E" w:rsidP="00A530FE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63EDA" w:rsidRDefault="00663EDA" w:rsidP="00663EDA">
      <w:pPr>
        <w:bidi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F09CA" w:rsidRDefault="00AC5F55" w:rsidP="00F52E29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تطور مؤشر الثقة للأسر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(رصيد الآراء)</w:t>
      </w:r>
    </w:p>
    <w:tbl>
      <w:tblPr>
        <w:tblW w:w="1093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696"/>
        <w:gridCol w:w="66"/>
        <w:gridCol w:w="490"/>
        <w:gridCol w:w="67"/>
        <w:gridCol w:w="489"/>
        <w:gridCol w:w="67"/>
        <w:gridCol w:w="610"/>
        <w:gridCol w:w="556"/>
        <w:gridCol w:w="556"/>
        <w:gridCol w:w="556"/>
        <w:gridCol w:w="557"/>
        <w:gridCol w:w="556"/>
        <w:gridCol w:w="556"/>
        <w:gridCol w:w="556"/>
        <w:gridCol w:w="557"/>
        <w:gridCol w:w="626"/>
        <w:gridCol w:w="556"/>
        <w:gridCol w:w="556"/>
        <w:gridCol w:w="627"/>
        <w:gridCol w:w="1637"/>
      </w:tblGrid>
      <w:tr w:rsidR="00D407D6" w:rsidRPr="00D407D6" w:rsidTr="00D407D6">
        <w:trPr>
          <w:trHeight w:val="322"/>
        </w:trPr>
        <w:tc>
          <w:tcPr>
            <w:tcW w:w="2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2011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2010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2009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2008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المؤشر</w:t>
            </w:r>
            <w:proofErr w:type="gramEnd"/>
          </w:p>
        </w:tc>
      </w:tr>
      <w:tr w:rsidR="00D407D6" w:rsidRPr="00D407D6" w:rsidTr="00D407D6">
        <w:trPr>
          <w:trHeight w:val="468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ف 1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07D6" w:rsidRPr="00D407D6" w:rsidTr="00D407D6">
        <w:trPr>
          <w:trHeight w:val="468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84,5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78,4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78,8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مؤشر الثقة للأسر المغربية</w:t>
            </w:r>
          </w:p>
        </w:tc>
      </w:tr>
      <w:tr w:rsidR="00D407D6" w:rsidRPr="00D407D6" w:rsidTr="00D407D6">
        <w:trPr>
          <w:trHeight w:val="468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-41,6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-41,0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-46,0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-52,4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-52,3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-61,0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-59,2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-51,0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-52,1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التطور المستقبلي للبطالة</w:t>
            </w:r>
          </w:p>
        </w:tc>
      </w:tr>
      <w:tr w:rsidR="00D407D6" w:rsidRPr="00D407D6" w:rsidTr="00D407D6">
        <w:trPr>
          <w:trHeight w:val="322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-20,2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-13,4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-17,0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-28,6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-36,7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-29,4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-25,2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-10,4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التطور السابق لمستوى المعيشة بصفة عامة</w:t>
            </w:r>
          </w:p>
        </w:tc>
      </w:tr>
      <w:tr w:rsidR="00D407D6" w:rsidRPr="00D407D6" w:rsidTr="00D407D6">
        <w:trPr>
          <w:trHeight w:val="322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13,1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11,9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18,1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0,4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14,4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آفاق تطور مستوى المعيشة بصفة عامة</w:t>
            </w:r>
          </w:p>
        </w:tc>
      </w:tr>
      <w:tr w:rsidR="00D407D6" w:rsidRPr="00D407D6" w:rsidTr="00D407D6">
        <w:trPr>
          <w:trHeight w:val="468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-38,5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-36,4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-39,0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-39,9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-44,3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-36,0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-34,8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-43,4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-41,8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-34,3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-30,0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فرص اقتناء السلع المستديمة</w:t>
            </w:r>
          </w:p>
        </w:tc>
      </w:tr>
      <w:tr w:rsidR="00D407D6" w:rsidRPr="00D407D6" w:rsidTr="00D407D6">
        <w:trPr>
          <w:trHeight w:val="468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-25,7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-24,3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-27,1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-30,6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-25,3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-28,3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-26,9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-31,3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-33,1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-34,4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-32,9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-33,0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الوضعية المالية الحالية للأسرة</w:t>
            </w:r>
          </w:p>
        </w:tc>
      </w:tr>
      <w:tr w:rsidR="00D407D6" w:rsidRPr="00D407D6" w:rsidTr="00D407D6">
        <w:trPr>
          <w:trHeight w:val="322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-9,8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-10,5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-13,4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-18,4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-11,8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التطور السابق للوضعية المالية للأسرة</w:t>
            </w:r>
          </w:p>
        </w:tc>
      </w:tr>
      <w:tr w:rsidR="00D407D6" w:rsidRPr="00D407D6" w:rsidTr="00D407D6">
        <w:trPr>
          <w:trHeight w:val="322"/>
        </w:trPr>
        <w:tc>
          <w:tcPr>
            <w:tcW w:w="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14,0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15,1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20,4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9,4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11,8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17,1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17,5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22,0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26,8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15,6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23,9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التطور المرتقب للوضعية المالية للأسرة</w:t>
            </w:r>
          </w:p>
        </w:tc>
      </w:tr>
      <w:tr w:rsidR="00D407D6" w:rsidRPr="00D407D6" w:rsidTr="00D407D6">
        <w:trPr>
          <w:trHeight w:val="468"/>
        </w:trPr>
        <w:tc>
          <w:tcPr>
            <w:tcW w:w="10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D407D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D407D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الأخرى</w:t>
            </w:r>
          </w:p>
        </w:tc>
      </w:tr>
      <w:tr w:rsidR="00D407D6" w:rsidRPr="00D407D6" w:rsidTr="00D407D6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-73,0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-72,6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-58,8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-73,4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-62,2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-46,5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-47,9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-50,9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-33,5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-34,9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-49,7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-77,7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-74,1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التطور المرتقب </w:t>
            </w:r>
            <w:proofErr w:type="spellStart"/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لاثمنة</w:t>
            </w:r>
            <w:proofErr w:type="spellEnd"/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D407D6" w:rsidRPr="00D407D6" w:rsidTr="00D407D6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-92,5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-89,9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-87,2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-95,5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-90,9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-89,7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-79,5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-83,3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-85,7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-87,2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-94,0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-96,2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-98,0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-95,9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-93,6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التطور السابق </w:t>
            </w:r>
            <w:proofErr w:type="spellStart"/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لاثمنة</w:t>
            </w:r>
            <w:proofErr w:type="spellEnd"/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المواد الغذائية</w:t>
            </w:r>
          </w:p>
        </w:tc>
      </w:tr>
      <w:tr w:rsidR="00D407D6" w:rsidRPr="00D407D6" w:rsidTr="00D407D6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-64,7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-64,9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-63,3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-61,7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-67,6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-58,5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-57,8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-57,1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-56,7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-61,3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</w:rPr>
              <w:t>-61,2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6" w:rsidRPr="00D407D6" w:rsidRDefault="00D407D6" w:rsidP="00D407D6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sz w:val="18"/>
                <w:szCs w:val="18"/>
              </w:rPr>
            </w:pPr>
            <w:r w:rsidRPr="00D407D6">
              <w:rPr>
                <w:rFonts w:asciiTheme="majorBidi" w:hAnsiTheme="majorBidi" w:cstheme="majorBidi"/>
                <w:sz w:val="18"/>
                <w:szCs w:val="18"/>
                <w:rtl/>
              </w:rPr>
              <w:t>قدرة الأسر على الادخار خلال الأشهر المقبلة</w:t>
            </w:r>
          </w:p>
        </w:tc>
      </w:tr>
    </w:tbl>
    <w:p w:rsidR="001F09CA" w:rsidRDefault="001F09CA" w:rsidP="001F09CA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1F09CA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A530FE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A530FE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A530FE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A530FE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530FE" w:rsidRDefault="00A530FE" w:rsidP="00A530FE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686DF0" w:rsidRPr="00DC2D0E" w:rsidRDefault="00BE763B" w:rsidP="00C5211C">
      <w:pPr>
        <w:bidi/>
        <w:jc w:val="center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  <w:r w:rsidRPr="00DC2D0E"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t xml:space="preserve">تقييم الأسر </w:t>
      </w:r>
      <w:proofErr w:type="gramStart"/>
      <w:r w:rsidRPr="00DC2D0E"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t>لتطور</w:t>
      </w:r>
      <w:proofErr w:type="gramEnd"/>
      <w:r w:rsidRPr="00DC2D0E"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t xml:space="preserve"> </w:t>
      </w:r>
      <w:r w:rsidRPr="00686DF0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 xml:space="preserve">جودة </w:t>
      </w:r>
      <w:r w:rsidRPr="00DC2D0E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 xml:space="preserve">بعض </w:t>
      </w:r>
      <w:r w:rsidRPr="00686DF0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 xml:space="preserve">الخدمات </w:t>
      </w:r>
      <w:r w:rsidR="00663EDA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</w:rPr>
        <w:t>الإدارية و</w:t>
      </w:r>
      <w:r w:rsidR="00931894" w:rsidRPr="00DC2D0E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>الاجتماعية</w:t>
      </w:r>
      <w:r w:rsidR="00FF1D32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</w:rPr>
        <w:t xml:space="preserve"> و</w:t>
      </w:r>
      <w:r w:rsidR="00663EDA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</w:rPr>
        <w:t xml:space="preserve">كذا </w:t>
      </w:r>
      <w:r w:rsidR="00931894" w:rsidRPr="00686DF0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>وضعية حقوق الإنسان</w:t>
      </w:r>
      <w:r w:rsidR="00FF1D32">
        <w:rPr>
          <w:rFonts w:asciiTheme="majorBidi" w:hAnsiTheme="majorBidi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31894" w:rsidRPr="00DC2D0E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>و</w:t>
      </w:r>
      <w:r w:rsidR="00931894" w:rsidRPr="00686DF0">
        <w:rPr>
          <w:rFonts w:asciiTheme="majorBidi" w:hAnsiTheme="majorBidi" w:cs="Simplified Arabic"/>
          <w:b/>
          <w:bCs/>
          <w:color w:val="000000"/>
          <w:sz w:val="28"/>
          <w:szCs w:val="28"/>
          <w:rtl/>
        </w:rPr>
        <w:t>البيئة</w:t>
      </w:r>
    </w:p>
    <w:tbl>
      <w:tblPr>
        <w:tblW w:w="10373" w:type="dxa"/>
        <w:tblInd w:w="-652" w:type="dxa"/>
        <w:tblCellMar>
          <w:left w:w="70" w:type="dxa"/>
          <w:right w:w="70" w:type="dxa"/>
        </w:tblCellMar>
        <w:tblLook w:val="04A0"/>
      </w:tblPr>
      <w:tblGrid>
        <w:gridCol w:w="1022"/>
        <w:gridCol w:w="886"/>
        <w:gridCol w:w="1123"/>
        <w:gridCol w:w="877"/>
        <w:gridCol w:w="935"/>
        <w:gridCol w:w="812"/>
        <w:gridCol w:w="1029"/>
        <w:gridCol w:w="803"/>
        <w:gridCol w:w="2886"/>
      </w:tblGrid>
      <w:tr w:rsidR="006C7C52" w:rsidRPr="006C7C52" w:rsidTr="00175A3D">
        <w:trPr>
          <w:trHeight w:val="445"/>
        </w:trPr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2011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2010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C7C52">
              <w:rPr>
                <w:rFonts w:ascii="Times New Roman" w:hAnsi="Times New Roman" w:cs="Simplified Arabic" w:hint="cs"/>
                <w:b/>
                <w:bCs/>
                <w:color w:val="000000"/>
                <w:sz w:val="28"/>
                <w:szCs w:val="28"/>
                <w:rtl/>
              </w:rPr>
              <w:t>المؤشر</w:t>
            </w:r>
            <w:proofErr w:type="gramEnd"/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الرصيد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تدهور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استقرار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تحسن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الرصيد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تدهور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استقرار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bidi/>
              <w:adjustRightInd/>
              <w:jc w:val="center"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تحسن</w:t>
            </w: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وضعية حقوق الإنسان</w:t>
            </w:r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3F54D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28,</w:t>
            </w:r>
            <w:r w:rsidR="003F54D5">
              <w:rPr>
                <w:rFonts w:ascii="Calibri" w:hAnsi="Calibri" w:cs="Times New Roma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وضعية المحافظة على البيئة</w:t>
            </w:r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الخدمات الإدارية</w:t>
            </w:r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-9,7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خدمات التعليم</w:t>
            </w:r>
          </w:p>
        </w:tc>
      </w:tr>
      <w:tr w:rsidR="006C7C52" w:rsidRPr="006C7C52" w:rsidTr="006C7C52">
        <w:trPr>
          <w:trHeight w:val="44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-19,3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2D5EC6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2D5EC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52" w:rsidRPr="006C7C52" w:rsidRDefault="006C7C52" w:rsidP="006C7C5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Times New Roman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52" w:rsidRPr="006C7C52" w:rsidRDefault="006C7C52" w:rsidP="00175A3D">
            <w:pPr>
              <w:widowControl/>
              <w:autoSpaceDE/>
              <w:autoSpaceDN/>
              <w:bidi/>
              <w:adjustRightInd/>
              <w:rPr>
                <w:rFonts w:ascii="Calibri" w:hAnsi="Calibri" w:cs="Simplified Arabic"/>
                <w:b/>
                <w:bCs/>
                <w:color w:val="000000"/>
                <w:sz w:val="22"/>
                <w:szCs w:val="22"/>
              </w:rPr>
            </w:pPr>
            <w:r w:rsidRPr="006C7C52">
              <w:rPr>
                <w:rFonts w:ascii="Calibri" w:hAnsi="Calibri" w:cs="Simplified Arabic" w:hint="cs"/>
                <w:b/>
                <w:bCs/>
                <w:color w:val="000000"/>
                <w:sz w:val="22"/>
                <w:szCs w:val="22"/>
                <w:rtl/>
              </w:rPr>
              <w:t>تطور جودة الخدمات الصحية</w:t>
            </w:r>
          </w:p>
        </w:tc>
      </w:tr>
    </w:tbl>
    <w:p w:rsidR="008922F1" w:rsidRDefault="008922F1" w:rsidP="00D77812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</w:pPr>
    </w:p>
    <w:p w:rsidR="00AC5F55" w:rsidRDefault="00AC5F55" w:rsidP="00AC5F55">
      <w:pPr>
        <w:bidi/>
        <w:rPr>
          <w:rFonts w:cs="Simplified Arabic"/>
          <w:rtl/>
          <w:lang w:bidi="ar-MA"/>
        </w:rPr>
      </w:pPr>
    </w:p>
    <w:p w:rsidR="00AC5F55" w:rsidRPr="00DC2D0E" w:rsidRDefault="00AC5F55" w:rsidP="00AC5F55">
      <w:pPr>
        <w:bidi/>
        <w:rPr>
          <w:rFonts w:cs="Simplified Arabic"/>
          <w:rtl/>
          <w:lang w:bidi="ar-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50D" w:rsidRPr="00DC2D0E" w:rsidTr="004B7848">
        <w:tc>
          <w:tcPr>
            <w:tcW w:w="9212" w:type="dxa"/>
          </w:tcPr>
          <w:p w:rsidR="0000050D" w:rsidRPr="004B7848" w:rsidRDefault="0000050D" w:rsidP="004B7848">
            <w:pPr>
              <w:bidi/>
              <w:ind w:left="360"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للتذكير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فإن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</w:p>
          <w:p w:rsidR="0000050D" w:rsidRPr="004B7848" w:rsidRDefault="0000050D" w:rsidP="004B7848">
            <w:pPr>
              <w:pStyle w:val="Paragraphedeliste"/>
              <w:numPr>
                <w:ilvl w:val="0"/>
                <w:numId w:val="2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تتم</w:t>
            </w:r>
            <w:proofErr w:type="gramEnd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التغييرات </w:t>
            </w:r>
            <w:proofErr w:type="spellStart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بـ</w:t>
            </w:r>
            <w:proofErr w:type="spell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="00B219A9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="00B219A9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="00B219A9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="00B219A9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لا</w:t>
            </w:r>
            <w:proofErr w:type="gramEnd"/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يتم حساب مؤشر ثقة الأسر على أساس 7 مؤشرات تتعلق أربعة منها بالوضعية العامة في حين تخص الباقية الوضعية الخاصة بالأسرة وهي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كالتالي</w:t>
            </w:r>
            <w:r w:rsidR="00924E0C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:</w:t>
            </w:r>
            <w:proofErr w:type="gramEnd"/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مستوى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المعيشة</w:t>
            </w:r>
            <w:r w:rsidR="00924E0C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؛</w:t>
            </w:r>
            <w:proofErr w:type="gramEnd"/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آفاق تطور أعداد </w:t>
            </w:r>
            <w:proofErr w:type="gramStart"/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العاطلين</w:t>
            </w:r>
            <w:r w:rsidR="00924E0C"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؛</w:t>
            </w:r>
            <w:proofErr w:type="gramEnd"/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ind w:left="1434" w:hanging="357"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00050D" w:rsidRPr="004B7848" w:rsidRDefault="0000050D" w:rsidP="004B7848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bidi/>
              <w:adjustRightInd/>
              <w:jc w:val="lowKashida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00050D" w:rsidRPr="004B7848" w:rsidRDefault="0000050D" w:rsidP="004B7848">
            <w:pPr>
              <w:pStyle w:val="Paragraphedeliste"/>
              <w:numPr>
                <w:ilvl w:val="0"/>
                <w:numId w:val="4"/>
              </w:numPr>
              <w:bidi/>
              <w:jc w:val="lowKashida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00050D" w:rsidRPr="004B7848" w:rsidRDefault="0000050D" w:rsidP="004B7848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للمزيد من المعلومات حول الجوانب المنهجية لهذا البحث:  زوروا الموقع الإلكتروني للمندوبية السامية للتخطيط   </w:t>
            </w:r>
            <w:hyperlink r:id="rId13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00050D" w:rsidRPr="00DC2D0E" w:rsidRDefault="0000050D" w:rsidP="00D77812">
      <w:pPr>
        <w:bidi/>
        <w:rPr>
          <w:rFonts w:cs="Simplified Arabic"/>
          <w:rtl/>
          <w:lang w:bidi="ar-MA"/>
        </w:rPr>
      </w:pPr>
    </w:p>
    <w:sectPr w:rsidR="0000050D" w:rsidRPr="00DC2D0E" w:rsidSect="0048130A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E1" w:rsidRDefault="008E2FE1" w:rsidP="00CD3E86">
      <w:r>
        <w:separator/>
      </w:r>
    </w:p>
  </w:endnote>
  <w:endnote w:type="continuationSeparator" w:id="0">
    <w:p w:rsidR="008E2FE1" w:rsidRDefault="008E2FE1" w:rsidP="00CD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3B" w:rsidRDefault="00807792">
    <w:pPr>
      <w:pStyle w:val="Pieddepage"/>
      <w:jc w:val="center"/>
    </w:pPr>
    <w:fldSimple w:instr=" PAGE   \* MERGEFORMAT ">
      <w:r w:rsidR="007668B7">
        <w:rPr>
          <w:noProof/>
        </w:rPr>
        <w:t>6</w:t>
      </w:r>
    </w:fldSimple>
  </w:p>
  <w:p w:rsidR="00BD383B" w:rsidRDefault="00BD38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E1" w:rsidRDefault="008E2FE1" w:rsidP="00CD3E86">
      <w:r>
        <w:separator/>
      </w:r>
    </w:p>
  </w:footnote>
  <w:footnote w:type="continuationSeparator" w:id="0">
    <w:p w:rsidR="008E2FE1" w:rsidRDefault="008E2FE1" w:rsidP="00CD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B0751"/>
    <w:multiLevelType w:val="hybridMultilevel"/>
    <w:tmpl w:val="11869030"/>
    <w:lvl w:ilvl="0" w:tplc="D29E73C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3A3332E"/>
    <w:multiLevelType w:val="hybridMultilevel"/>
    <w:tmpl w:val="6BE23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4F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90C94"/>
    <w:multiLevelType w:val="hybridMultilevel"/>
    <w:tmpl w:val="601A581C"/>
    <w:lvl w:ilvl="0" w:tplc="56428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42823"/>
    <w:multiLevelType w:val="hybridMultilevel"/>
    <w:tmpl w:val="D6CA8D5A"/>
    <w:lvl w:ilvl="0" w:tplc="040C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>
    <w:nsid w:val="598640BD"/>
    <w:multiLevelType w:val="hybridMultilevel"/>
    <w:tmpl w:val="F4BEDA92"/>
    <w:lvl w:ilvl="0" w:tplc="86667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96CD8"/>
    <w:multiLevelType w:val="hybridMultilevel"/>
    <w:tmpl w:val="7F9C0CAA"/>
    <w:lvl w:ilvl="0" w:tplc="691C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D5781"/>
    <w:multiLevelType w:val="hybridMultilevel"/>
    <w:tmpl w:val="D6CA8D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8267E"/>
    <w:rsid w:val="0000050D"/>
    <w:rsid w:val="00006495"/>
    <w:rsid w:val="00007D34"/>
    <w:rsid w:val="00011031"/>
    <w:rsid w:val="00021D38"/>
    <w:rsid w:val="00032FF9"/>
    <w:rsid w:val="00052AEE"/>
    <w:rsid w:val="000620D8"/>
    <w:rsid w:val="00070500"/>
    <w:rsid w:val="000709D3"/>
    <w:rsid w:val="000841BB"/>
    <w:rsid w:val="00087DA2"/>
    <w:rsid w:val="0009173D"/>
    <w:rsid w:val="000A2D9C"/>
    <w:rsid w:val="000B2493"/>
    <w:rsid w:val="000C6C18"/>
    <w:rsid w:val="000D54A3"/>
    <w:rsid w:val="000F11C9"/>
    <w:rsid w:val="000F5040"/>
    <w:rsid w:val="00101CD2"/>
    <w:rsid w:val="001149DD"/>
    <w:rsid w:val="00126535"/>
    <w:rsid w:val="00126FFE"/>
    <w:rsid w:val="00132D1C"/>
    <w:rsid w:val="00135B46"/>
    <w:rsid w:val="00135EDD"/>
    <w:rsid w:val="001360B3"/>
    <w:rsid w:val="0013662F"/>
    <w:rsid w:val="001430ED"/>
    <w:rsid w:val="001442DC"/>
    <w:rsid w:val="00147146"/>
    <w:rsid w:val="0015203B"/>
    <w:rsid w:val="00152624"/>
    <w:rsid w:val="00175A3D"/>
    <w:rsid w:val="0018222E"/>
    <w:rsid w:val="001840FA"/>
    <w:rsid w:val="001D1850"/>
    <w:rsid w:val="001D1D55"/>
    <w:rsid w:val="001D6B1A"/>
    <w:rsid w:val="001E0A4E"/>
    <w:rsid w:val="001E6AEE"/>
    <w:rsid w:val="001F00EB"/>
    <w:rsid w:val="001F09CA"/>
    <w:rsid w:val="001F194B"/>
    <w:rsid w:val="002026A4"/>
    <w:rsid w:val="002158AC"/>
    <w:rsid w:val="00234DFE"/>
    <w:rsid w:val="002351CA"/>
    <w:rsid w:val="0024144C"/>
    <w:rsid w:val="002712BB"/>
    <w:rsid w:val="002914DE"/>
    <w:rsid w:val="0029444F"/>
    <w:rsid w:val="00296181"/>
    <w:rsid w:val="002A048C"/>
    <w:rsid w:val="002B3C69"/>
    <w:rsid w:val="002C03B3"/>
    <w:rsid w:val="002D1778"/>
    <w:rsid w:val="002D5EC6"/>
    <w:rsid w:val="002E438D"/>
    <w:rsid w:val="002E5284"/>
    <w:rsid w:val="002F110A"/>
    <w:rsid w:val="00305222"/>
    <w:rsid w:val="003149AB"/>
    <w:rsid w:val="00340588"/>
    <w:rsid w:val="00340EA4"/>
    <w:rsid w:val="0035722B"/>
    <w:rsid w:val="0036247C"/>
    <w:rsid w:val="0036550C"/>
    <w:rsid w:val="00366A4D"/>
    <w:rsid w:val="00366D1C"/>
    <w:rsid w:val="00370709"/>
    <w:rsid w:val="003769BB"/>
    <w:rsid w:val="003834D6"/>
    <w:rsid w:val="003839D8"/>
    <w:rsid w:val="00386745"/>
    <w:rsid w:val="00393C8B"/>
    <w:rsid w:val="003A0BA0"/>
    <w:rsid w:val="003A564F"/>
    <w:rsid w:val="003C18E5"/>
    <w:rsid w:val="003D2522"/>
    <w:rsid w:val="003E265E"/>
    <w:rsid w:val="003E5AFB"/>
    <w:rsid w:val="003F54D5"/>
    <w:rsid w:val="004003DA"/>
    <w:rsid w:val="00401ED3"/>
    <w:rsid w:val="00420426"/>
    <w:rsid w:val="004304D6"/>
    <w:rsid w:val="00442D71"/>
    <w:rsid w:val="0044565F"/>
    <w:rsid w:val="00445AB0"/>
    <w:rsid w:val="00450E8D"/>
    <w:rsid w:val="0045172C"/>
    <w:rsid w:val="00456FD8"/>
    <w:rsid w:val="00467DF7"/>
    <w:rsid w:val="00470C38"/>
    <w:rsid w:val="004726BD"/>
    <w:rsid w:val="00472D47"/>
    <w:rsid w:val="0048130A"/>
    <w:rsid w:val="00486045"/>
    <w:rsid w:val="00494219"/>
    <w:rsid w:val="0049610D"/>
    <w:rsid w:val="004A57F9"/>
    <w:rsid w:val="004B7848"/>
    <w:rsid w:val="004B79EB"/>
    <w:rsid w:val="004D656C"/>
    <w:rsid w:val="004E0C28"/>
    <w:rsid w:val="004E2CC3"/>
    <w:rsid w:val="004F2490"/>
    <w:rsid w:val="004F3420"/>
    <w:rsid w:val="00501F6D"/>
    <w:rsid w:val="0052609B"/>
    <w:rsid w:val="005334CB"/>
    <w:rsid w:val="00536841"/>
    <w:rsid w:val="00553187"/>
    <w:rsid w:val="005657AF"/>
    <w:rsid w:val="00566088"/>
    <w:rsid w:val="00571D88"/>
    <w:rsid w:val="005819C0"/>
    <w:rsid w:val="0058621E"/>
    <w:rsid w:val="00597A9A"/>
    <w:rsid w:val="005B3567"/>
    <w:rsid w:val="005F0B49"/>
    <w:rsid w:val="005F3906"/>
    <w:rsid w:val="00602DEB"/>
    <w:rsid w:val="00605F04"/>
    <w:rsid w:val="00605F96"/>
    <w:rsid w:val="00606F77"/>
    <w:rsid w:val="006126D1"/>
    <w:rsid w:val="00614378"/>
    <w:rsid w:val="00615CB3"/>
    <w:rsid w:val="00616031"/>
    <w:rsid w:val="00617BB9"/>
    <w:rsid w:val="00620829"/>
    <w:rsid w:val="00623A09"/>
    <w:rsid w:val="0063161E"/>
    <w:rsid w:val="006428EF"/>
    <w:rsid w:val="00644182"/>
    <w:rsid w:val="00647E16"/>
    <w:rsid w:val="00650400"/>
    <w:rsid w:val="0065096C"/>
    <w:rsid w:val="00652641"/>
    <w:rsid w:val="006555DD"/>
    <w:rsid w:val="00663EDA"/>
    <w:rsid w:val="00664434"/>
    <w:rsid w:val="00666148"/>
    <w:rsid w:val="00677FB2"/>
    <w:rsid w:val="00686BF2"/>
    <w:rsid w:val="00686DF0"/>
    <w:rsid w:val="00693BB2"/>
    <w:rsid w:val="0069786E"/>
    <w:rsid w:val="0069797A"/>
    <w:rsid w:val="006A4CEB"/>
    <w:rsid w:val="006C743C"/>
    <w:rsid w:val="006C7C52"/>
    <w:rsid w:val="006D2467"/>
    <w:rsid w:val="006D287D"/>
    <w:rsid w:val="006E0D9D"/>
    <w:rsid w:val="006F3AF0"/>
    <w:rsid w:val="0071195B"/>
    <w:rsid w:val="00726A70"/>
    <w:rsid w:val="00753EF4"/>
    <w:rsid w:val="007668B7"/>
    <w:rsid w:val="0077123D"/>
    <w:rsid w:val="007718F4"/>
    <w:rsid w:val="00797D11"/>
    <w:rsid w:val="007A4C39"/>
    <w:rsid w:val="007B2B08"/>
    <w:rsid w:val="007B419D"/>
    <w:rsid w:val="007C2FC2"/>
    <w:rsid w:val="007C6B7B"/>
    <w:rsid w:val="007D018C"/>
    <w:rsid w:val="007E6BF2"/>
    <w:rsid w:val="007E7174"/>
    <w:rsid w:val="007F2626"/>
    <w:rsid w:val="007F3D38"/>
    <w:rsid w:val="007F4D38"/>
    <w:rsid w:val="00805BC8"/>
    <w:rsid w:val="00807792"/>
    <w:rsid w:val="008111B3"/>
    <w:rsid w:val="00824700"/>
    <w:rsid w:val="008249A7"/>
    <w:rsid w:val="00824BA1"/>
    <w:rsid w:val="00841C55"/>
    <w:rsid w:val="0084325E"/>
    <w:rsid w:val="0084787F"/>
    <w:rsid w:val="00870630"/>
    <w:rsid w:val="008728D1"/>
    <w:rsid w:val="00875104"/>
    <w:rsid w:val="0088356A"/>
    <w:rsid w:val="00885D6D"/>
    <w:rsid w:val="00887C55"/>
    <w:rsid w:val="00892060"/>
    <w:rsid w:val="008922F1"/>
    <w:rsid w:val="00892D96"/>
    <w:rsid w:val="0089545D"/>
    <w:rsid w:val="008A008C"/>
    <w:rsid w:val="008A173D"/>
    <w:rsid w:val="008A3962"/>
    <w:rsid w:val="008A5A76"/>
    <w:rsid w:val="008E2FE1"/>
    <w:rsid w:val="008F1A33"/>
    <w:rsid w:val="0090431F"/>
    <w:rsid w:val="009057ED"/>
    <w:rsid w:val="009129E6"/>
    <w:rsid w:val="00913A94"/>
    <w:rsid w:val="00924E0C"/>
    <w:rsid w:val="00924F8C"/>
    <w:rsid w:val="00926546"/>
    <w:rsid w:val="00931894"/>
    <w:rsid w:val="00933B5C"/>
    <w:rsid w:val="00933F88"/>
    <w:rsid w:val="0094230F"/>
    <w:rsid w:val="00943F3A"/>
    <w:rsid w:val="00944E7C"/>
    <w:rsid w:val="009775FB"/>
    <w:rsid w:val="00984B85"/>
    <w:rsid w:val="00990742"/>
    <w:rsid w:val="00992987"/>
    <w:rsid w:val="009A330B"/>
    <w:rsid w:val="009B1F6F"/>
    <w:rsid w:val="009B58B9"/>
    <w:rsid w:val="009B71DE"/>
    <w:rsid w:val="009C5240"/>
    <w:rsid w:val="009D773C"/>
    <w:rsid w:val="009E64B6"/>
    <w:rsid w:val="009F089E"/>
    <w:rsid w:val="009F1E47"/>
    <w:rsid w:val="009F7957"/>
    <w:rsid w:val="00A1541B"/>
    <w:rsid w:val="00A16BB8"/>
    <w:rsid w:val="00A17517"/>
    <w:rsid w:val="00A273F1"/>
    <w:rsid w:val="00A35DF1"/>
    <w:rsid w:val="00A4667A"/>
    <w:rsid w:val="00A525C4"/>
    <w:rsid w:val="00A530FE"/>
    <w:rsid w:val="00A53556"/>
    <w:rsid w:val="00A54026"/>
    <w:rsid w:val="00A827FC"/>
    <w:rsid w:val="00A83857"/>
    <w:rsid w:val="00A8690F"/>
    <w:rsid w:val="00AA24B3"/>
    <w:rsid w:val="00AA33D2"/>
    <w:rsid w:val="00AB3685"/>
    <w:rsid w:val="00AC5F55"/>
    <w:rsid w:val="00AD4871"/>
    <w:rsid w:val="00AD4F15"/>
    <w:rsid w:val="00AF2832"/>
    <w:rsid w:val="00B219A9"/>
    <w:rsid w:val="00B26593"/>
    <w:rsid w:val="00B40050"/>
    <w:rsid w:val="00B5011A"/>
    <w:rsid w:val="00B5066A"/>
    <w:rsid w:val="00B527B5"/>
    <w:rsid w:val="00B8267E"/>
    <w:rsid w:val="00B857E2"/>
    <w:rsid w:val="00B85BB0"/>
    <w:rsid w:val="00B94D2F"/>
    <w:rsid w:val="00B95170"/>
    <w:rsid w:val="00BB33CF"/>
    <w:rsid w:val="00BC6609"/>
    <w:rsid w:val="00BC74D9"/>
    <w:rsid w:val="00BD383B"/>
    <w:rsid w:val="00BD4E46"/>
    <w:rsid w:val="00BE763B"/>
    <w:rsid w:val="00BF6335"/>
    <w:rsid w:val="00C165FA"/>
    <w:rsid w:val="00C2054C"/>
    <w:rsid w:val="00C239FB"/>
    <w:rsid w:val="00C3227C"/>
    <w:rsid w:val="00C34368"/>
    <w:rsid w:val="00C5211C"/>
    <w:rsid w:val="00C56DFF"/>
    <w:rsid w:val="00C71D97"/>
    <w:rsid w:val="00C8682E"/>
    <w:rsid w:val="00C9307E"/>
    <w:rsid w:val="00CA6F4E"/>
    <w:rsid w:val="00CB08E8"/>
    <w:rsid w:val="00CB2C3C"/>
    <w:rsid w:val="00CC710E"/>
    <w:rsid w:val="00CD265C"/>
    <w:rsid w:val="00CD3E86"/>
    <w:rsid w:val="00D24FA6"/>
    <w:rsid w:val="00D2622E"/>
    <w:rsid w:val="00D31042"/>
    <w:rsid w:val="00D401E5"/>
    <w:rsid w:val="00D407D6"/>
    <w:rsid w:val="00D41B71"/>
    <w:rsid w:val="00D46F57"/>
    <w:rsid w:val="00D64D00"/>
    <w:rsid w:val="00D679C0"/>
    <w:rsid w:val="00D749E6"/>
    <w:rsid w:val="00D77812"/>
    <w:rsid w:val="00D80BE1"/>
    <w:rsid w:val="00D8202A"/>
    <w:rsid w:val="00D90A13"/>
    <w:rsid w:val="00D91003"/>
    <w:rsid w:val="00D93DD8"/>
    <w:rsid w:val="00DA4DF8"/>
    <w:rsid w:val="00DA6709"/>
    <w:rsid w:val="00DB3947"/>
    <w:rsid w:val="00DB790E"/>
    <w:rsid w:val="00DC2D0E"/>
    <w:rsid w:val="00DD0959"/>
    <w:rsid w:val="00DD127F"/>
    <w:rsid w:val="00DE73E0"/>
    <w:rsid w:val="00DF0378"/>
    <w:rsid w:val="00E104BB"/>
    <w:rsid w:val="00E1546F"/>
    <w:rsid w:val="00E23285"/>
    <w:rsid w:val="00E36E89"/>
    <w:rsid w:val="00E4145C"/>
    <w:rsid w:val="00E452C5"/>
    <w:rsid w:val="00E55400"/>
    <w:rsid w:val="00E638C0"/>
    <w:rsid w:val="00E6423D"/>
    <w:rsid w:val="00E80DCB"/>
    <w:rsid w:val="00E877EF"/>
    <w:rsid w:val="00E912F9"/>
    <w:rsid w:val="00E9752C"/>
    <w:rsid w:val="00EA36A5"/>
    <w:rsid w:val="00EA3909"/>
    <w:rsid w:val="00EA7BC5"/>
    <w:rsid w:val="00EB5941"/>
    <w:rsid w:val="00EC5D9B"/>
    <w:rsid w:val="00ED513D"/>
    <w:rsid w:val="00ED5B87"/>
    <w:rsid w:val="00EE30A6"/>
    <w:rsid w:val="00EE3236"/>
    <w:rsid w:val="00EE79CC"/>
    <w:rsid w:val="00F168A5"/>
    <w:rsid w:val="00F23740"/>
    <w:rsid w:val="00F4106D"/>
    <w:rsid w:val="00F425B0"/>
    <w:rsid w:val="00F52E29"/>
    <w:rsid w:val="00F734C6"/>
    <w:rsid w:val="00F83EC5"/>
    <w:rsid w:val="00FC15A8"/>
    <w:rsid w:val="00FC39D9"/>
    <w:rsid w:val="00FC7929"/>
    <w:rsid w:val="00FD687B"/>
    <w:rsid w:val="00FD6B17"/>
    <w:rsid w:val="00FD76B8"/>
    <w:rsid w:val="00FF1D32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6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6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24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050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00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3E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3E86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3E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E86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hcp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r&#233;sultats%20depuis%202007\resultats%20ECM(trim1-08-trim4-201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r&#233;sultats%20depuis%202007\resultats%20ECM(trim1-08-trim4-201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r&#233;sultats%20depuis%202007\resultats%20ECM(trim1-08-trim4-201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r&#233;sultats%20depuis%202007\resultats%20ECM(trim1-08-trim4-201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CM\r&#233;sultats%20depuis%202007\resultats%20ECM(trim1-08-trim4-201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ar-MA" sz="1400" b="1" i="0" baseline="0"/>
              <a:t>        تطور مؤشر الثقة للأسر المغربية</a:t>
            </a:r>
            <a:endParaRPr lang="en-US" sz="1400" b="1" i="0" baseline="0"/>
          </a:p>
        </c:rich>
      </c:tx>
      <c:layout>
        <c:manualLayout>
          <c:xMode val="edge"/>
          <c:yMode val="edge"/>
          <c:x val="0.30424437299035456"/>
          <c:y val="2.243589743589755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'solde trim1-08-trim4-2011'!$A$76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11"/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</c:dLbl>
            <c:dLbl>
              <c:idx val="14"/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</c:dLbl>
            <c:dLbl>
              <c:idx val="15"/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'solde trim1-08-trim4-2011'!$B$67:$Q$67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'solde trim1-08-trim4-2011'!$B$76:$Q$76</c:f>
              <c:numCache>
                <c:formatCode>#,##0.0</c:formatCode>
                <c:ptCount val="16"/>
                <c:pt idx="0">
                  <c:v>85.866502294191648</c:v>
                </c:pt>
                <c:pt idx="1">
                  <c:v>77.678707955852914</c:v>
                </c:pt>
                <c:pt idx="2">
                  <c:v>75.552480635756268</c:v>
                </c:pt>
                <c:pt idx="3">
                  <c:v>80.136884034904384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80.136086093619056</c:v>
                </c:pt>
                <c:pt idx="9">
                  <c:v>78.833388330574053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78.406406130604665</c:v>
                </c:pt>
                <c:pt idx="13">
                  <c:v>85.78953263253247</c:v>
                </c:pt>
                <c:pt idx="14">
                  <c:v>86.506225251482533</c:v>
                </c:pt>
                <c:pt idx="15">
                  <c:v>84.477214694877262</c:v>
                </c:pt>
              </c:numCache>
            </c:numRef>
          </c:val>
        </c:ser>
        <c:gapWidth val="75"/>
        <c:overlap val="-25"/>
        <c:axId val="136255360"/>
        <c:axId val="136256896"/>
      </c:barChart>
      <c:catAx>
        <c:axId val="136255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256896"/>
        <c:crosses val="autoZero"/>
        <c:auto val="1"/>
        <c:lblAlgn val="ctr"/>
        <c:lblOffset val="100"/>
      </c:catAx>
      <c:valAx>
        <c:axId val="136256896"/>
        <c:scaling>
          <c:orientation val="minMax"/>
        </c:scaling>
        <c:axPos val="l"/>
        <c:numFmt formatCode="#,##0.0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25536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400" b="1" i="0" u="none" strike="noStrike" baseline="0"/>
              <a:t>تصورات حول تطور مستوى المعيشة</a:t>
            </a:r>
          </a:p>
          <a:p>
            <a:pPr>
              <a:defRPr/>
            </a:pPr>
            <a:r>
              <a:rPr lang="ar-MA" sz="1400" b="1" i="0" u="none" strike="noStrike" baseline="0"/>
              <a:t>(أرصدة الآراء) </a:t>
            </a:r>
            <a:endParaRPr lang="fr-FR" sz="1400"/>
          </a:p>
        </c:rich>
      </c:tx>
    </c:title>
    <c:plotArea>
      <c:layout/>
      <c:lineChart>
        <c:grouping val="standard"/>
        <c:ser>
          <c:idx val="1"/>
          <c:order val="0"/>
          <c:tx>
            <c:strRef>
              <c:f>'grahe T4'!$R$37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dLbls>
            <c:dLbl>
              <c:idx val="15"/>
              <c:layout>
                <c:manualLayout>
                  <c:x val="-2.8571428571428591E-2"/>
                  <c:y val="4.6242774566473945E-2"/>
                </c:manualLayout>
              </c:layout>
              <c:tx>
                <c:rich>
                  <a:bodyPr/>
                  <a:lstStyle/>
                  <a:p>
                    <a:r>
                      <a:rPr lang="ar-MA" b="1"/>
                      <a:t>التطور السابق </a:t>
                    </a:r>
                  </a:p>
                </c:rich>
              </c:tx>
              <c:dLblPos val="r"/>
              <c:showVal val="1"/>
              <c:showSerName val="1"/>
            </c:dLbl>
            <c:delete val="1"/>
          </c:dLbls>
          <c:cat>
            <c:strRef>
              <c:f>'grahe T4'!$S$35:$AH$35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'grahe T4'!$S$37:$AH$37</c:f>
              <c:numCache>
                <c:formatCode>#,##0.0</c:formatCode>
                <c:ptCount val="1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-31.141291421499755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-25.723634629572977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-37.236760344983459</c:v>
                </c:pt>
                <c:pt idx="12">
                  <c:v>-26.05095916765012</c:v>
                </c:pt>
                <c:pt idx="13">
                  <c:v>-16.961438303130858</c:v>
                </c:pt>
                <c:pt idx="14">
                  <c:v>-13.439142519852028</c:v>
                </c:pt>
                <c:pt idx="15">
                  <c:v>-20.224270151200944</c:v>
                </c:pt>
              </c:numCache>
            </c:numRef>
          </c:val>
        </c:ser>
        <c:ser>
          <c:idx val="2"/>
          <c:order val="1"/>
          <c:tx>
            <c:strRef>
              <c:f>'grahe T4'!$R$38</c:f>
              <c:strCache>
                <c:ptCount val="1"/>
                <c:pt idx="0">
                  <c:v>التطور المستقبلي </c:v>
                </c:pt>
              </c:strCache>
            </c:strRef>
          </c:tx>
          <c:marker>
            <c:symbol val="square"/>
            <c:size val="5"/>
          </c:marker>
          <c:dLbls>
            <c:dLbl>
              <c:idx val="15"/>
              <c:layout>
                <c:manualLayout>
                  <c:x val="-2.5974025974025128E-3"/>
                  <c:y val="-8.7861271676300479E-2"/>
                </c:manualLayout>
              </c:layout>
              <c:tx>
                <c:rich>
                  <a:bodyPr/>
                  <a:lstStyle/>
                  <a:p>
                    <a:r>
                      <a:rPr lang="ar-MA" b="1"/>
                      <a:t>التطور المستقبلي </a:t>
                    </a:r>
                  </a:p>
                </c:rich>
              </c:tx>
              <c:dLblPos val="r"/>
              <c:showVal val="1"/>
              <c:showSerName val="1"/>
            </c:dLbl>
            <c:delete val="1"/>
          </c:dLbls>
          <c:cat>
            <c:strRef>
              <c:f>'grahe T4'!$S$35:$AH$35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'grahe T4'!$S$38:$AH$38</c:f>
              <c:numCache>
                <c:formatCode>#,##0.0</c:formatCode>
                <c:ptCount val="1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8.4334302751113088E-2</c:v>
                </c:pt>
                <c:pt idx="7">
                  <c:v>2.1853913991610052</c:v>
                </c:pt>
                <c:pt idx="8">
                  <c:v>0.39154986438085743</c:v>
                </c:pt>
                <c:pt idx="9">
                  <c:v>2.7314646872285109</c:v>
                </c:pt>
                <c:pt idx="10">
                  <c:v>0.19418325799955094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18.132139936578774</c:v>
                </c:pt>
                <c:pt idx="14">
                  <c:v>11.870106120928307</c:v>
                </c:pt>
                <c:pt idx="15">
                  <c:v>13.146309479543481</c:v>
                </c:pt>
              </c:numCache>
            </c:numRef>
          </c:val>
        </c:ser>
        <c:marker val="1"/>
        <c:axId val="136282496"/>
        <c:axId val="136284032"/>
      </c:lineChart>
      <c:catAx>
        <c:axId val="136282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284032"/>
        <c:crosses val="autoZero"/>
        <c:auto val="1"/>
        <c:lblAlgn val="ctr"/>
        <c:lblOffset val="100"/>
      </c:catAx>
      <c:valAx>
        <c:axId val="136284032"/>
        <c:scaling>
          <c:orientation val="minMax"/>
        </c:scaling>
        <c:axPos val="l"/>
        <c:numFmt formatCode="#,##0.0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2824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 sz="1400"/>
              <a:t>تصور الأسر</a:t>
            </a:r>
            <a:r>
              <a:rPr lang="ar-MA" sz="1400" baseline="0"/>
              <a:t> حول وضعيتها المالية</a:t>
            </a:r>
          </a:p>
          <a:p>
            <a:pPr>
              <a:defRPr/>
            </a:pPr>
            <a:r>
              <a:rPr lang="ar-MA" sz="1400" baseline="0"/>
              <a:t>(أرصدة الآراء)</a:t>
            </a:r>
            <a:endParaRPr lang="fr-FR" sz="1400"/>
          </a:p>
        </c:rich>
      </c:tx>
    </c:title>
    <c:plotArea>
      <c:layout/>
      <c:lineChart>
        <c:grouping val="standard"/>
        <c:ser>
          <c:idx val="1"/>
          <c:order val="0"/>
          <c:tx>
            <c:strRef>
              <c:f>'grahe T4'!$R$40</c:f>
              <c:strCache>
                <c:ptCount val="1"/>
                <c:pt idx="0">
                  <c:v>الوضعية الحالية</c:v>
                </c:pt>
              </c:strCache>
            </c:strRef>
          </c:tx>
          <c:marker>
            <c:symbol val="triangle"/>
            <c:size val="5"/>
          </c:marker>
          <c:cat>
            <c:strRef>
              <c:f>'grahe T4'!$S$35:$AH$35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'grahe T4'!$S$40:$AH$40</c:f>
              <c:numCache>
                <c:formatCode>#,##0.0</c:formatCode>
                <c:ptCount val="1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-28.062624892496295</c:v>
                </c:pt>
                <c:pt idx="12">
                  <c:v>-30.645498931903713</c:v>
                </c:pt>
                <c:pt idx="13">
                  <c:v>-27.092549889444289</c:v>
                </c:pt>
                <c:pt idx="14">
                  <c:v>-24.28899054728441</c:v>
                </c:pt>
                <c:pt idx="15">
                  <c:v>-25.669712181349713</c:v>
                </c:pt>
              </c:numCache>
            </c:numRef>
          </c:val>
        </c:ser>
        <c:ser>
          <c:idx val="2"/>
          <c:order val="1"/>
          <c:tx>
            <c:strRef>
              <c:f>'grahe T4'!$R$41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none"/>
          </c:marker>
          <c:cat>
            <c:strRef>
              <c:f>'grahe T4'!$S$35:$AH$35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'grahe T4'!$S$41:$AH$41</c:f>
              <c:numCache>
                <c:formatCode>#,##0.0</c:formatCode>
                <c:ptCount val="16"/>
                <c:pt idx="0">
                  <c:v>-11.760493904860514</c:v>
                </c:pt>
                <c:pt idx="1">
                  <c:v>-11.376439540974186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-18.438210074457334</c:v>
                </c:pt>
                <c:pt idx="5">
                  <c:v>-13.353492384896775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-9.8004349690184185</c:v>
                </c:pt>
              </c:numCache>
            </c:numRef>
          </c:val>
        </c:ser>
        <c:ser>
          <c:idx val="3"/>
          <c:order val="2"/>
          <c:tx>
            <c:strRef>
              <c:f>'grahe T4'!$R$42</c:f>
              <c:strCache>
                <c:ptCount val="1"/>
                <c:pt idx="0">
                  <c:v>التطور المستقبلي </c:v>
                </c:pt>
              </c:strCache>
            </c:strRef>
          </c:tx>
          <c:marker>
            <c:symbol val="square"/>
            <c:size val="5"/>
          </c:marker>
          <c:cat>
            <c:strRef>
              <c:f>'grahe T4'!$S$35:$AH$35</c:f>
              <c:strCache>
                <c:ptCount val="1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</c:strCache>
            </c:strRef>
          </c:cat>
          <c:val>
            <c:numRef>
              <c:f>'grahe T4'!$S$42:$AH$42</c:f>
              <c:numCache>
                <c:formatCode>#,##0.0</c:formatCode>
                <c:ptCount val="1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26.705941849103166</c:v>
                </c:pt>
                <c:pt idx="4">
                  <c:v>26.769154239001907</c:v>
                </c:pt>
                <c:pt idx="5">
                  <c:v>21.986954089697061</c:v>
                </c:pt>
                <c:pt idx="6">
                  <c:v>17.532817766676523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</c:numCache>
            </c:numRef>
          </c:val>
        </c:ser>
        <c:marker val="1"/>
        <c:axId val="136301184"/>
        <c:axId val="136302976"/>
      </c:lineChart>
      <c:catAx>
        <c:axId val="1363011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302976"/>
        <c:crosses val="autoZero"/>
        <c:auto val="1"/>
        <c:lblAlgn val="ctr"/>
        <c:lblOffset val="100"/>
      </c:catAx>
      <c:valAx>
        <c:axId val="136302976"/>
        <c:scaling>
          <c:orientation val="minMax"/>
        </c:scaling>
        <c:axPos val="l"/>
        <c:numFmt formatCode="#,##0.0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30118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1200"/>
              <a:t>التطور السابق لأثمنة المواد الغذائية </a:t>
            </a:r>
          </a:p>
        </c:rich>
      </c:tx>
      <c:layout>
        <c:manualLayout>
          <c:xMode val="edge"/>
          <c:yMode val="edge"/>
          <c:x val="0.19326067937160027"/>
          <c:y val="2.314814814814814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'grahe T4'!$O$84</c:f>
              <c:strCache>
                <c:ptCount val="1"/>
                <c:pt idx="0">
                  <c:v>ارتفاع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851851851851855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6296296296296424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888888888888926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T4'!$P$84:$R$84</c:f>
              <c:numCache>
                <c:formatCode>#,##0.0%</c:formatCode>
                <c:ptCount val="3"/>
                <c:pt idx="0">
                  <c:v>0.93550822298536818</c:v>
                </c:pt>
                <c:pt idx="1">
                  <c:v>0.91373264849915392</c:v>
                </c:pt>
                <c:pt idx="2">
                  <c:v>0.93315617652135252</c:v>
                </c:pt>
              </c:numCache>
            </c:numRef>
          </c:val>
        </c:ser>
        <c:ser>
          <c:idx val="1"/>
          <c:order val="1"/>
          <c:tx>
            <c:strRef>
              <c:f>'grahe T4'!$O$85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148148148148227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T4'!$P$85:$R$85</c:f>
              <c:numCache>
                <c:formatCode>#,##0.0%</c:formatCode>
                <c:ptCount val="3"/>
                <c:pt idx="0">
                  <c:v>3.8661575654200246E-2</c:v>
                </c:pt>
                <c:pt idx="1">
                  <c:v>7.1778586926955143E-2</c:v>
                </c:pt>
                <c:pt idx="2">
                  <c:v>5.863981249877543E-2</c:v>
                </c:pt>
              </c:numCache>
            </c:numRef>
          </c:val>
        </c:ser>
        <c:ser>
          <c:idx val="2"/>
          <c:order val="2"/>
          <c:tx>
            <c:strRef>
              <c:f>'grahe T4'!$O$86</c:f>
              <c:strCache>
                <c:ptCount val="1"/>
                <c:pt idx="0">
                  <c:v>انخفاض</c:v>
                </c:pt>
              </c:strCache>
            </c:strRef>
          </c:tx>
          <c:dLbls>
            <c:dLbl>
              <c:idx val="2"/>
              <c:layout>
                <c:manualLayout>
                  <c:x val="1.4492753623188409E-2"/>
                  <c:y val="8.4875562720134504E-17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T4'!$P$86:$R$86</c:f>
              <c:numCache>
                <c:formatCode>#,##0.0%</c:formatCode>
                <c:ptCount val="3"/>
                <c:pt idx="0">
                  <c:v>2.5830201360431581E-2</c:v>
                </c:pt>
                <c:pt idx="1">
                  <c:v>1.4488764573890258E-2</c:v>
                </c:pt>
                <c:pt idx="2">
                  <c:v>8.204010979873581E-3</c:v>
                </c:pt>
              </c:numCache>
            </c:numRef>
          </c:val>
        </c:ser>
        <c:gapWidth val="75"/>
        <c:overlap val="-25"/>
        <c:axId val="138422912"/>
        <c:axId val="138436992"/>
      </c:barChart>
      <c:catAx>
        <c:axId val="138422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8436992"/>
        <c:crosses val="autoZero"/>
        <c:auto val="1"/>
        <c:lblAlgn val="ctr"/>
        <c:lblOffset val="100"/>
      </c:catAx>
      <c:valAx>
        <c:axId val="138436992"/>
        <c:scaling>
          <c:orientation val="minMax"/>
        </c:scaling>
        <c:delete val="1"/>
        <c:axPos val="l"/>
        <c:majorGridlines/>
        <c:numFmt formatCode="#,##0.0%" sourceLinked="1"/>
        <c:majorTickMark val="none"/>
        <c:tickLblPos val="none"/>
        <c:crossAx val="1384229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200"/>
              <a:t>التطور المستقبلي لأثمنة المواد الغذائية 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/>
          </a:p>
        </c:rich>
      </c:tx>
      <c:layout>
        <c:manualLayout>
          <c:xMode val="edge"/>
          <c:yMode val="edge"/>
          <c:x val="0.14968468468468465"/>
          <c:y val="3.240740740740750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'grahe T4'!$O$81</c:f>
              <c:strCache>
                <c:ptCount val="1"/>
                <c:pt idx="0">
                  <c:v>ارتفاع</c:v>
                </c:pt>
              </c:strCache>
            </c:strRef>
          </c:tx>
          <c:dLbls>
            <c:dLbl>
              <c:idx val="0"/>
              <c:layout>
                <c:manualLayout>
                  <c:x val="1.8018018018018035E-2"/>
                  <c:y val="1.8518518518518556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T4'!$P$81:$R$81</c:f>
              <c:numCache>
                <c:formatCode>#,##0.0%</c:formatCode>
                <c:ptCount val="3"/>
                <c:pt idx="0">
                  <c:v>0.73106198518012411</c:v>
                </c:pt>
                <c:pt idx="1">
                  <c:v>0.75814597094104663</c:v>
                </c:pt>
                <c:pt idx="2">
                  <c:v>0.75821198798436051</c:v>
                </c:pt>
              </c:numCache>
            </c:numRef>
          </c:val>
        </c:ser>
        <c:ser>
          <c:idx val="1"/>
          <c:order val="1"/>
          <c:tx>
            <c:strRef>
              <c:f>'grahe T4'!$O$82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0"/>
              <c:layout>
                <c:manualLayout>
                  <c:x val="2.252216783712847E-2"/>
                  <c:y val="1.8518518518518556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T4'!$P$82:$R$82</c:f>
              <c:numCache>
                <c:formatCode>#,##0.0%</c:formatCode>
                <c:ptCount val="3"/>
                <c:pt idx="0">
                  <c:v>0.23919391046379684</c:v>
                </c:pt>
                <c:pt idx="1">
                  <c:v>0.20961291980840194</c:v>
                </c:pt>
                <c:pt idx="2">
                  <c:v>0.21323489415564092</c:v>
                </c:pt>
              </c:numCache>
            </c:numRef>
          </c:val>
        </c:ser>
        <c:ser>
          <c:idx val="2"/>
          <c:order val="2"/>
          <c:tx>
            <c:strRef>
              <c:f>'grahe T4'!$O$83</c:f>
              <c:strCache>
                <c:ptCount val="1"/>
                <c:pt idx="0">
                  <c:v>انخفاض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388888888888892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888888888888926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</c:dLbls>
          <c:cat>
            <c:strRef>
              <c:f>'grahe T4'!$P$80:$R$80</c:f>
              <c:strCache>
                <c:ptCount val="3"/>
                <c:pt idx="0">
                  <c:v>T4/10</c:v>
                </c:pt>
                <c:pt idx="1">
                  <c:v>T3/11</c:v>
                </c:pt>
                <c:pt idx="2">
                  <c:v>T4/11</c:v>
                </c:pt>
              </c:strCache>
            </c:strRef>
          </c:cat>
          <c:val>
            <c:numRef>
              <c:f>'grahe T4'!$P$83:$R$83</c:f>
              <c:numCache>
                <c:formatCode>#,##0.0%</c:formatCode>
                <c:ptCount val="3"/>
                <c:pt idx="0">
                  <c:v>2.9744104356079177E-2</c:v>
                </c:pt>
                <c:pt idx="1">
                  <c:v>3.2241109250550584E-2</c:v>
                </c:pt>
                <c:pt idx="2">
                  <c:v>2.8553117860003679E-2</c:v>
                </c:pt>
              </c:numCache>
            </c:numRef>
          </c:val>
        </c:ser>
        <c:gapWidth val="75"/>
        <c:overlap val="-25"/>
        <c:axId val="138471680"/>
        <c:axId val="138514432"/>
      </c:barChart>
      <c:catAx>
        <c:axId val="1384716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8514432"/>
        <c:crosses val="autoZero"/>
        <c:auto val="1"/>
        <c:lblAlgn val="ctr"/>
        <c:lblOffset val="100"/>
      </c:catAx>
      <c:valAx>
        <c:axId val="138514432"/>
        <c:scaling>
          <c:orientation val="minMax"/>
        </c:scaling>
        <c:delete val="1"/>
        <c:axPos val="l"/>
        <c:majorGridlines/>
        <c:numFmt formatCode="#,##0.0%" sourceLinked="1"/>
        <c:majorTickMark val="none"/>
        <c:tickLblPos val="none"/>
        <c:crossAx val="1384716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EA88-CA2B-46C5-BE72-1B6403B7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7404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sdrissi</dc:creator>
  <cp:lastModifiedBy>user</cp:lastModifiedBy>
  <cp:revision>2</cp:revision>
  <cp:lastPrinted>2012-02-08T18:50:00Z</cp:lastPrinted>
  <dcterms:created xsi:type="dcterms:W3CDTF">2012-02-08T19:22:00Z</dcterms:created>
  <dcterms:modified xsi:type="dcterms:W3CDTF">2012-02-08T19:22:00Z</dcterms:modified>
</cp:coreProperties>
</file>