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430" w:rsidRDefault="001E3430" w:rsidP="00BC372D">
      <w:pPr>
        <w:pStyle w:val="NormalWeb"/>
        <w:spacing w:before="0" w:beforeAutospacing="0" w:after="0" w:afterAutospacing="0" w:line="300" w:lineRule="exact"/>
        <w:jc w:val="center"/>
        <w:rPr>
          <w:b/>
          <w:bCs/>
        </w:rPr>
      </w:pPr>
    </w:p>
    <w:p w:rsidR="001E3430" w:rsidRDefault="001E3430" w:rsidP="00BC372D">
      <w:pPr>
        <w:pStyle w:val="NormalWeb"/>
        <w:spacing w:before="0" w:beforeAutospacing="0" w:after="0" w:afterAutospacing="0" w:line="300" w:lineRule="exact"/>
        <w:jc w:val="center"/>
        <w:rPr>
          <w:b/>
          <w:bCs/>
        </w:rPr>
      </w:pPr>
    </w:p>
    <w:p w:rsidR="001E3430" w:rsidRDefault="00BF112B" w:rsidP="00BC372D">
      <w:pPr>
        <w:pStyle w:val="NormalWeb"/>
        <w:spacing w:before="0" w:beforeAutospacing="0" w:after="0" w:afterAutospacing="0" w:line="300" w:lineRule="exact"/>
        <w:jc w:val="center"/>
        <w:rPr>
          <w:b/>
          <w:bCs/>
        </w:rPr>
      </w:pPr>
      <w:r>
        <w:rPr>
          <w:noProof/>
        </w:rPr>
        <w:drawing>
          <wp:anchor distT="0" distB="0" distL="114300" distR="114300" simplePos="0" relativeHeight="251653120" behindDoc="0" locked="0" layoutInCell="1" allowOverlap="1">
            <wp:simplePos x="0" y="0"/>
            <wp:positionH relativeFrom="column">
              <wp:posOffset>4914900</wp:posOffset>
            </wp:positionH>
            <wp:positionV relativeFrom="paragraph">
              <wp:posOffset>151765</wp:posOffset>
            </wp:positionV>
            <wp:extent cx="1285875" cy="457200"/>
            <wp:effectExtent l="19050" t="0" r="9525" b="0"/>
            <wp:wrapSquare wrapText="left"/>
            <wp:docPr id="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7"/>
                    <a:srcRect/>
                    <a:stretch>
                      <a:fillRect/>
                    </a:stretch>
                  </pic:blipFill>
                  <pic:spPr bwMode="auto">
                    <a:xfrm>
                      <a:off x="0" y="0"/>
                      <a:ext cx="1285875" cy="457200"/>
                    </a:xfrm>
                    <a:prstGeom prst="rect">
                      <a:avLst/>
                    </a:prstGeom>
                    <a:noFill/>
                  </pic:spPr>
                </pic:pic>
              </a:graphicData>
            </a:graphic>
          </wp:anchor>
        </w:drawing>
      </w:r>
    </w:p>
    <w:p w:rsidR="001E3430" w:rsidRDefault="00BF112B" w:rsidP="00BC372D">
      <w:pPr>
        <w:pStyle w:val="NormalWeb"/>
        <w:spacing w:before="0" w:beforeAutospacing="0" w:after="0" w:afterAutospacing="0" w:line="300" w:lineRule="exact"/>
        <w:jc w:val="center"/>
        <w:rPr>
          <w:b/>
          <w:bCs/>
        </w:rPr>
      </w:pPr>
      <w:r>
        <w:rPr>
          <w:noProof/>
        </w:rPr>
        <w:drawing>
          <wp:anchor distT="0" distB="0" distL="114300" distR="114300" simplePos="0" relativeHeight="251654144" behindDoc="0" locked="0" layoutInCell="1" allowOverlap="1">
            <wp:simplePos x="0" y="0"/>
            <wp:positionH relativeFrom="column">
              <wp:posOffset>-114300</wp:posOffset>
            </wp:positionH>
            <wp:positionV relativeFrom="paragraph">
              <wp:posOffset>62865</wp:posOffset>
            </wp:positionV>
            <wp:extent cx="1524000" cy="381000"/>
            <wp:effectExtent l="19050" t="0" r="0" b="0"/>
            <wp:wrapSquare wrapText="bothSides"/>
            <wp:docPr id="1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1E3430" w:rsidRDefault="001E3430" w:rsidP="00BC372D">
      <w:pPr>
        <w:pStyle w:val="NormalWeb"/>
        <w:spacing w:before="0" w:beforeAutospacing="0" w:after="0" w:afterAutospacing="0" w:line="300" w:lineRule="exact"/>
        <w:jc w:val="center"/>
        <w:rPr>
          <w:b/>
          <w:bCs/>
        </w:rPr>
      </w:pPr>
    </w:p>
    <w:p w:rsidR="001E3430" w:rsidRDefault="001E3430" w:rsidP="00BC372D">
      <w:pPr>
        <w:pStyle w:val="NormalWeb"/>
        <w:spacing w:before="0" w:beforeAutospacing="0" w:after="0" w:afterAutospacing="0" w:line="300" w:lineRule="exact"/>
        <w:jc w:val="center"/>
        <w:rPr>
          <w:b/>
          <w:bCs/>
          <w:sz w:val="14"/>
          <w:szCs w:val="14"/>
        </w:rPr>
      </w:pPr>
    </w:p>
    <w:p w:rsidR="001E3430" w:rsidRDefault="001E3430" w:rsidP="00BC372D">
      <w:pPr>
        <w:pStyle w:val="NormalWeb"/>
        <w:spacing w:before="0" w:beforeAutospacing="0" w:after="0" w:afterAutospacing="0" w:line="300" w:lineRule="exact"/>
        <w:jc w:val="center"/>
        <w:rPr>
          <w:b/>
          <w:bCs/>
          <w:sz w:val="14"/>
          <w:szCs w:val="14"/>
        </w:rPr>
      </w:pPr>
    </w:p>
    <w:p w:rsidR="001E3430" w:rsidRPr="00A75CAA" w:rsidRDefault="00BF112B" w:rsidP="00BC372D">
      <w:pPr>
        <w:pStyle w:val="NormalWeb"/>
        <w:spacing w:before="0" w:beforeAutospacing="0" w:after="0" w:afterAutospacing="0" w:line="300" w:lineRule="exact"/>
        <w:jc w:val="center"/>
        <w:rPr>
          <w:b/>
          <w:bCs/>
          <w:sz w:val="14"/>
          <w:szCs w:val="14"/>
          <w:rtl/>
        </w:rPr>
      </w:pPr>
      <w:r>
        <w:rPr>
          <w:b/>
          <w:bCs/>
          <w:sz w:val="14"/>
          <w:szCs w:val="14"/>
        </w:rPr>
        <w:t xml:space="preserve">       </w:t>
      </w:r>
    </w:p>
    <w:p w:rsidR="001E3430" w:rsidRPr="00E8197C" w:rsidRDefault="001E3430" w:rsidP="00BC372D">
      <w:pPr>
        <w:pStyle w:val="NormalWeb"/>
        <w:spacing w:before="0" w:beforeAutospacing="0" w:after="120" w:afterAutospacing="0" w:line="300" w:lineRule="exact"/>
        <w:jc w:val="center"/>
        <w:rPr>
          <w:b/>
          <w:bCs/>
          <w:sz w:val="28"/>
          <w:szCs w:val="28"/>
        </w:rPr>
      </w:pPr>
      <w:r>
        <w:rPr>
          <w:b/>
          <w:bCs/>
          <w:sz w:val="28"/>
          <w:szCs w:val="28"/>
        </w:rPr>
        <w:t>Point</w:t>
      </w:r>
      <w:r w:rsidRPr="00E8197C">
        <w:rPr>
          <w:b/>
          <w:bCs/>
          <w:sz w:val="28"/>
          <w:szCs w:val="28"/>
        </w:rPr>
        <w:t xml:space="preserve"> de conjoncture</w:t>
      </w:r>
      <w:r>
        <w:rPr>
          <w:b/>
          <w:bCs/>
          <w:sz w:val="28"/>
          <w:szCs w:val="28"/>
        </w:rPr>
        <w:t xml:space="preserve"> </w:t>
      </w:r>
    </w:p>
    <w:p w:rsidR="001E3430" w:rsidRDefault="001E3430" w:rsidP="00190FF5">
      <w:pPr>
        <w:pStyle w:val="NormalWeb"/>
        <w:spacing w:before="0" w:beforeAutospacing="0" w:after="0" w:afterAutospacing="0" w:line="300" w:lineRule="exact"/>
        <w:jc w:val="center"/>
        <w:rPr>
          <w:b/>
          <w:bCs/>
        </w:rPr>
      </w:pPr>
      <w:r>
        <w:rPr>
          <w:b/>
          <w:bCs/>
        </w:rPr>
        <w:t xml:space="preserve">- Octobre </w:t>
      </w:r>
      <w:r w:rsidRPr="00E82E2E">
        <w:rPr>
          <w:b/>
          <w:bCs/>
        </w:rPr>
        <w:t>201</w:t>
      </w:r>
      <w:r>
        <w:rPr>
          <w:b/>
          <w:bCs/>
        </w:rPr>
        <w:t>5</w:t>
      </w:r>
      <w:r w:rsidRPr="00E82E2E">
        <w:rPr>
          <w:b/>
          <w:bCs/>
        </w:rPr>
        <w:t xml:space="preserve"> </w:t>
      </w:r>
      <w:r>
        <w:rPr>
          <w:b/>
          <w:bCs/>
        </w:rPr>
        <w:t>-</w:t>
      </w:r>
    </w:p>
    <w:p w:rsidR="001E3430" w:rsidRDefault="001E3430" w:rsidP="00E339EB">
      <w:pPr>
        <w:pStyle w:val="NormalWeb"/>
        <w:spacing w:before="0" w:beforeAutospacing="0" w:after="0" w:afterAutospacing="0" w:line="260" w:lineRule="exact"/>
        <w:jc w:val="center"/>
        <w:rPr>
          <w:b/>
          <w:bCs/>
          <w:sz w:val="16"/>
          <w:szCs w:val="16"/>
        </w:rPr>
      </w:pPr>
    </w:p>
    <w:p w:rsidR="001E3430" w:rsidRPr="00A75CAA" w:rsidRDefault="001E3430" w:rsidP="00E339EB">
      <w:pPr>
        <w:pStyle w:val="NormalWeb"/>
        <w:spacing w:before="0" w:beforeAutospacing="0" w:after="0" w:afterAutospacing="0" w:line="260" w:lineRule="exact"/>
        <w:jc w:val="center"/>
        <w:rPr>
          <w:b/>
          <w:bCs/>
          <w:sz w:val="16"/>
          <w:szCs w:val="16"/>
        </w:rPr>
      </w:pPr>
    </w:p>
    <w:p w:rsidR="001E3430" w:rsidRDefault="001E3430" w:rsidP="00306E33">
      <w:pPr>
        <w:jc w:val="both"/>
        <w:rPr>
          <w:rFonts w:ascii="Arial" w:hAnsi="Arial" w:cs="Arial"/>
          <w:sz w:val="20"/>
          <w:szCs w:val="20"/>
        </w:rPr>
      </w:pPr>
      <w:r>
        <w:rPr>
          <w:rFonts w:ascii="Arial" w:hAnsi="Arial" w:cs="Arial"/>
          <w:sz w:val="20"/>
          <w:szCs w:val="20"/>
        </w:rPr>
        <w:t>Sous l’effet d’une amélioration de 16,6% de la valeur ajoutée agricole, en glissement annuel, l’</w:t>
      </w:r>
      <w:r w:rsidRPr="00FE5044">
        <w:rPr>
          <w:rFonts w:ascii="Arial" w:hAnsi="Arial" w:cs="Arial"/>
          <w:sz w:val="20"/>
          <w:szCs w:val="20"/>
        </w:rPr>
        <w:t xml:space="preserve">économie nationale </w:t>
      </w:r>
      <w:r>
        <w:rPr>
          <w:rFonts w:ascii="Arial" w:hAnsi="Arial" w:cs="Arial"/>
          <w:sz w:val="20"/>
          <w:szCs w:val="20"/>
        </w:rPr>
        <w:t>aurait réalisé une croissance de 4,5%</w:t>
      </w:r>
      <w:r w:rsidRPr="00FE5044">
        <w:rPr>
          <w:rFonts w:ascii="Arial" w:hAnsi="Arial" w:cs="Arial"/>
          <w:sz w:val="20"/>
          <w:szCs w:val="20"/>
        </w:rPr>
        <w:t xml:space="preserve"> au </w:t>
      </w:r>
      <w:r>
        <w:rPr>
          <w:rFonts w:ascii="Arial" w:hAnsi="Arial" w:cs="Arial"/>
          <w:sz w:val="20"/>
          <w:szCs w:val="20"/>
        </w:rPr>
        <w:t>troisième</w:t>
      </w:r>
      <w:r w:rsidRPr="00FE5044">
        <w:rPr>
          <w:rFonts w:ascii="Arial" w:hAnsi="Arial" w:cs="Arial"/>
          <w:sz w:val="20"/>
          <w:szCs w:val="20"/>
        </w:rPr>
        <w:t xml:space="preserve"> trimestre 2015, </w:t>
      </w:r>
      <w:r>
        <w:rPr>
          <w:rFonts w:ascii="Arial" w:hAnsi="Arial" w:cs="Arial"/>
          <w:sz w:val="20"/>
          <w:szCs w:val="20"/>
        </w:rPr>
        <w:t xml:space="preserve">au lieu de +4,3% au deuxième trimestre. Hors agriculture, la valeur ajoutée aurait connu une progression de 1,8%, tirée par les branches tertiaires. Au quatrième trimestre, la valeur ajoutée hors agriculture croîtrait de 2% et celle des activités agricoles se renforcerait de 16,1%, situant, ainsi, </w:t>
      </w:r>
      <w:r w:rsidRPr="00FE5044">
        <w:rPr>
          <w:rFonts w:ascii="Arial" w:hAnsi="Arial" w:cs="Arial"/>
          <w:sz w:val="20"/>
          <w:szCs w:val="20"/>
        </w:rPr>
        <w:t>la croissance économique globale</w:t>
      </w:r>
      <w:r>
        <w:rPr>
          <w:rFonts w:ascii="Arial" w:hAnsi="Arial" w:cs="Arial"/>
          <w:sz w:val="20"/>
          <w:szCs w:val="20"/>
        </w:rPr>
        <w:t xml:space="preserve"> à </w:t>
      </w:r>
      <w:r w:rsidRPr="00FE5044">
        <w:rPr>
          <w:rFonts w:ascii="Arial" w:hAnsi="Arial" w:cs="Arial"/>
          <w:sz w:val="20"/>
          <w:szCs w:val="20"/>
        </w:rPr>
        <w:t>4,</w:t>
      </w:r>
      <w:r>
        <w:rPr>
          <w:rFonts w:ascii="Arial" w:hAnsi="Arial" w:cs="Arial"/>
          <w:sz w:val="20"/>
          <w:szCs w:val="20"/>
        </w:rPr>
        <w:t>7</w:t>
      </w:r>
      <w:r w:rsidRPr="00FE5044">
        <w:rPr>
          <w:rFonts w:ascii="Arial" w:hAnsi="Arial" w:cs="Arial"/>
          <w:sz w:val="20"/>
          <w:szCs w:val="20"/>
        </w:rPr>
        <w:t>%</w:t>
      </w:r>
      <w:r>
        <w:rPr>
          <w:rFonts w:ascii="Arial" w:hAnsi="Arial" w:cs="Arial"/>
          <w:sz w:val="20"/>
          <w:szCs w:val="20"/>
        </w:rPr>
        <w:t xml:space="preserve">, au lieu de 2,2% lors de la même période une année plus tôt. </w:t>
      </w:r>
    </w:p>
    <w:p w:rsidR="001E3430" w:rsidRDefault="001E3430" w:rsidP="00931CFC">
      <w:pPr>
        <w:jc w:val="both"/>
        <w:rPr>
          <w:rFonts w:ascii="Arial" w:hAnsi="Arial" w:cs="Arial"/>
          <w:sz w:val="20"/>
          <w:szCs w:val="20"/>
        </w:rPr>
      </w:pPr>
    </w:p>
    <w:p w:rsidR="001E3430" w:rsidRPr="00F37FBF" w:rsidRDefault="00BF112B" w:rsidP="00571C42">
      <w:pPr>
        <w:autoSpaceDE w:val="0"/>
        <w:autoSpaceDN w:val="0"/>
        <w:adjustRightInd w:val="0"/>
        <w:jc w:val="both"/>
        <w:rPr>
          <w:rFonts w:ascii="Arial" w:hAnsi="Arial" w:cs="Arial"/>
          <w:b/>
          <w:bCs/>
          <w:color w:val="800000"/>
          <w:kern w:val="28"/>
          <w:sz w:val="20"/>
          <w:szCs w:val="20"/>
        </w:rPr>
      </w:pPr>
      <w:r>
        <w:rPr>
          <w:noProof/>
        </w:rPr>
        <w:drawing>
          <wp:anchor distT="0" distB="0" distL="114300" distR="114300" simplePos="0" relativeHeight="251660288" behindDoc="0" locked="0" layoutInCell="1" allowOverlap="1">
            <wp:simplePos x="0" y="0"/>
            <wp:positionH relativeFrom="column">
              <wp:posOffset>4112260</wp:posOffset>
            </wp:positionH>
            <wp:positionV relativeFrom="paragraph">
              <wp:posOffset>64135</wp:posOffset>
            </wp:positionV>
            <wp:extent cx="2457450" cy="2070100"/>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9"/>
                    <a:srcRect/>
                    <a:stretch>
                      <a:fillRect/>
                    </a:stretch>
                  </pic:blipFill>
                  <pic:spPr bwMode="auto">
                    <a:xfrm>
                      <a:off x="0" y="0"/>
                      <a:ext cx="2457450" cy="2070100"/>
                    </a:xfrm>
                    <a:prstGeom prst="rect">
                      <a:avLst/>
                    </a:prstGeom>
                    <a:noFill/>
                  </pic:spPr>
                </pic:pic>
              </a:graphicData>
            </a:graphic>
          </wp:anchor>
        </w:drawing>
      </w:r>
      <w:r w:rsidR="001E3430">
        <w:rPr>
          <w:rFonts w:ascii="Arial" w:hAnsi="Arial" w:cs="Arial"/>
          <w:b/>
          <w:bCs/>
          <w:color w:val="800000"/>
          <w:kern w:val="28"/>
          <w:sz w:val="20"/>
          <w:szCs w:val="20"/>
        </w:rPr>
        <w:t>Une</w:t>
      </w:r>
      <w:r w:rsidR="001E3430" w:rsidRPr="00F37FBF">
        <w:rPr>
          <w:rFonts w:ascii="Arial" w:hAnsi="Arial" w:cs="Arial"/>
          <w:b/>
          <w:bCs/>
          <w:color w:val="800000"/>
          <w:kern w:val="28"/>
          <w:sz w:val="20"/>
          <w:szCs w:val="20"/>
        </w:rPr>
        <w:t xml:space="preserve"> demande extérieure </w:t>
      </w:r>
      <w:r w:rsidR="001E3430">
        <w:rPr>
          <w:rFonts w:ascii="Arial" w:hAnsi="Arial" w:cs="Arial"/>
          <w:b/>
          <w:bCs/>
          <w:color w:val="800000"/>
          <w:kern w:val="28"/>
          <w:sz w:val="20"/>
          <w:szCs w:val="20"/>
        </w:rPr>
        <w:t xml:space="preserve">résiliente </w:t>
      </w:r>
      <w:r w:rsidR="001E3430" w:rsidRPr="00F37FBF">
        <w:rPr>
          <w:rFonts w:ascii="Arial" w:hAnsi="Arial" w:cs="Arial"/>
          <w:b/>
          <w:bCs/>
          <w:color w:val="800000"/>
          <w:kern w:val="28"/>
          <w:sz w:val="20"/>
          <w:szCs w:val="20"/>
        </w:rPr>
        <w:t>au troisième trimestre 2015</w:t>
      </w:r>
    </w:p>
    <w:p w:rsidR="001E3430" w:rsidRPr="009339D1" w:rsidRDefault="001E3430" w:rsidP="00A75CAA">
      <w:pPr>
        <w:jc w:val="both"/>
        <w:rPr>
          <w:rFonts w:ascii="Arial" w:hAnsi="Arial" w:cs="Arial"/>
          <w:sz w:val="20"/>
          <w:szCs w:val="20"/>
        </w:rPr>
      </w:pPr>
    </w:p>
    <w:p w:rsidR="001E3430" w:rsidRPr="009339D1" w:rsidRDefault="001E3430" w:rsidP="00B84534">
      <w:pPr>
        <w:jc w:val="both"/>
        <w:rPr>
          <w:rFonts w:ascii="Arial" w:hAnsi="Arial" w:cs="Arial"/>
          <w:sz w:val="20"/>
          <w:szCs w:val="20"/>
        </w:rPr>
      </w:pPr>
      <w:r w:rsidRPr="009339D1">
        <w:rPr>
          <w:rFonts w:ascii="Arial" w:hAnsi="Arial" w:cs="Arial"/>
          <w:iCs/>
          <w:color w:val="000000"/>
          <w:sz w:val="20"/>
          <w:szCs w:val="20"/>
          <w:lang w:eastAsia="en-US"/>
        </w:rPr>
        <w:t xml:space="preserve">Au troisième trimestre 2015, </w:t>
      </w:r>
      <w:r w:rsidRPr="009339D1">
        <w:rPr>
          <w:rFonts w:ascii="Arial" w:hAnsi="Arial" w:cs="Arial"/>
          <w:b/>
          <w:bCs/>
          <w:iCs/>
          <w:color w:val="000000"/>
          <w:sz w:val="20"/>
          <w:szCs w:val="20"/>
          <w:lang w:eastAsia="en-US"/>
        </w:rPr>
        <w:t>l’économie des pays avancés</w:t>
      </w:r>
      <w:r w:rsidRPr="009339D1">
        <w:rPr>
          <w:rFonts w:ascii="Arial" w:hAnsi="Arial" w:cs="Arial"/>
          <w:iCs/>
          <w:color w:val="000000"/>
          <w:sz w:val="20"/>
          <w:szCs w:val="20"/>
          <w:lang w:eastAsia="en-US"/>
        </w:rPr>
        <w:t xml:space="preserve"> aurait gagné en dynamisme, alors que celle des pays émergents aurait poursuivi son ralentissement, pâtissant de l’essoufflement de l’économie chinoise et de la récession de pays exportateurs de matières premières, comme le Brésil et la Russie. Ce ralentissement aurait</w:t>
      </w:r>
      <w:r w:rsidRPr="009339D1">
        <w:rPr>
          <w:rFonts w:ascii="Arial" w:hAnsi="Arial" w:cs="Arial"/>
          <w:sz w:val="20"/>
          <w:szCs w:val="20"/>
        </w:rPr>
        <w:t xml:space="preserve"> provoqué des turbulences sur les marchés financiers, induit une nouvelle baisse des prix des matières premières et influé le commerce mondial, dont la hausse n’aurait pas dépassé 0,8%, en glissement annuel. </w:t>
      </w:r>
      <w:r w:rsidRPr="009339D1">
        <w:rPr>
          <w:rFonts w:ascii="Arial" w:hAnsi="Arial" w:cs="Arial"/>
          <w:iCs/>
          <w:color w:val="000000"/>
          <w:sz w:val="20"/>
          <w:szCs w:val="20"/>
          <w:lang w:eastAsia="en-US"/>
        </w:rPr>
        <w:t xml:space="preserve">La croissance dans les pays anglo-saxons aurait profité de l’évolution favorable de la demande intérieure privée et celle de la zone euro aurait bénéficié, pour sa part, de la conjonction </w:t>
      </w:r>
      <w:r w:rsidRPr="009339D1">
        <w:rPr>
          <w:rFonts w:ascii="Arial" w:hAnsi="Arial" w:cs="Arial"/>
          <w:sz w:val="20"/>
          <w:szCs w:val="20"/>
        </w:rPr>
        <w:t xml:space="preserve">de facteurs favorables, comme le reflux des prix du pétrole, la dépréciation de l’euro et une politique monétaire accommodante. </w:t>
      </w:r>
    </w:p>
    <w:p w:rsidR="001E3430" w:rsidRPr="009339D1" w:rsidRDefault="001E3430" w:rsidP="00A75CAA">
      <w:pPr>
        <w:jc w:val="both"/>
        <w:rPr>
          <w:rFonts w:ascii="Arial" w:hAnsi="Arial" w:cs="Arial"/>
          <w:sz w:val="20"/>
          <w:szCs w:val="20"/>
        </w:rPr>
      </w:pPr>
    </w:p>
    <w:p w:rsidR="001E3430" w:rsidRPr="009339D1" w:rsidRDefault="001E3430" w:rsidP="00F00CF6">
      <w:pPr>
        <w:jc w:val="both"/>
        <w:rPr>
          <w:rFonts w:ascii="Arial" w:hAnsi="Arial" w:cs="Arial"/>
          <w:iCs/>
          <w:color w:val="000000"/>
          <w:sz w:val="20"/>
          <w:szCs w:val="20"/>
          <w:lang w:eastAsia="en-US"/>
        </w:rPr>
      </w:pPr>
      <w:r w:rsidRPr="009339D1">
        <w:rPr>
          <w:rFonts w:ascii="Arial" w:hAnsi="Arial" w:cs="Arial"/>
          <w:iCs/>
          <w:color w:val="000000"/>
          <w:sz w:val="20"/>
          <w:szCs w:val="20"/>
          <w:lang w:eastAsia="en-US"/>
        </w:rPr>
        <w:t xml:space="preserve">Les </w:t>
      </w:r>
      <w:r w:rsidRPr="009339D1">
        <w:rPr>
          <w:rFonts w:ascii="Arial" w:hAnsi="Arial" w:cs="Arial"/>
          <w:b/>
          <w:iCs/>
          <w:color w:val="000000"/>
          <w:sz w:val="20"/>
          <w:szCs w:val="20"/>
          <w:lang w:eastAsia="en-US"/>
        </w:rPr>
        <w:t xml:space="preserve">exportations nationales </w:t>
      </w:r>
      <w:r w:rsidRPr="009339D1">
        <w:rPr>
          <w:rFonts w:ascii="Arial" w:hAnsi="Arial" w:cs="Arial"/>
          <w:iCs/>
          <w:color w:val="000000"/>
          <w:sz w:val="20"/>
          <w:szCs w:val="20"/>
          <w:lang w:eastAsia="en-US"/>
        </w:rPr>
        <w:t xml:space="preserve">de biens en valeur auraient continué à s’améliorer au troisième trimestre 2015, affichant une progression estimée à 5,3%, </w:t>
      </w:r>
      <w:r>
        <w:rPr>
          <w:rFonts w:ascii="Arial" w:hAnsi="Arial" w:cs="Arial"/>
          <w:iCs/>
          <w:color w:val="000000"/>
          <w:sz w:val="20"/>
          <w:szCs w:val="20"/>
          <w:lang w:eastAsia="en-US"/>
        </w:rPr>
        <w:t>dans un contexte d’une</w:t>
      </w:r>
      <w:r w:rsidRPr="009339D1">
        <w:rPr>
          <w:rFonts w:ascii="Arial" w:hAnsi="Arial" w:cs="Arial"/>
          <w:iCs/>
          <w:color w:val="000000"/>
          <w:sz w:val="20"/>
          <w:szCs w:val="20"/>
          <w:lang w:eastAsia="en-US"/>
        </w:rPr>
        <w:t xml:space="preserve"> hausse de 2,4%, en glissement annuel, de la demande étrangère adressée au Maroc. Les ventes extérieures du secteur de l’automobile, dont la part dans le total exporté a gagné 10 points en 7 ans, pour atteindre 20,1%, </w:t>
      </w:r>
      <w:r>
        <w:rPr>
          <w:rFonts w:ascii="Arial" w:hAnsi="Arial" w:cs="Arial"/>
          <w:iCs/>
          <w:color w:val="000000"/>
          <w:sz w:val="20"/>
          <w:szCs w:val="20"/>
          <w:lang w:eastAsia="en-US"/>
        </w:rPr>
        <w:t>auraien</w:t>
      </w:r>
      <w:r w:rsidRPr="009339D1">
        <w:rPr>
          <w:rFonts w:ascii="Arial" w:hAnsi="Arial" w:cs="Arial"/>
          <w:iCs/>
          <w:color w:val="000000"/>
          <w:sz w:val="20"/>
          <w:szCs w:val="20"/>
          <w:lang w:eastAsia="en-US"/>
        </w:rPr>
        <w:t>t contribué positivement à cette évolution, suivies par celles du secteur électronique et, dans une moindre mesure, du secteur de la confection et de la chaussure. Les expéditions du phosphate brut et de l’acide phosphorique auraient, quant à elles, tiré profit de l’effet prix à l’export, consécutivement à la hausse de leurs cours sur le marché mondial, mais également de la bonne orientation de la demande extérieure.</w:t>
      </w:r>
    </w:p>
    <w:p w:rsidR="001E3430" w:rsidRPr="009339D1" w:rsidRDefault="001E3430" w:rsidP="00A75CAA">
      <w:pPr>
        <w:jc w:val="both"/>
        <w:rPr>
          <w:rFonts w:ascii="Arial" w:hAnsi="Arial" w:cs="Arial"/>
          <w:iCs/>
          <w:color w:val="000000"/>
          <w:sz w:val="20"/>
          <w:szCs w:val="20"/>
          <w:lang w:eastAsia="en-US"/>
        </w:rPr>
      </w:pPr>
    </w:p>
    <w:p w:rsidR="001E3430" w:rsidRDefault="001E3430" w:rsidP="00C13951">
      <w:pPr>
        <w:spacing w:after="60"/>
        <w:jc w:val="both"/>
        <w:rPr>
          <w:rFonts w:ascii="Arial" w:hAnsi="Arial" w:cs="Arial"/>
          <w:kern w:val="28"/>
          <w:sz w:val="20"/>
          <w:szCs w:val="20"/>
        </w:rPr>
      </w:pPr>
      <w:r w:rsidRPr="009339D1">
        <w:rPr>
          <w:rFonts w:ascii="Arial" w:hAnsi="Arial" w:cs="Arial"/>
          <w:iCs/>
          <w:sz w:val="20"/>
          <w:szCs w:val="20"/>
        </w:rPr>
        <w:t xml:space="preserve">En revanche, les </w:t>
      </w:r>
      <w:r w:rsidRPr="009339D1">
        <w:rPr>
          <w:rFonts w:ascii="Arial" w:hAnsi="Arial" w:cs="Arial"/>
          <w:b/>
          <w:bCs/>
          <w:iCs/>
          <w:sz w:val="20"/>
          <w:szCs w:val="20"/>
        </w:rPr>
        <w:t xml:space="preserve">importations, </w:t>
      </w:r>
      <w:r w:rsidRPr="009339D1">
        <w:rPr>
          <w:rFonts w:ascii="Arial" w:hAnsi="Arial" w:cs="Arial"/>
          <w:bCs/>
          <w:iCs/>
          <w:sz w:val="20"/>
          <w:szCs w:val="20"/>
        </w:rPr>
        <w:t>en baisse de 0,9%,</w:t>
      </w:r>
      <w:r w:rsidRPr="009339D1">
        <w:rPr>
          <w:rFonts w:ascii="Arial" w:hAnsi="Arial" w:cs="Arial"/>
          <w:iCs/>
          <w:kern w:val="28"/>
          <w:sz w:val="20"/>
          <w:szCs w:val="20"/>
        </w:rPr>
        <w:t xml:space="preserve"> auraient reflué pour le troisième trimestre consécutif. Cette baisse aurait concerné particulièrement les acquisitions des biens énergétiques et alimentaires. La facture énergétique se serait, ainsi, allégée de près de 26,7%, suite à l’apaisement des prix du pétrole sur le marché mondial ; le cours du baril de Brent ayant été divisé par deux en l’espace d’un an, pour atteindre 47$ en août 2015. Les importations hors énergie se seraient, au contraire, inscrites en hausse de 8,5%, alimentées par l’accroissement des achats des </w:t>
      </w:r>
      <w:r w:rsidRPr="009339D1">
        <w:rPr>
          <w:rFonts w:ascii="Arial" w:hAnsi="Arial" w:cs="Arial"/>
          <w:kern w:val="28"/>
          <w:sz w:val="20"/>
          <w:szCs w:val="20"/>
        </w:rPr>
        <w:t xml:space="preserve">biens d’équipement (machines et appareils divers, avions et appareils de téléphonie) </w:t>
      </w:r>
      <w:r w:rsidRPr="009339D1">
        <w:rPr>
          <w:rFonts w:ascii="Arial" w:hAnsi="Arial" w:cs="Arial"/>
          <w:iCs/>
          <w:kern w:val="28"/>
          <w:sz w:val="20"/>
          <w:szCs w:val="20"/>
        </w:rPr>
        <w:t>et, dans une moindre mesure, par celles des biens de consommation (voitures de tourisme)</w:t>
      </w:r>
      <w:r w:rsidRPr="009339D1">
        <w:rPr>
          <w:rFonts w:ascii="Arial" w:hAnsi="Arial" w:cs="Arial"/>
          <w:kern w:val="28"/>
          <w:sz w:val="20"/>
          <w:szCs w:val="20"/>
        </w:rPr>
        <w:t>, soutenues par la demande intérieure.</w:t>
      </w:r>
    </w:p>
    <w:p w:rsidR="001E3430" w:rsidRPr="009339D1" w:rsidRDefault="001E3430" w:rsidP="00C13951">
      <w:pPr>
        <w:spacing w:after="60"/>
        <w:jc w:val="both"/>
        <w:rPr>
          <w:rFonts w:ascii="Arial" w:hAnsi="Arial" w:cs="Arial"/>
          <w:kern w:val="28"/>
          <w:sz w:val="20"/>
          <w:szCs w:val="20"/>
        </w:rPr>
      </w:pPr>
    </w:p>
    <w:p w:rsidR="001E3430" w:rsidRDefault="001E3430" w:rsidP="00571C42">
      <w:pPr>
        <w:spacing w:after="120"/>
        <w:jc w:val="both"/>
        <w:rPr>
          <w:rFonts w:ascii="Arial" w:hAnsi="Arial" w:cs="Arial"/>
          <w:iCs/>
          <w:kern w:val="28"/>
          <w:sz w:val="20"/>
          <w:szCs w:val="20"/>
        </w:rPr>
      </w:pPr>
      <w:r w:rsidRPr="009339D1">
        <w:rPr>
          <w:rFonts w:ascii="Arial" w:hAnsi="Arial" w:cs="Arial"/>
          <w:iCs/>
          <w:kern w:val="28"/>
          <w:sz w:val="20"/>
          <w:szCs w:val="20"/>
        </w:rPr>
        <w:t>Dans ce contexte, l</w:t>
      </w:r>
      <w:r>
        <w:rPr>
          <w:rFonts w:ascii="Arial" w:hAnsi="Arial" w:cs="Arial"/>
          <w:iCs/>
          <w:kern w:val="28"/>
          <w:sz w:val="20"/>
          <w:szCs w:val="20"/>
        </w:rPr>
        <w:t xml:space="preserve">e </w:t>
      </w:r>
      <w:r w:rsidRPr="009339D1">
        <w:rPr>
          <w:rFonts w:ascii="Arial" w:hAnsi="Arial" w:cs="Arial"/>
          <w:iCs/>
          <w:kern w:val="28"/>
          <w:sz w:val="20"/>
          <w:szCs w:val="20"/>
        </w:rPr>
        <w:t xml:space="preserve">déficit </w:t>
      </w:r>
      <w:r>
        <w:rPr>
          <w:rFonts w:ascii="Arial" w:hAnsi="Arial" w:cs="Arial"/>
          <w:iCs/>
          <w:kern w:val="28"/>
          <w:sz w:val="20"/>
          <w:szCs w:val="20"/>
        </w:rPr>
        <w:t xml:space="preserve">commercial se serait </w:t>
      </w:r>
      <w:r w:rsidRPr="009339D1">
        <w:rPr>
          <w:rFonts w:ascii="Arial" w:hAnsi="Arial" w:cs="Arial"/>
          <w:iCs/>
          <w:kern w:val="28"/>
          <w:sz w:val="20"/>
          <w:szCs w:val="20"/>
        </w:rPr>
        <w:t>allég</w:t>
      </w:r>
      <w:r>
        <w:rPr>
          <w:rFonts w:ascii="Arial" w:hAnsi="Arial" w:cs="Arial"/>
          <w:iCs/>
          <w:kern w:val="28"/>
          <w:sz w:val="20"/>
          <w:szCs w:val="20"/>
        </w:rPr>
        <w:t>é</w:t>
      </w:r>
      <w:r w:rsidRPr="009339D1">
        <w:rPr>
          <w:rFonts w:ascii="Arial" w:hAnsi="Arial" w:cs="Arial"/>
          <w:iCs/>
          <w:kern w:val="28"/>
          <w:sz w:val="20"/>
          <w:szCs w:val="20"/>
        </w:rPr>
        <w:t xml:space="preserve"> de 7,9%, en glissement annuel, en raison de la hausse des exportations et du reflux des importations. Cette situation se serait, par ailleurs, traduite par une amélioration du taux de couverture estimée à 3,3 points, pour atteindre 56,2%. </w:t>
      </w:r>
    </w:p>
    <w:p w:rsidR="001E3430" w:rsidRPr="00327DAD" w:rsidRDefault="001E3430" w:rsidP="00190FF5">
      <w:pPr>
        <w:pBdr>
          <w:top w:val="single" w:sz="4" w:space="3" w:color="auto"/>
        </w:pBdr>
        <w:jc w:val="both"/>
        <w:rPr>
          <w:rFonts w:ascii="Arial" w:hAnsi="Arial" w:cs="Arial"/>
          <w:bCs/>
          <w:i/>
          <w:kern w:val="28"/>
          <w:sz w:val="14"/>
          <w:szCs w:val="14"/>
        </w:rPr>
      </w:pPr>
      <w:r w:rsidRPr="00327DAD">
        <w:rPr>
          <w:rFonts w:ascii="Arial" w:hAnsi="Arial" w:cs="Arial"/>
          <w:bCs/>
          <w:i/>
          <w:kern w:val="28"/>
          <w:sz w:val="14"/>
          <w:szCs w:val="14"/>
        </w:rPr>
        <w:t>Pour plus de détails, se référer à la publication « </w:t>
      </w:r>
      <w:r>
        <w:rPr>
          <w:rFonts w:ascii="Arial" w:hAnsi="Arial" w:cs="Arial"/>
          <w:bCs/>
          <w:i/>
          <w:kern w:val="28"/>
          <w:sz w:val="14"/>
          <w:szCs w:val="14"/>
        </w:rPr>
        <w:t>Point</w:t>
      </w:r>
      <w:r w:rsidRPr="00327DAD">
        <w:rPr>
          <w:rFonts w:ascii="Arial" w:hAnsi="Arial" w:cs="Arial"/>
          <w:bCs/>
          <w:i/>
          <w:kern w:val="28"/>
          <w:sz w:val="14"/>
          <w:szCs w:val="14"/>
        </w:rPr>
        <w:t xml:space="preserve"> de conjoncture n°2</w:t>
      </w:r>
      <w:r>
        <w:rPr>
          <w:rFonts w:ascii="Arial" w:hAnsi="Arial" w:cs="Arial"/>
          <w:bCs/>
          <w:i/>
          <w:kern w:val="28"/>
          <w:sz w:val="14"/>
          <w:szCs w:val="14"/>
        </w:rPr>
        <w:t>9</w:t>
      </w:r>
      <w:r w:rsidRPr="00327DAD">
        <w:rPr>
          <w:rFonts w:ascii="Arial" w:hAnsi="Arial" w:cs="Arial"/>
          <w:bCs/>
          <w:i/>
          <w:kern w:val="28"/>
          <w:sz w:val="14"/>
          <w:szCs w:val="14"/>
        </w:rPr>
        <w:t>» qui sera incessamment hébergée sur le site du HCP. La reproduction des informations, contenues dans cette publication, est autorisée, sous réserve d’en mentionner expressément la source.</w:t>
      </w:r>
    </w:p>
    <w:p w:rsidR="001E3430" w:rsidRDefault="001E3430" w:rsidP="00A84AD5">
      <w:pPr>
        <w:autoSpaceDE w:val="0"/>
        <w:autoSpaceDN w:val="0"/>
        <w:adjustRightInd w:val="0"/>
        <w:jc w:val="both"/>
        <w:rPr>
          <w:rFonts w:ascii="Arial" w:hAnsi="Arial" w:cs="Arial"/>
          <w:b/>
          <w:bCs/>
          <w:color w:val="800000"/>
          <w:kern w:val="28"/>
          <w:sz w:val="20"/>
          <w:szCs w:val="20"/>
        </w:rPr>
      </w:pPr>
    </w:p>
    <w:p w:rsidR="001E3430" w:rsidRDefault="00BF112B" w:rsidP="00A84AD5">
      <w:pPr>
        <w:autoSpaceDE w:val="0"/>
        <w:autoSpaceDN w:val="0"/>
        <w:adjustRightInd w:val="0"/>
        <w:jc w:val="both"/>
        <w:rPr>
          <w:rFonts w:ascii="Arial" w:hAnsi="Arial" w:cs="Arial"/>
          <w:b/>
          <w:bCs/>
          <w:color w:val="800000"/>
          <w:kern w:val="28"/>
          <w:sz w:val="20"/>
          <w:szCs w:val="20"/>
        </w:rPr>
      </w:pPr>
      <w:r>
        <w:rPr>
          <w:noProof/>
        </w:rPr>
        <w:lastRenderedPageBreak/>
        <w:drawing>
          <wp:anchor distT="0" distB="0" distL="114300" distR="114300" simplePos="0" relativeHeight="251657216" behindDoc="0" locked="0" layoutInCell="1" allowOverlap="1">
            <wp:simplePos x="0" y="0"/>
            <wp:positionH relativeFrom="column">
              <wp:posOffset>4114800</wp:posOffset>
            </wp:positionH>
            <wp:positionV relativeFrom="paragraph">
              <wp:posOffset>65405</wp:posOffset>
            </wp:positionV>
            <wp:extent cx="2390140" cy="1943100"/>
            <wp:effectExtent l="0" t="0" r="0" b="0"/>
            <wp:wrapSquare wrapText="bothSides"/>
            <wp:docPr id="12" name="Imag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9"/>
                    <pic:cNvPicPr>
                      <a:picLocks noChangeAspect="1" noChangeArrowheads="1"/>
                    </pic:cNvPicPr>
                  </pic:nvPicPr>
                  <pic:blipFill>
                    <a:blip r:embed="rId10"/>
                    <a:srcRect/>
                    <a:stretch>
                      <a:fillRect/>
                    </a:stretch>
                  </pic:blipFill>
                  <pic:spPr bwMode="auto">
                    <a:xfrm>
                      <a:off x="0" y="0"/>
                      <a:ext cx="2390140" cy="1943100"/>
                    </a:xfrm>
                    <a:prstGeom prst="rect">
                      <a:avLst/>
                    </a:prstGeom>
                    <a:noFill/>
                  </pic:spPr>
                </pic:pic>
              </a:graphicData>
            </a:graphic>
          </wp:anchor>
        </w:drawing>
      </w:r>
      <w:r w:rsidR="001E3430">
        <w:rPr>
          <w:rFonts w:ascii="Arial" w:hAnsi="Arial" w:cs="Arial"/>
          <w:b/>
          <w:bCs/>
          <w:color w:val="800000"/>
          <w:kern w:val="28"/>
          <w:sz w:val="20"/>
          <w:szCs w:val="20"/>
        </w:rPr>
        <w:t>Raffermissement de l</w:t>
      </w:r>
      <w:r w:rsidR="001E3430" w:rsidRPr="00DB7C3F">
        <w:rPr>
          <w:rFonts w:ascii="Arial" w:hAnsi="Arial" w:cs="Arial"/>
          <w:b/>
          <w:bCs/>
          <w:color w:val="800000"/>
          <w:kern w:val="28"/>
          <w:sz w:val="20"/>
          <w:szCs w:val="20"/>
        </w:rPr>
        <w:t>a demande intérieure</w:t>
      </w:r>
      <w:r w:rsidR="001E3430">
        <w:rPr>
          <w:rFonts w:ascii="Arial" w:hAnsi="Arial" w:cs="Arial"/>
          <w:b/>
          <w:bCs/>
          <w:color w:val="800000"/>
          <w:kern w:val="28"/>
          <w:sz w:val="20"/>
          <w:szCs w:val="20"/>
        </w:rPr>
        <w:t xml:space="preserve"> </w:t>
      </w:r>
    </w:p>
    <w:p w:rsidR="001E3430" w:rsidRDefault="001E3430" w:rsidP="00A84AD5">
      <w:pPr>
        <w:autoSpaceDE w:val="0"/>
        <w:autoSpaceDN w:val="0"/>
        <w:adjustRightInd w:val="0"/>
        <w:jc w:val="both"/>
        <w:rPr>
          <w:rFonts w:ascii="Arial" w:hAnsi="Arial" w:cs="Arial"/>
          <w:b/>
          <w:bCs/>
          <w:color w:val="800000"/>
          <w:kern w:val="28"/>
          <w:sz w:val="20"/>
          <w:szCs w:val="20"/>
        </w:rPr>
      </w:pPr>
    </w:p>
    <w:p w:rsidR="001E3430" w:rsidRPr="00BA28C6" w:rsidRDefault="001E3430" w:rsidP="00BA28C6">
      <w:pPr>
        <w:jc w:val="both"/>
        <w:rPr>
          <w:rFonts w:ascii="Arial" w:hAnsi="Arial" w:cs="Arial"/>
          <w:sz w:val="20"/>
          <w:szCs w:val="20"/>
        </w:rPr>
      </w:pPr>
      <w:r w:rsidRPr="00BA28C6">
        <w:rPr>
          <w:rFonts w:ascii="Arial" w:hAnsi="Arial" w:cs="Arial"/>
          <w:sz w:val="20"/>
          <w:szCs w:val="20"/>
        </w:rPr>
        <w:t xml:space="preserve">La </w:t>
      </w:r>
      <w:r w:rsidRPr="00BA28C6">
        <w:rPr>
          <w:rFonts w:ascii="Arial" w:hAnsi="Arial" w:cs="Arial"/>
          <w:b/>
          <w:sz w:val="20"/>
          <w:szCs w:val="20"/>
        </w:rPr>
        <w:t>demande intérieure</w:t>
      </w:r>
      <w:r w:rsidRPr="00BA28C6">
        <w:rPr>
          <w:rFonts w:ascii="Arial" w:hAnsi="Arial" w:cs="Arial"/>
          <w:sz w:val="20"/>
          <w:szCs w:val="20"/>
        </w:rPr>
        <w:t xml:space="preserve"> privée, et surtout celle des ménages, aurait continué de soutenir la croissance économique au troisième trimestre</w:t>
      </w:r>
      <w:r>
        <w:rPr>
          <w:rFonts w:ascii="Arial" w:hAnsi="Arial" w:cs="Arial"/>
          <w:sz w:val="20"/>
          <w:szCs w:val="20"/>
        </w:rPr>
        <w:t xml:space="preserve"> 2015</w:t>
      </w:r>
      <w:r w:rsidRPr="00BA28C6">
        <w:rPr>
          <w:rFonts w:ascii="Arial" w:hAnsi="Arial" w:cs="Arial"/>
          <w:sz w:val="20"/>
          <w:szCs w:val="20"/>
        </w:rPr>
        <w:t>. Le renforcement des signaux positifs, notamment l’amélioration du moral des ménages, la hausse de l’emploi rémunéré et la décélération des prix</w:t>
      </w:r>
      <w:r>
        <w:rPr>
          <w:rFonts w:ascii="Arial" w:hAnsi="Arial" w:cs="Arial"/>
          <w:sz w:val="20"/>
          <w:szCs w:val="20"/>
        </w:rPr>
        <w:t xml:space="preserve"> à la consommation</w:t>
      </w:r>
      <w:r w:rsidRPr="00BA28C6">
        <w:rPr>
          <w:rFonts w:ascii="Arial" w:hAnsi="Arial" w:cs="Arial"/>
          <w:sz w:val="20"/>
          <w:szCs w:val="20"/>
        </w:rPr>
        <w:t xml:space="preserve">, aurait favorisé une accélération de la consommation des ménages. En variation annuelle, elle se serait affermie de 3,8%, au lieu de 3,4% au deuxième trimestre. Cette progression aurait été, particulièrement, alimentée par une progression de 5,6% des crédits à la consommation et une augmentation de 6,5% des transferts des MRE, en glissements annuels. </w:t>
      </w:r>
    </w:p>
    <w:p w:rsidR="001E3430" w:rsidRPr="00BD2FA7" w:rsidRDefault="001E3430" w:rsidP="00327DAD">
      <w:pPr>
        <w:autoSpaceDE w:val="0"/>
        <w:autoSpaceDN w:val="0"/>
        <w:adjustRightInd w:val="0"/>
        <w:jc w:val="both"/>
        <w:rPr>
          <w:rFonts w:ascii="Arial" w:hAnsi="Arial" w:cs="Arial"/>
          <w:sz w:val="16"/>
          <w:szCs w:val="16"/>
        </w:rPr>
      </w:pPr>
    </w:p>
    <w:p w:rsidR="001E3430" w:rsidRDefault="001E3430" w:rsidP="00EA0C50">
      <w:pPr>
        <w:autoSpaceDE w:val="0"/>
        <w:autoSpaceDN w:val="0"/>
        <w:adjustRightInd w:val="0"/>
        <w:jc w:val="both"/>
        <w:rPr>
          <w:rFonts w:ascii="Arial" w:hAnsi="Arial" w:cs="Arial"/>
          <w:sz w:val="20"/>
          <w:szCs w:val="20"/>
        </w:rPr>
      </w:pPr>
      <w:r>
        <w:rPr>
          <w:rFonts w:ascii="Arial" w:hAnsi="Arial" w:cs="Arial"/>
          <w:sz w:val="20"/>
          <w:szCs w:val="20"/>
        </w:rPr>
        <w:t>De son coté, l</w:t>
      </w:r>
      <w:r w:rsidRPr="00151281">
        <w:rPr>
          <w:rFonts w:ascii="Arial" w:hAnsi="Arial" w:cs="Arial"/>
          <w:b/>
          <w:bCs/>
          <w:sz w:val="20"/>
          <w:szCs w:val="20"/>
        </w:rPr>
        <w:t>’investissement</w:t>
      </w:r>
      <w:r w:rsidRPr="00262DFD">
        <w:rPr>
          <w:rFonts w:ascii="Arial" w:hAnsi="Arial" w:cs="Arial"/>
          <w:sz w:val="20"/>
          <w:szCs w:val="20"/>
        </w:rPr>
        <w:t xml:space="preserve"> productif aurait</w:t>
      </w:r>
      <w:r>
        <w:rPr>
          <w:rFonts w:ascii="Arial" w:hAnsi="Arial" w:cs="Arial"/>
          <w:sz w:val="20"/>
          <w:szCs w:val="20"/>
        </w:rPr>
        <w:t xml:space="preserve"> enregistré un accroissement de 1,7%, au troisième trimestre 2015, au lieu de 1,2%</w:t>
      </w:r>
      <w:r w:rsidRPr="00262DFD">
        <w:rPr>
          <w:rFonts w:ascii="Arial" w:hAnsi="Arial" w:cs="Arial"/>
          <w:sz w:val="20"/>
          <w:szCs w:val="20"/>
        </w:rPr>
        <w:t xml:space="preserve">, </w:t>
      </w:r>
      <w:r>
        <w:rPr>
          <w:rFonts w:ascii="Arial" w:hAnsi="Arial" w:cs="Arial"/>
          <w:sz w:val="20"/>
          <w:szCs w:val="20"/>
        </w:rPr>
        <w:t xml:space="preserve">un trimestre auparavant. Cette évolution aurait été, principalement, attribuable à un léger redressement </w:t>
      </w:r>
      <w:r w:rsidRPr="00262DFD">
        <w:rPr>
          <w:rFonts w:ascii="Arial" w:hAnsi="Arial" w:cs="Arial"/>
          <w:sz w:val="20"/>
          <w:szCs w:val="20"/>
        </w:rPr>
        <w:t xml:space="preserve">des investissements </w:t>
      </w:r>
      <w:r>
        <w:rPr>
          <w:rFonts w:ascii="Arial" w:hAnsi="Arial" w:cs="Arial"/>
          <w:sz w:val="20"/>
          <w:szCs w:val="20"/>
        </w:rPr>
        <w:t>en construction, sur fond d’un redressement des ventes</w:t>
      </w:r>
      <w:r w:rsidRPr="00991769">
        <w:rPr>
          <w:rFonts w:ascii="Arial" w:hAnsi="Arial" w:cs="Arial"/>
          <w:sz w:val="20"/>
          <w:szCs w:val="20"/>
        </w:rPr>
        <w:t xml:space="preserve"> </w:t>
      </w:r>
      <w:r>
        <w:rPr>
          <w:rFonts w:ascii="Arial" w:hAnsi="Arial" w:cs="Arial"/>
          <w:sz w:val="20"/>
          <w:szCs w:val="20"/>
        </w:rPr>
        <w:t xml:space="preserve">de ciment de </w:t>
      </w:r>
      <w:r w:rsidRPr="00250998">
        <w:rPr>
          <w:rFonts w:ascii="Arial" w:hAnsi="Arial" w:cs="Arial"/>
          <w:sz w:val="20"/>
          <w:szCs w:val="20"/>
        </w:rPr>
        <w:t>5,2%</w:t>
      </w:r>
      <w:r>
        <w:rPr>
          <w:rFonts w:ascii="Arial" w:hAnsi="Arial" w:cs="Arial"/>
          <w:sz w:val="20"/>
          <w:szCs w:val="20"/>
        </w:rPr>
        <w:t xml:space="preserve"> et d’une augmentation de 2,9% du flux des crédits accordés à l’immobilier. L’investissement en produits industriels aurait, pour sa part, maintenu sa croissance modérée, comme en atteste le renforcement des importations de biens d’équipement et l’accroissement de 2,1% de l’encours des crédits à l’équipement, à fin août 2015. </w:t>
      </w:r>
    </w:p>
    <w:p w:rsidR="001E3430" w:rsidRPr="00C10807" w:rsidRDefault="001E3430" w:rsidP="00C10807">
      <w:pPr>
        <w:autoSpaceDE w:val="0"/>
        <w:autoSpaceDN w:val="0"/>
        <w:adjustRightInd w:val="0"/>
        <w:jc w:val="both"/>
        <w:rPr>
          <w:rFonts w:ascii="Arial" w:hAnsi="Arial" w:cs="Arial"/>
          <w:sz w:val="20"/>
          <w:szCs w:val="20"/>
        </w:rPr>
      </w:pPr>
    </w:p>
    <w:p w:rsidR="001E3430" w:rsidRDefault="001E3430" w:rsidP="00457672">
      <w:pPr>
        <w:jc w:val="both"/>
        <w:rPr>
          <w:rFonts w:ascii="Arial" w:hAnsi="Arial" w:cs="Arial"/>
          <w:b/>
          <w:bCs/>
          <w:color w:val="800000"/>
          <w:kern w:val="28"/>
          <w:sz w:val="20"/>
          <w:szCs w:val="20"/>
        </w:rPr>
      </w:pPr>
      <w:r>
        <w:rPr>
          <w:rFonts w:ascii="Arial" w:hAnsi="Arial" w:cs="Arial"/>
          <w:b/>
          <w:bCs/>
          <w:color w:val="800000"/>
          <w:kern w:val="28"/>
          <w:sz w:val="20"/>
          <w:szCs w:val="20"/>
        </w:rPr>
        <w:t>Amélioration modérée du rythme de croissance des activités hors agriculture</w:t>
      </w:r>
    </w:p>
    <w:p w:rsidR="001E3430" w:rsidRDefault="001E3430" w:rsidP="00645ED5">
      <w:pPr>
        <w:jc w:val="both"/>
        <w:rPr>
          <w:rFonts w:ascii="Arial" w:hAnsi="Arial" w:cs="Arial"/>
          <w:sz w:val="20"/>
          <w:szCs w:val="20"/>
        </w:rPr>
      </w:pPr>
    </w:p>
    <w:p w:rsidR="001E3430" w:rsidRDefault="00BF112B" w:rsidP="008D0C14">
      <w:pPr>
        <w:jc w:val="both"/>
        <w:rPr>
          <w:rFonts w:ascii="Arial" w:hAnsi="Arial" w:cs="Arial"/>
          <w:sz w:val="20"/>
          <w:szCs w:val="20"/>
        </w:rPr>
      </w:pPr>
      <w:r>
        <w:rPr>
          <w:noProof/>
        </w:rPr>
        <w:drawing>
          <wp:anchor distT="0" distB="0" distL="114300" distR="114300" simplePos="0" relativeHeight="251655168" behindDoc="0" locked="0" layoutInCell="1" allowOverlap="1">
            <wp:simplePos x="0" y="0"/>
            <wp:positionH relativeFrom="column">
              <wp:posOffset>4185285</wp:posOffset>
            </wp:positionH>
            <wp:positionV relativeFrom="paragraph">
              <wp:posOffset>120650</wp:posOffset>
            </wp:positionV>
            <wp:extent cx="2400300" cy="2165350"/>
            <wp:effectExtent l="0" t="0" r="0" b="0"/>
            <wp:wrapSquare wrapText="bothSides"/>
            <wp:docPr id="13" name="Imag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7"/>
                    <pic:cNvPicPr>
                      <a:picLocks noChangeAspect="1" noChangeArrowheads="1"/>
                    </pic:cNvPicPr>
                  </pic:nvPicPr>
                  <pic:blipFill>
                    <a:blip r:embed="rId11"/>
                    <a:srcRect/>
                    <a:stretch>
                      <a:fillRect/>
                    </a:stretch>
                  </pic:blipFill>
                  <pic:spPr bwMode="auto">
                    <a:xfrm>
                      <a:off x="0" y="0"/>
                      <a:ext cx="2400300" cy="2165350"/>
                    </a:xfrm>
                    <a:prstGeom prst="rect">
                      <a:avLst/>
                    </a:prstGeom>
                    <a:noFill/>
                  </pic:spPr>
                </pic:pic>
              </a:graphicData>
            </a:graphic>
          </wp:anchor>
        </w:drawing>
      </w:r>
      <w:r w:rsidR="001E3430" w:rsidRPr="00873491">
        <w:rPr>
          <w:rFonts w:ascii="Arial" w:hAnsi="Arial" w:cs="Arial"/>
          <w:sz w:val="20"/>
          <w:szCs w:val="20"/>
        </w:rPr>
        <w:t>La croissance des branches</w:t>
      </w:r>
      <w:r w:rsidR="001E3430">
        <w:rPr>
          <w:rFonts w:ascii="Arial" w:hAnsi="Arial" w:cs="Arial"/>
          <w:sz w:val="20"/>
          <w:szCs w:val="20"/>
        </w:rPr>
        <w:t xml:space="preserve"> hors agriculture</w:t>
      </w:r>
      <w:r w:rsidR="001E3430" w:rsidRPr="00873491">
        <w:rPr>
          <w:rFonts w:ascii="Arial" w:hAnsi="Arial" w:cs="Arial"/>
          <w:sz w:val="20"/>
          <w:szCs w:val="20"/>
        </w:rPr>
        <w:t xml:space="preserve"> se serait affermie de </w:t>
      </w:r>
      <w:r w:rsidR="001E3430">
        <w:rPr>
          <w:rFonts w:ascii="Arial" w:hAnsi="Arial" w:cs="Arial"/>
          <w:sz w:val="20"/>
          <w:szCs w:val="20"/>
        </w:rPr>
        <w:t>1,8</w:t>
      </w:r>
      <w:r w:rsidR="001E3430" w:rsidRPr="00873491">
        <w:rPr>
          <w:rFonts w:ascii="Arial" w:hAnsi="Arial" w:cs="Arial"/>
          <w:sz w:val="20"/>
          <w:szCs w:val="20"/>
        </w:rPr>
        <w:t xml:space="preserve">%, au troisième trimestre 2015, au lieu de </w:t>
      </w:r>
      <w:r w:rsidR="001E3430">
        <w:rPr>
          <w:rFonts w:ascii="Arial" w:hAnsi="Arial" w:cs="Arial"/>
          <w:sz w:val="20"/>
          <w:szCs w:val="20"/>
        </w:rPr>
        <w:t>1,6</w:t>
      </w:r>
      <w:r w:rsidR="001E3430" w:rsidRPr="00873491">
        <w:rPr>
          <w:rFonts w:ascii="Arial" w:hAnsi="Arial" w:cs="Arial"/>
          <w:sz w:val="20"/>
          <w:szCs w:val="20"/>
        </w:rPr>
        <w:t xml:space="preserve">% au deuxième trimestre. L’activité serait restée particulièrement dynamique dans </w:t>
      </w:r>
      <w:r w:rsidR="001E3430">
        <w:rPr>
          <w:rFonts w:ascii="Arial" w:hAnsi="Arial" w:cs="Arial"/>
          <w:sz w:val="20"/>
          <w:szCs w:val="20"/>
        </w:rPr>
        <w:t xml:space="preserve">la branche électrique et </w:t>
      </w:r>
      <w:r w:rsidR="001E3430" w:rsidRPr="00873491">
        <w:rPr>
          <w:rFonts w:ascii="Arial" w:hAnsi="Arial" w:cs="Arial"/>
          <w:sz w:val="20"/>
          <w:szCs w:val="20"/>
        </w:rPr>
        <w:t xml:space="preserve">les services hors tourisme, tandis que les </w:t>
      </w:r>
      <w:r w:rsidR="001E3430">
        <w:rPr>
          <w:rFonts w:ascii="Arial" w:hAnsi="Arial" w:cs="Arial"/>
          <w:sz w:val="20"/>
          <w:szCs w:val="20"/>
        </w:rPr>
        <w:t xml:space="preserve">autres </w:t>
      </w:r>
      <w:r w:rsidR="001E3430" w:rsidRPr="00873491">
        <w:rPr>
          <w:rFonts w:ascii="Arial" w:hAnsi="Arial" w:cs="Arial"/>
          <w:sz w:val="20"/>
          <w:szCs w:val="20"/>
        </w:rPr>
        <w:t>branches n’auraient enregistré qu’une reprise modeste, pâtissant des faibles performances des mines</w:t>
      </w:r>
      <w:r w:rsidR="001E3430">
        <w:rPr>
          <w:rFonts w:ascii="Arial" w:hAnsi="Arial" w:cs="Arial"/>
          <w:sz w:val="20"/>
          <w:szCs w:val="20"/>
        </w:rPr>
        <w:t xml:space="preserve"> et de la construction</w:t>
      </w:r>
      <w:r w:rsidR="001E3430" w:rsidRPr="00873491">
        <w:rPr>
          <w:rFonts w:ascii="Arial" w:hAnsi="Arial" w:cs="Arial"/>
          <w:sz w:val="20"/>
          <w:szCs w:val="20"/>
        </w:rPr>
        <w:t xml:space="preserve"> et </w:t>
      </w:r>
      <w:r w:rsidR="001E3430">
        <w:rPr>
          <w:rFonts w:ascii="Arial" w:hAnsi="Arial" w:cs="Arial"/>
          <w:sz w:val="20"/>
          <w:szCs w:val="20"/>
        </w:rPr>
        <w:t xml:space="preserve">de </w:t>
      </w:r>
      <w:r w:rsidR="001E3430" w:rsidRPr="00873491">
        <w:rPr>
          <w:rFonts w:ascii="Arial" w:hAnsi="Arial" w:cs="Arial"/>
          <w:sz w:val="20"/>
          <w:szCs w:val="20"/>
        </w:rPr>
        <w:t>l’</w:t>
      </w:r>
      <w:r w:rsidR="001E3430">
        <w:rPr>
          <w:rFonts w:ascii="Arial" w:hAnsi="Arial" w:cs="Arial"/>
          <w:sz w:val="20"/>
          <w:szCs w:val="20"/>
        </w:rPr>
        <w:t>évolution</w:t>
      </w:r>
      <w:r w:rsidR="001E3430" w:rsidRPr="00873491">
        <w:rPr>
          <w:rFonts w:ascii="Arial" w:hAnsi="Arial" w:cs="Arial"/>
          <w:sz w:val="20"/>
          <w:szCs w:val="20"/>
        </w:rPr>
        <w:t xml:space="preserve"> encore modérée des </w:t>
      </w:r>
      <w:r w:rsidR="001E3430" w:rsidRPr="006235E5">
        <w:rPr>
          <w:rFonts w:ascii="Arial" w:hAnsi="Arial" w:cs="Arial"/>
          <w:b/>
          <w:bCs/>
          <w:kern w:val="28"/>
          <w:sz w:val="20"/>
          <w:szCs w:val="20"/>
        </w:rPr>
        <w:t>industries manufacturières</w:t>
      </w:r>
      <w:r w:rsidR="001E3430" w:rsidRPr="00873491">
        <w:rPr>
          <w:rFonts w:ascii="Arial" w:hAnsi="Arial" w:cs="Arial"/>
          <w:sz w:val="20"/>
          <w:szCs w:val="20"/>
        </w:rPr>
        <w:t>.</w:t>
      </w:r>
      <w:r w:rsidR="001E3430">
        <w:rPr>
          <w:rFonts w:ascii="Arial" w:hAnsi="Arial" w:cs="Arial"/>
          <w:sz w:val="20"/>
          <w:szCs w:val="20"/>
        </w:rPr>
        <w:t xml:space="preserve"> Le rythme de progression de ces dernières n’aurait pas dépassé</w:t>
      </w:r>
      <w:r w:rsidR="001E3430" w:rsidRPr="009C02E6">
        <w:rPr>
          <w:rFonts w:ascii="Arial" w:hAnsi="Arial"/>
          <w:sz w:val="20"/>
          <w:szCs w:val="20"/>
        </w:rPr>
        <w:t xml:space="preserve"> </w:t>
      </w:r>
      <w:r w:rsidR="001E3430">
        <w:rPr>
          <w:rFonts w:ascii="Arial" w:hAnsi="Arial"/>
          <w:sz w:val="20"/>
          <w:szCs w:val="20"/>
        </w:rPr>
        <w:t>1,8</w:t>
      </w:r>
      <w:r w:rsidR="001E3430" w:rsidRPr="009C02E6">
        <w:rPr>
          <w:rFonts w:ascii="Arial" w:hAnsi="Arial"/>
          <w:sz w:val="20"/>
          <w:szCs w:val="20"/>
        </w:rPr>
        <w:t xml:space="preserve">% au </w:t>
      </w:r>
      <w:r w:rsidR="001E3430">
        <w:rPr>
          <w:rFonts w:ascii="Arial" w:hAnsi="Arial"/>
          <w:sz w:val="20"/>
          <w:szCs w:val="20"/>
        </w:rPr>
        <w:t>troisième</w:t>
      </w:r>
      <w:r w:rsidR="001E3430" w:rsidRPr="009C02E6">
        <w:rPr>
          <w:rFonts w:ascii="Arial" w:hAnsi="Arial"/>
          <w:sz w:val="20"/>
          <w:szCs w:val="20"/>
        </w:rPr>
        <w:t xml:space="preserve"> trimestre 2015, </w:t>
      </w:r>
      <w:r w:rsidR="001E3430">
        <w:rPr>
          <w:rFonts w:ascii="Arial" w:hAnsi="Arial"/>
          <w:sz w:val="20"/>
          <w:szCs w:val="20"/>
        </w:rPr>
        <w:t>en variation annuelle,</w:t>
      </w:r>
      <w:r w:rsidR="001E3430" w:rsidRPr="005757BB">
        <w:t xml:space="preserve"> </w:t>
      </w:r>
      <w:r w:rsidR="001E3430">
        <w:rPr>
          <w:rFonts w:ascii="Arial" w:hAnsi="Arial"/>
          <w:sz w:val="20"/>
          <w:szCs w:val="20"/>
        </w:rPr>
        <w:t>favorisée</w:t>
      </w:r>
      <w:r w:rsidR="001E3430" w:rsidRPr="005757BB">
        <w:rPr>
          <w:rFonts w:ascii="Arial" w:hAnsi="Arial"/>
          <w:sz w:val="20"/>
          <w:szCs w:val="20"/>
        </w:rPr>
        <w:t xml:space="preserve"> </w:t>
      </w:r>
      <w:r w:rsidR="001E3430">
        <w:rPr>
          <w:rFonts w:ascii="Arial" w:hAnsi="Arial"/>
          <w:sz w:val="20"/>
          <w:szCs w:val="20"/>
        </w:rPr>
        <w:t xml:space="preserve">par </w:t>
      </w:r>
      <w:r w:rsidR="001E3430" w:rsidRPr="009C02E6">
        <w:rPr>
          <w:rFonts w:ascii="Arial" w:hAnsi="Arial"/>
          <w:sz w:val="20"/>
          <w:szCs w:val="20"/>
        </w:rPr>
        <w:t xml:space="preserve">une </w:t>
      </w:r>
      <w:r w:rsidR="001E3430">
        <w:rPr>
          <w:rFonts w:ascii="Arial" w:hAnsi="Arial"/>
          <w:sz w:val="20"/>
          <w:szCs w:val="20"/>
        </w:rPr>
        <w:t>demande extérieure favorablement orientée pour les industries de l’automobile, des conserves de légumes et de poissons. L</w:t>
      </w:r>
      <w:r w:rsidR="001E3430" w:rsidRPr="009C02E6">
        <w:rPr>
          <w:rFonts w:ascii="Arial" w:hAnsi="Arial"/>
          <w:sz w:val="20"/>
          <w:szCs w:val="20"/>
        </w:rPr>
        <w:t xml:space="preserve">es industries </w:t>
      </w:r>
      <w:r w:rsidR="001E3430">
        <w:rPr>
          <w:rFonts w:ascii="Arial" w:hAnsi="Arial"/>
          <w:sz w:val="20"/>
          <w:szCs w:val="20"/>
        </w:rPr>
        <w:t>de l’</w:t>
      </w:r>
      <w:r w:rsidR="001E3430" w:rsidRPr="009C02E6">
        <w:rPr>
          <w:rFonts w:ascii="Arial" w:hAnsi="Arial"/>
          <w:sz w:val="20"/>
          <w:szCs w:val="20"/>
        </w:rPr>
        <w:t>agroalimentaire</w:t>
      </w:r>
      <w:r w:rsidR="001E3430">
        <w:rPr>
          <w:rFonts w:ascii="Arial" w:hAnsi="Arial"/>
          <w:sz w:val="20"/>
          <w:szCs w:val="20"/>
        </w:rPr>
        <w:t xml:space="preserve"> </w:t>
      </w:r>
      <w:r w:rsidR="001E3430" w:rsidRPr="00315AA2">
        <w:rPr>
          <w:rFonts w:ascii="Arial" w:hAnsi="Arial"/>
          <w:sz w:val="20"/>
          <w:szCs w:val="20"/>
        </w:rPr>
        <w:t>s</w:t>
      </w:r>
      <w:r w:rsidR="001E3430">
        <w:rPr>
          <w:rFonts w:ascii="Arial" w:hAnsi="Arial"/>
          <w:sz w:val="20"/>
          <w:szCs w:val="20"/>
        </w:rPr>
        <w:t xml:space="preserve">e seraient, ainsi, </w:t>
      </w:r>
      <w:r w:rsidR="001E3430" w:rsidRPr="00315AA2">
        <w:rPr>
          <w:rFonts w:ascii="Arial" w:hAnsi="Arial"/>
          <w:sz w:val="20"/>
          <w:szCs w:val="20"/>
        </w:rPr>
        <w:t xml:space="preserve">maintenues </w:t>
      </w:r>
      <w:r w:rsidR="001E3430">
        <w:rPr>
          <w:rFonts w:ascii="Arial" w:hAnsi="Arial"/>
          <w:sz w:val="20"/>
          <w:szCs w:val="20"/>
        </w:rPr>
        <w:t>dans leur</w:t>
      </w:r>
      <w:r w:rsidR="001E3430" w:rsidRPr="00315AA2">
        <w:rPr>
          <w:rFonts w:ascii="Arial" w:hAnsi="Arial"/>
          <w:sz w:val="20"/>
          <w:szCs w:val="20"/>
        </w:rPr>
        <w:t xml:space="preserve"> phase </w:t>
      </w:r>
      <w:r w:rsidR="001E3430">
        <w:rPr>
          <w:rFonts w:ascii="Arial" w:hAnsi="Arial"/>
          <w:sz w:val="20"/>
          <w:szCs w:val="20"/>
        </w:rPr>
        <w:t xml:space="preserve">conjoncturelle </w:t>
      </w:r>
      <w:r w:rsidR="001E3430" w:rsidRPr="00315AA2">
        <w:rPr>
          <w:rFonts w:ascii="Arial" w:hAnsi="Arial"/>
          <w:sz w:val="20"/>
          <w:szCs w:val="20"/>
        </w:rPr>
        <w:t>favorable</w:t>
      </w:r>
      <w:r w:rsidR="001E3430">
        <w:rPr>
          <w:rFonts w:ascii="Arial" w:hAnsi="Arial"/>
          <w:sz w:val="20"/>
          <w:szCs w:val="20"/>
        </w:rPr>
        <w:t>,</w:t>
      </w:r>
      <w:r w:rsidR="001E3430" w:rsidRPr="009C02E6">
        <w:rPr>
          <w:rFonts w:ascii="Arial" w:hAnsi="Arial"/>
          <w:sz w:val="20"/>
          <w:szCs w:val="20"/>
        </w:rPr>
        <w:t xml:space="preserve"> réalisant </w:t>
      </w:r>
      <w:r w:rsidR="001E3430">
        <w:rPr>
          <w:rFonts w:ascii="Arial" w:hAnsi="Arial"/>
          <w:sz w:val="20"/>
          <w:szCs w:val="20"/>
        </w:rPr>
        <w:t>une augmentation de</w:t>
      </w:r>
      <w:r w:rsidR="001E3430" w:rsidRPr="009C02E6">
        <w:rPr>
          <w:rFonts w:ascii="Arial" w:hAnsi="Arial"/>
          <w:sz w:val="20"/>
          <w:szCs w:val="20"/>
        </w:rPr>
        <w:t xml:space="preserve"> 2,</w:t>
      </w:r>
      <w:r w:rsidR="001E3430">
        <w:rPr>
          <w:rFonts w:ascii="Arial" w:hAnsi="Arial"/>
          <w:sz w:val="20"/>
          <w:szCs w:val="20"/>
        </w:rPr>
        <w:t>4</w:t>
      </w:r>
      <w:r w:rsidR="001E3430" w:rsidRPr="009C02E6">
        <w:rPr>
          <w:rFonts w:ascii="Arial" w:hAnsi="Arial"/>
          <w:sz w:val="20"/>
          <w:szCs w:val="20"/>
        </w:rPr>
        <w:t>%</w:t>
      </w:r>
      <w:r w:rsidR="001E3430">
        <w:rPr>
          <w:rFonts w:ascii="Arial" w:hAnsi="Arial"/>
          <w:sz w:val="20"/>
          <w:szCs w:val="20"/>
        </w:rPr>
        <w:t>, en glissement annuel</w:t>
      </w:r>
      <w:r w:rsidR="001E3430" w:rsidRPr="009C02E6">
        <w:rPr>
          <w:rFonts w:ascii="Arial" w:hAnsi="Arial"/>
          <w:sz w:val="20"/>
          <w:szCs w:val="20"/>
        </w:rPr>
        <w:t xml:space="preserve">. </w:t>
      </w:r>
      <w:r w:rsidR="001E3430">
        <w:rPr>
          <w:rFonts w:ascii="Arial" w:hAnsi="Arial"/>
          <w:sz w:val="20"/>
          <w:szCs w:val="20"/>
        </w:rPr>
        <w:t xml:space="preserve">Les IMME auraient, pour leur part, poursuivi leur redressement modéré pour le deuxième trimestre successif, marquant une hausse de 1,6%, alors que celles du « textile et cuir » ne se seraient que légèrement redressées, sous l’effet d’une reprise de la demande adressée à la confection et à la chaussure. </w:t>
      </w:r>
    </w:p>
    <w:p w:rsidR="001E3430" w:rsidRPr="00873491" w:rsidRDefault="00BF112B" w:rsidP="00645ED5">
      <w:pPr>
        <w:jc w:val="both"/>
        <w:rPr>
          <w:rFonts w:ascii="Arial" w:hAnsi="Arial" w:cs="Arial"/>
          <w:sz w:val="20"/>
          <w:szCs w:val="20"/>
        </w:rPr>
      </w:pPr>
      <w:r>
        <w:rPr>
          <w:noProof/>
        </w:rPr>
        <w:drawing>
          <wp:anchor distT="0" distB="0" distL="114300" distR="114300" simplePos="0" relativeHeight="251661312" behindDoc="0" locked="0" layoutInCell="1" allowOverlap="1">
            <wp:simplePos x="0" y="0"/>
            <wp:positionH relativeFrom="column">
              <wp:posOffset>4253865</wp:posOffset>
            </wp:positionH>
            <wp:positionV relativeFrom="paragraph">
              <wp:posOffset>17145</wp:posOffset>
            </wp:positionV>
            <wp:extent cx="2331720" cy="2212340"/>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2"/>
                    <a:srcRect/>
                    <a:stretch>
                      <a:fillRect/>
                    </a:stretch>
                  </pic:blipFill>
                  <pic:spPr bwMode="auto">
                    <a:xfrm>
                      <a:off x="0" y="0"/>
                      <a:ext cx="2331720" cy="2212340"/>
                    </a:xfrm>
                    <a:prstGeom prst="rect">
                      <a:avLst/>
                    </a:prstGeom>
                    <a:noFill/>
                  </pic:spPr>
                </pic:pic>
              </a:graphicData>
            </a:graphic>
          </wp:anchor>
        </w:drawing>
      </w:r>
    </w:p>
    <w:p w:rsidR="001E3430" w:rsidRDefault="001E3430" w:rsidP="00EA0C50">
      <w:pPr>
        <w:jc w:val="both"/>
        <w:rPr>
          <w:rFonts w:ascii="Arial" w:hAnsi="Arial" w:cs="Arial"/>
          <w:sz w:val="20"/>
          <w:szCs w:val="20"/>
        </w:rPr>
      </w:pPr>
      <w:r w:rsidRPr="00A00C10">
        <w:rPr>
          <w:rFonts w:ascii="Arial" w:hAnsi="Arial" w:cs="Arial"/>
          <w:sz w:val="20"/>
          <w:szCs w:val="20"/>
        </w:rPr>
        <w:t xml:space="preserve">Le ralentissement de l’activité de la </w:t>
      </w:r>
      <w:r w:rsidRPr="006235E5">
        <w:rPr>
          <w:rFonts w:ascii="Arial" w:hAnsi="Arial" w:cs="Arial"/>
          <w:b/>
          <w:bCs/>
          <w:kern w:val="28"/>
          <w:sz w:val="20"/>
          <w:szCs w:val="20"/>
        </w:rPr>
        <w:t>construction</w:t>
      </w:r>
      <w:r w:rsidRPr="00A00C10">
        <w:rPr>
          <w:rFonts w:ascii="Arial" w:hAnsi="Arial" w:cs="Arial"/>
          <w:sz w:val="20"/>
          <w:szCs w:val="20"/>
        </w:rPr>
        <w:t xml:space="preserve">, amorcé </w:t>
      </w:r>
      <w:r>
        <w:rPr>
          <w:rFonts w:ascii="Arial" w:hAnsi="Arial" w:cs="Arial"/>
          <w:sz w:val="20"/>
          <w:szCs w:val="20"/>
        </w:rPr>
        <w:t>à la mi-2014,</w:t>
      </w:r>
      <w:r w:rsidRPr="00A00C10">
        <w:rPr>
          <w:rFonts w:ascii="Arial" w:hAnsi="Arial" w:cs="Arial"/>
          <w:sz w:val="20"/>
          <w:szCs w:val="20"/>
        </w:rPr>
        <w:t xml:space="preserve"> </w:t>
      </w:r>
      <w:r>
        <w:rPr>
          <w:rFonts w:ascii="Arial" w:hAnsi="Arial" w:cs="Arial"/>
          <w:sz w:val="20"/>
          <w:szCs w:val="20"/>
        </w:rPr>
        <w:t>se serait</w:t>
      </w:r>
      <w:r w:rsidRPr="00A00C10">
        <w:rPr>
          <w:rFonts w:ascii="Arial" w:hAnsi="Arial" w:cs="Arial"/>
          <w:sz w:val="20"/>
          <w:szCs w:val="20"/>
        </w:rPr>
        <w:t xml:space="preserve"> att</w:t>
      </w:r>
      <w:r>
        <w:rPr>
          <w:rFonts w:ascii="Arial" w:hAnsi="Arial" w:cs="Arial"/>
          <w:sz w:val="20"/>
          <w:szCs w:val="20"/>
        </w:rPr>
        <w:t xml:space="preserve">énué au cours du </w:t>
      </w:r>
      <w:r w:rsidRPr="00A00C10">
        <w:rPr>
          <w:rFonts w:ascii="Arial" w:hAnsi="Arial" w:cs="Arial"/>
          <w:sz w:val="20"/>
          <w:szCs w:val="20"/>
        </w:rPr>
        <w:t>troisième trim</w:t>
      </w:r>
      <w:r>
        <w:rPr>
          <w:rFonts w:ascii="Arial" w:hAnsi="Arial" w:cs="Arial"/>
          <w:sz w:val="20"/>
          <w:szCs w:val="20"/>
        </w:rPr>
        <w:t>estre 2015, comme en atteste la progression de sa</w:t>
      </w:r>
      <w:r w:rsidRPr="00A00C10">
        <w:rPr>
          <w:rFonts w:ascii="Arial" w:hAnsi="Arial" w:cs="Arial"/>
          <w:sz w:val="20"/>
          <w:szCs w:val="20"/>
        </w:rPr>
        <w:t xml:space="preserve"> valeur ajoutée de 1,2%, en glissement annuel, après une quasi-stagnation </w:t>
      </w:r>
      <w:r>
        <w:rPr>
          <w:rFonts w:ascii="Arial" w:hAnsi="Arial" w:cs="Arial"/>
          <w:sz w:val="20"/>
          <w:szCs w:val="20"/>
        </w:rPr>
        <w:t>au deuxième trimestre</w:t>
      </w:r>
      <w:r w:rsidRPr="00A00C10">
        <w:rPr>
          <w:rFonts w:ascii="Arial" w:hAnsi="Arial" w:cs="Arial"/>
          <w:sz w:val="20"/>
          <w:szCs w:val="20"/>
        </w:rPr>
        <w:t>. Cette légère reprise de l’activité a</w:t>
      </w:r>
      <w:r>
        <w:rPr>
          <w:rFonts w:ascii="Arial" w:hAnsi="Arial" w:cs="Arial"/>
          <w:sz w:val="20"/>
          <w:szCs w:val="20"/>
        </w:rPr>
        <w:t>urait</w:t>
      </w:r>
      <w:r w:rsidRPr="00A00C10">
        <w:rPr>
          <w:rFonts w:ascii="Arial" w:hAnsi="Arial" w:cs="Arial"/>
          <w:sz w:val="20"/>
          <w:szCs w:val="20"/>
        </w:rPr>
        <w:t xml:space="preserve"> été</w:t>
      </w:r>
      <w:r>
        <w:rPr>
          <w:rFonts w:ascii="Arial" w:hAnsi="Arial" w:cs="Arial"/>
          <w:sz w:val="20"/>
          <w:szCs w:val="20"/>
        </w:rPr>
        <w:t>,</w:t>
      </w:r>
      <w:r w:rsidRPr="00A00C10">
        <w:rPr>
          <w:rFonts w:ascii="Arial" w:hAnsi="Arial" w:cs="Arial"/>
          <w:sz w:val="20"/>
          <w:szCs w:val="20"/>
        </w:rPr>
        <w:t xml:space="preserve"> également</w:t>
      </w:r>
      <w:r>
        <w:rPr>
          <w:rFonts w:ascii="Arial" w:hAnsi="Arial" w:cs="Arial"/>
          <w:sz w:val="20"/>
          <w:szCs w:val="20"/>
        </w:rPr>
        <w:t>,</w:t>
      </w:r>
      <w:r w:rsidRPr="00A00C10">
        <w:rPr>
          <w:rFonts w:ascii="Arial" w:hAnsi="Arial" w:cs="Arial"/>
          <w:sz w:val="20"/>
          <w:szCs w:val="20"/>
        </w:rPr>
        <w:t xml:space="preserve"> </w:t>
      </w:r>
      <w:r>
        <w:rPr>
          <w:rFonts w:ascii="Arial" w:hAnsi="Arial" w:cs="Arial"/>
          <w:sz w:val="20"/>
          <w:szCs w:val="20"/>
        </w:rPr>
        <w:t>relevée</w:t>
      </w:r>
      <w:r w:rsidRPr="00A00C10">
        <w:rPr>
          <w:rFonts w:ascii="Arial" w:hAnsi="Arial" w:cs="Arial"/>
          <w:sz w:val="20"/>
          <w:szCs w:val="20"/>
        </w:rPr>
        <w:t xml:space="preserve"> au niveau de l’utilisation des maté</w:t>
      </w:r>
      <w:r>
        <w:rPr>
          <w:rFonts w:ascii="Arial" w:hAnsi="Arial" w:cs="Arial"/>
          <w:sz w:val="20"/>
          <w:szCs w:val="20"/>
        </w:rPr>
        <w:t>riaux de construction, en l’occurrence le ci</w:t>
      </w:r>
      <w:r w:rsidRPr="00A00C10">
        <w:rPr>
          <w:rFonts w:ascii="Arial" w:hAnsi="Arial" w:cs="Arial"/>
          <w:sz w:val="20"/>
          <w:szCs w:val="20"/>
        </w:rPr>
        <w:t>ment</w:t>
      </w:r>
      <w:r>
        <w:rPr>
          <w:rFonts w:ascii="Arial" w:hAnsi="Arial" w:cs="Arial"/>
          <w:sz w:val="20"/>
          <w:szCs w:val="20"/>
        </w:rPr>
        <w:t>, dont les ventes se seraient redressées de</w:t>
      </w:r>
      <w:r w:rsidRPr="00A00C10">
        <w:rPr>
          <w:rFonts w:ascii="Arial" w:hAnsi="Arial" w:cs="Arial"/>
          <w:sz w:val="20"/>
          <w:szCs w:val="20"/>
        </w:rPr>
        <w:t xml:space="preserve"> 5,2% au troisième trimestre 2015. Cependant, </w:t>
      </w:r>
      <w:r>
        <w:rPr>
          <w:rFonts w:ascii="Arial" w:hAnsi="Arial" w:cs="Arial"/>
          <w:sz w:val="20"/>
          <w:szCs w:val="20"/>
        </w:rPr>
        <w:t>les</w:t>
      </w:r>
      <w:r w:rsidRPr="00A00C10">
        <w:rPr>
          <w:rFonts w:ascii="Arial" w:hAnsi="Arial" w:cs="Arial"/>
          <w:sz w:val="20"/>
          <w:szCs w:val="20"/>
        </w:rPr>
        <w:t xml:space="preserve"> </w:t>
      </w:r>
      <w:r>
        <w:rPr>
          <w:rFonts w:ascii="Arial" w:hAnsi="Arial" w:cs="Arial"/>
          <w:sz w:val="20"/>
          <w:szCs w:val="20"/>
        </w:rPr>
        <w:t xml:space="preserve">anticipations des chefs d’entreprises, interrogés dans le cadre de la dernière </w:t>
      </w:r>
      <w:r w:rsidRPr="00A00C10">
        <w:rPr>
          <w:rFonts w:ascii="Arial" w:hAnsi="Arial" w:cs="Arial"/>
          <w:sz w:val="20"/>
          <w:szCs w:val="20"/>
        </w:rPr>
        <w:t>enquête de conjoncture</w:t>
      </w:r>
      <w:r>
        <w:rPr>
          <w:rFonts w:ascii="Arial" w:hAnsi="Arial" w:cs="Arial"/>
          <w:sz w:val="20"/>
          <w:szCs w:val="20"/>
        </w:rPr>
        <w:t xml:space="preserve"> du HCP</w:t>
      </w:r>
      <w:r w:rsidRPr="00A00C10">
        <w:rPr>
          <w:rFonts w:ascii="Arial" w:hAnsi="Arial" w:cs="Arial"/>
          <w:sz w:val="20"/>
          <w:szCs w:val="20"/>
        </w:rPr>
        <w:t xml:space="preserve">, </w:t>
      </w:r>
      <w:r>
        <w:rPr>
          <w:rFonts w:ascii="Arial" w:hAnsi="Arial" w:cs="Arial"/>
          <w:sz w:val="20"/>
          <w:szCs w:val="20"/>
        </w:rPr>
        <w:t xml:space="preserve">seraient restées moins optimistes quant aux perspectives d’une reprise rapide </w:t>
      </w:r>
      <w:r w:rsidRPr="00A00C10">
        <w:rPr>
          <w:rFonts w:ascii="Arial" w:hAnsi="Arial" w:cs="Arial"/>
          <w:sz w:val="20"/>
          <w:szCs w:val="20"/>
        </w:rPr>
        <w:t>de l’activité du bâtiment</w:t>
      </w:r>
      <w:r>
        <w:rPr>
          <w:rFonts w:ascii="Arial" w:hAnsi="Arial" w:cs="Arial"/>
          <w:sz w:val="20"/>
          <w:szCs w:val="20"/>
        </w:rPr>
        <w:t xml:space="preserve"> ; leurs appréciations sur l’évolution de leurs carnets de commande s’étant toujours situées en dessous de leur niveau moyen de court terme. </w:t>
      </w:r>
      <w:r w:rsidRPr="00A00C10">
        <w:rPr>
          <w:rFonts w:ascii="Arial" w:hAnsi="Arial" w:cs="Arial"/>
          <w:sz w:val="20"/>
          <w:szCs w:val="20"/>
        </w:rPr>
        <w:t xml:space="preserve">Par contre, la branche des travaux publics </w:t>
      </w:r>
      <w:r>
        <w:rPr>
          <w:rFonts w:ascii="Arial" w:hAnsi="Arial" w:cs="Arial"/>
          <w:sz w:val="20"/>
          <w:szCs w:val="20"/>
        </w:rPr>
        <w:t>se serait inscrite</w:t>
      </w:r>
      <w:r w:rsidRPr="00A00C10">
        <w:rPr>
          <w:rFonts w:ascii="Arial" w:hAnsi="Arial" w:cs="Arial"/>
          <w:sz w:val="20"/>
          <w:szCs w:val="20"/>
        </w:rPr>
        <w:t xml:space="preserve"> davantage dans une conjoncture favorable</w:t>
      </w:r>
      <w:r>
        <w:rPr>
          <w:rFonts w:ascii="Arial" w:hAnsi="Arial" w:cs="Arial"/>
          <w:sz w:val="20"/>
          <w:szCs w:val="20"/>
        </w:rPr>
        <w:t xml:space="preserve"> et aurait continué de soutenir l’activité globale de construction.  </w:t>
      </w:r>
    </w:p>
    <w:p w:rsidR="001E3430" w:rsidRPr="00F016E3" w:rsidRDefault="001E3430" w:rsidP="00A26C01">
      <w:pPr>
        <w:jc w:val="both"/>
        <w:rPr>
          <w:rFonts w:ascii="Arial" w:hAnsi="Arial" w:cs="Arial"/>
          <w:sz w:val="20"/>
          <w:szCs w:val="20"/>
        </w:rPr>
      </w:pPr>
    </w:p>
    <w:p w:rsidR="001E3430" w:rsidRDefault="001E3430" w:rsidP="00AD34B5">
      <w:pPr>
        <w:autoSpaceDE w:val="0"/>
        <w:autoSpaceDN w:val="0"/>
        <w:adjustRightInd w:val="0"/>
        <w:jc w:val="both"/>
        <w:rPr>
          <w:rFonts w:ascii="Arial" w:hAnsi="Arial" w:cs="Arial"/>
          <w:sz w:val="20"/>
          <w:szCs w:val="20"/>
        </w:rPr>
      </w:pPr>
      <w:r>
        <w:rPr>
          <w:rFonts w:ascii="Arial" w:hAnsi="Arial" w:cs="Arial"/>
          <w:sz w:val="20"/>
          <w:szCs w:val="20"/>
        </w:rPr>
        <w:t xml:space="preserve">Dans les </w:t>
      </w:r>
      <w:r w:rsidRPr="00C4608A">
        <w:rPr>
          <w:rFonts w:ascii="Arial" w:hAnsi="Arial" w:cs="Arial"/>
          <w:b/>
          <w:bCs/>
          <w:kern w:val="28"/>
          <w:sz w:val="20"/>
          <w:szCs w:val="20"/>
        </w:rPr>
        <w:t>mines</w:t>
      </w:r>
      <w:r>
        <w:rPr>
          <w:rFonts w:ascii="Arial" w:hAnsi="Arial" w:cs="Arial"/>
          <w:sz w:val="20"/>
          <w:szCs w:val="20"/>
        </w:rPr>
        <w:t>, l’activité</w:t>
      </w:r>
      <w:r w:rsidRPr="002D643D">
        <w:rPr>
          <w:rFonts w:ascii="Arial" w:hAnsi="Arial" w:cs="Arial"/>
          <w:sz w:val="20"/>
          <w:szCs w:val="20"/>
        </w:rPr>
        <w:t xml:space="preserve"> </w:t>
      </w:r>
      <w:r w:rsidRPr="00763A6F">
        <w:rPr>
          <w:rFonts w:ascii="Arial" w:hAnsi="Arial" w:cs="Arial"/>
          <w:sz w:val="20"/>
          <w:szCs w:val="20"/>
        </w:rPr>
        <w:t>aurait</w:t>
      </w:r>
      <w:r>
        <w:rPr>
          <w:rFonts w:ascii="Arial" w:hAnsi="Arial" w:cs="Arial"/>
          <w:sz w:val="20"/>
          <w:szCs w:val="20"/>
        </w:rPr>
        <w:t xml:space="preserve"> quasiment </w:t>
      </w:r>
      <w:r w:rsidRPr="00763A6F">
        <w:rPr>
          <w:rFonts w:ascii="Arial" w:hAnsi="Arial" w:cs="Arial"/>
          <w:sz w:val="20"/>
          <w:szCs w:val="20"/>
        </w:rPr>
        <w:t xml:space="preserve">stagné au troisième trimestre 2015, après trois trimestres de baisses consécutives, </w:t>
      </w:r>
      <w:r>
        <w:rPr>
          <w:rFonts w:ascii="Arial" w:hAnsi="Arial" w:cs="Arial"/>
          <w:sz w:val="20"/>
          <w:szCs w:val="20"/>
        </w:rPr>
        <w:t xml:space="preserve">tirée </w:t>
      </w:r>
      <w:r w:rsidRPr="00763A6F">
        <w:rPr>
          <w:rFonts w:ascii="Arial" w:hAnsi="Arial" w:cs="Arial"/>
          <w:sz w:val="20"/>
          <w:szCs w:val="20"/>
        </w:rPr>
        <w:t xml:space="preserve">par une </w:t>
      </w:r>
      <w:r>
        <w:rPr>
          <w:rFonts w:ascii="Arial" w:hAnsi="Arial" w:cs="Arial"/>
          <w:sz w:val="20"/>
          <w:szCs w:val="20"/>
        </w:rPr>
        <w:t xml:space="preserve">légère </w:t>
      </w:r>
      <w:r w:rsidRPr="00763A6F">
        <w:rPr>
          <w:rFonts w:ascii="Arial" w:hAnsi="Arial" w:cs="Arial"/>
          <w:sz w:val="20"/>
          <w:szCs w:val="20"/>
        </w:rPr>
        <w:t xml:space="preserve">reprise des activités d’extraction des minerais non-métalliques. Cette reprise serait restée, néanmoins, </w:t>
      </w:r>
      <w:r>
        <w:rPr>
          <w:rFonts w:ascii="Arial" w:hAnsi="Arial" w:cs="Arial"/>
          <w:sz w:val="20"/>
          <w:szCs w:val="20"/>
        </w:rPr>
        <w:t>fragile</w:t>
      </w:r>
      <w:r w:rsidRPr="00763A6F">
        <w:rPr>
          <w:rFonts w:ascii="Arial" w:hAnsi="Arial" w:cs="Arial"/>
          <w:sz w:val="20"/>
          <w:szCs w:val="20"/>
        </w:rPr>
        <w:t xml:space="preserve">, face à une conjoncture internationale peu favorable, marquée par la poursuite du reflux des cours internationaux des produits agricoles, en l’occurrence ceux des céréales et des oléagineuses et l’amélioration de l’offre asiatique en fertilisants. Le rétablissement progressif de la demande américaine et indienne en dérivés du phosphate n’aurait pas </w:t>
      </w:r>
      <w:r>
        <w:rPr>
          <w:rFonts w:ascii="Arial" w:hAnsi="Arial" w:cs="Arial"/>
          <w:sz w:val="20"/>
          <w:szCs w:val="20"/>
        </w:rPr>
        <w:t>pu</w:t>
      </w:r>
      <w:r w:rsidRPr="00763A6F">
        <w:rPr>
          <w:rFonts w:ascii="Arial" w:hAnsi="Arial" w:cs="Arial"/>
          <w:sz w:val="20"/>
          <w:szCs w:val="20"/>
        </w:rPr>
        <w:t xml:space="preserve"> compens</w:t>
      </w:r>
      <w:r>
        <w:rPr>
          <w:rFonts w:ascii="Arial" w:hAnsi="Arial" w:cs="Arial"/>
          <w:sz w:val="20"/>
          <w:szCs w:val="20"/>
        </w:rPr>
        <w:t>er</w:t>
      </w:r>
      <w:r w:rsidRPr="00763A6F">
        <w:rPr>
          <w:rFonts w:ascii="Arial" w:hAnsi="Arial" w:cs="Arial"/>
          <w:sz w:val="20"/>
          <w:szCs w:val="20"/>
        </w:rPr>
        <w:t xml:space="preserve"> la baisse des importations brésiliennes et européennes. C’est ainsi que les quantités exportées en engrais, au niveau national, se seraient infléchies de 16,4%, en variation </w:t>
      </w:r>
      <w:r w:rsidRPr="00763A6F">
        <w:rPr>
          <w:rFonts w:ascii="Arial" w:hAnsi="Arial" w:cs="Arial"/>
          <w:sz w:val="20"/>
          <w:szCs w:val="20"/>
        </w:rPr>
        <w:lastRenderedPageBreak/>
        <w:t>annuelle, au troisième trimestre 2015. En revanche, celles de l’acide phosphorique se  seraient inscrites en hausse de 12,9% au cours de la même période. Dans ce</w:t>
      </w:r>
      <w:r>
        <w:rPr>
          <w:rFonts w:ascii="Arial" w:hAnsi="Arial" w:cs="Arial"/>
          <w:sz w:val="20"/>
          <w:szCs w:val="20"/>
        </w:rPr>
        <w:t xml:space="preserve"> contexte</w:t>
      </w:r>
      <w:r w:rsidRPr="00763A6F">
        <w:rPr>
          <w:rFonts w:ascii="Arial" w:hAnsi="Arial" w:cs="Arial"/>
          <w:sz w:val="20"/>
          <w:szCs w:val="20"/>
        </w:rPr>
        <w:t xml:space="preserve">, la production locale du phosphate brut se serait accrue de 0,8%, en variation annuelle. Parallèlement, l’activité d’extraction des autres minerais serait restée modérée, en raison de la baisse des prix à l’export des métaux de base et de la faiblesse </w:t>
      </w:r>
      <w:r>
        <w:rPr>
          <w:rFonts w:ascii="Arial" w:hAnsi="Arial" w:cs="Arial"/>
          <w:sz w:val="20"/>
          <w:szCs w:val="20"/>
        </w:rPr>
        <w:t xml:space="preserve">de la reprise </w:t>
      </w:r>
      <w:r w:rsidRPr="00763A6F">
        <w:rPr>
          <w:rFonts w:ascii="Arial" w:hAnsi="Arial" w:cs="Arial"/>
          <w:sz w:val="20"/>
          <w:szCs w:val="20"/>
        </w:rPr>
        <w:t>de la demande industrielle européenne.</w:t>
      </w:r>
    </w:p>
    <w:p w:rsidR="001E3430" w:rsidRPr="00763A6F" w:rsidRDefault="001E3430" w:rsidP="00AD34B5">
      <w:pPr>
        <w:autoSpaceDE w:val="0"/>
        <w:autoSpaceDN w:val="0"/>
        <w:adjustRightInd w:val="0"/>
        <w:jc w:val="both"/>
        <w:rPr>
          <w:rFonts w:ascii="Arial" w:hAnsi="Arial" w:cs="Arial"/>
          <w:sz w:val="20"/>
          <w:szCs w:val="20"/>
        </w:rPr>
      </w:pPr>
    </w:p>
    <w:p w:rsidR="001E3430" w:rsidRDefault="001E3430" w:rsidP="00CB6F97">
      <w:pPr>
        <w:autoSpaceDE w:val="0"/>
        <w:autoSpaceDN w:val="0"/>
        <w:adjustRightInd w:val="0"/>
        <w:jc w:val="both"/>
        <w:rPr>
          <w:rFonts w:ascii="Arial" w:hAnsi="Arial" w:cs="Arial"/>
          <w:sz w:val="20"/>
          <w:szCs w:val="20"/>
        </w:rPr>
      </w:pPr>
      <w:r>
        <w:rPr>
          <w:rFonts w:ascii="Arial" w:hAnsi="Arial" w:cs="Arial"/>
          <w:sz w:val="20"/>
          <w:szCs w:val="20"/>
        </w:rPr>
        <w:t>S’agissant de l</w:t>
      </w:r>
      <w:r w:rsidRPr="00763A6F">
        <w:rPr>
          <w:rFonts w:ascii="Arial" w:hAnsi="Arial" w:cs="Arial"/>
          <w:sz w:val="20"/>
          <w:szCs w:val="20"/>
        </w:rPr>
        <w:t xml:space="preserve">’activité </w:t>
      </w:r>
      <w:r w:rsidRPr="00763A6F">
        <w:rPr>
          <w:rFonts w:ascii="Arial" w:hAnsi="Arial" w:cs="Arial"/>
          <w:b/>
          <w:sz w:val="20"/>
          <w:szCs w:val="20"/>
        </w:rPr>
        <w:t>électrique</w:t>
      </w:r>
      <w:r>
        <w:rPr>
          <w:rFonts w:ascii="Arial" w:hAnsi="Arial" w:cs="Arial"/>
          <w:b/>
          <w:sz w:val="20"/>
          <w:szCs w:val="20"/>
        </w:rPr>
        <w:t xml:space="preserve">, </w:t>
      </w:r>
      <w:r w:rsidRPr="00143BBC">
        <w:rPr>
          <w:rFonts w:ascii="Arial" w:hAnsi="Arial" w:cs="Arial"/>
          <w:sz w:val="20"/>
          <w:szCs w:val="20"/>
        </w:rPr>
        <w:t>sa valeur ajoutée</w:t>
      </w:r>
      <w:r w:rsidRPr="00763A6F">
        <w:rPr>
          <w:rFonts w:ascii="Arial" w:hAnsi="Arial" w:cs="Arial"/>
          <w:sz w:val="20"/>
          <w:szCs w:val="20"/>
        </w:rPr>
        <w:t xml:space="preserve"> se serait </w:t>
      </w:r>
      <w:r>
        <w:rPr>
          <w:rFonts w:ascii="Arial" w:hAnsi="Arial" w:cs="Arial"/>
          <w:sz w:val="20"/>
          <w:szCs w:val="20"/>
        </w:rPr>
        <w:t>renforcée</w:t>
      </w:r>
      <w:r w:rsidRPr="00763A6F">
        <w:rPr>
          <w:rFonts w:ascii="Arial" w:hAnsi="Arial" w:cs="Arial"/>
          <w:sz w:val="20"/>
          <w:szCs w:val="20"/>
        </w:rPr>
        <w:t xml:space="preserve"> de 6,4%, au troisième trimestre 2015, </w:t>
      </w:r>
      <w:r>
        <w:rPr>
          <w:rFonts w:ascii="Arial" w:hAnsi="Arial" w:cs="Arial"/>
          <w:sz w:val="20"/>
          <w:szCs w:val="20"/>
        </w:rPr>
        <w:t xml:space="preserve">en variation annuelle, </w:t>
      </w:r>
      <w:r w:rsidRPr="00763A6F">
        <w:rPr>
          <w:rFonts w:ascii="Arial" w:hAnsi="Arial" w:cs="Arial"/>
          <w:sz w:val="20"/>
          <w:szCs w:val="20"/>
        </w:rPr>
        <w:t xml:space="preserve">après avoir été particulièrement dynamique au premier semestre. Cette </w:t>
      </w:r>
      <w:r>
        <w:rPr>
          <w:rFonts w:ascii="Arial" w:hAnsi="Arial" w:cs="Arial"/>
          <w:sz w:val="20"/>
          <w:szCs w:val="20"/>
        </w:rPr>
        <w:t xml:space="preserve">expansion </w:t>
      </w:r>
      <w:r w:rsidRPr="00763A6F">
        <w:rPr>
          <w:rFonts w:ascii="Arial" w:hAnsi="Arial" w:cs="Arial"/>
          <w:sz w:val="20"/>
          <w:szCs w:val="20"/>
        </w:rPr>
        <w:t xml:space="preserve">aurait été portée par </w:t>
      </w:r>
      <w:r>
        <w:rPr>
          <w:rFonts w:ascii="Arial" w:hAnsi="Arial" w:cs="Arial"/>
          <w:sz w:val="20"/>
          <w:szCs w:val="20"/>
        </w:rPr>
        <w:t>l’amélioration</w:t>
      </w:r>
      <w:r w:rsidRPr="00763A6F">
        <w:rPr>
          <w:rFonts w:ascii="Arial" w:hAnsi="Arial" w:cs="Arial"/>
          <w:sz w:val="20"/>
          <w:szCs w:val="20"/>
        </w:rPr>
        <w:t xml:space="preserve"> des activités des centrales thermiques; la production des unités concessionnelles à base de charbon aurait connu une modération de leur rythme de croissance, mais celle des unités à base de carburants se serait nettement redressée, sur fond de reprise des quantités importées de fuel et d</w:t>
      </w:r>
      <w:r>
        <w:rPr>
          <w:rFonts w:ascii="Arial" w:hAnsi="Arial" w:cs="Arial"/>
          <w:sz w:val="20"/>
          <w:szCs w:val="20"/>
        </w:rPr>
        <w:t>e</w:t>
      </w:r>
      <w:r w:rsidRPr="00763A6F">
        <w:rPr>
          <w:rFonts w:ascii="Arial" w:hAnsi="Arial" w:cs="Arial"/>
          <w:sz w:val="20"/>
          <w:szCs w:val="20"/>
        </w:rPr>
        <w:t xml:space="preserve"> gasoil. Au total, la production d’électricité se serait affermie de 6,8%, au troisième trimestre, alors que ses importations se seraient infléchies de 5,6%. Il faudrait, néanmoins, souligner que le raffermissement des activités de la branche électrique n’aurait pas tant résulté d’une consolidation de la demande intérieure, mais aurait été induit, en grande partie, par une amélioration des capacités productives de la branche. </w:t>
      </w:r>
      <w:r>
        <w:rPr>
          <w:rFonts w:ascii="Arial" w:hAnsi="Arial" w:cs="Arial"/>
          <w:sz w:val="20"/>
          <w:szCs w:val="20"/>
        </w:rPr>
        <w:t>En effet</w:t>
      </w:r>
      <w:r w:rsidRPr="00763A6F">
        <w:rPr>
          <w:rFonts w:ascii="Arial" w:hAnsi="Arial" w:cs="Arial"/>
          <w:sz w:val="20"/>
          <w:szCs w:val="20"/>
        </w:rPr>
        <w:t xml:space="preserve">, les ventes d’électricité </w:t>
      </w:r>
      <w:r>
        <w:rPr>
          <w:rFonts w:ascii="Arial" w:hAnsi="Arial" w:cs="Arial"/>
          <w:sz w:val="20"/>
          <w:szCs w:val="20"/>
        </w:rPr>
        <w:t xml:space="preserve">ne </w:t>
      </w:r>
      <w:r w:rsidRPr="00763A6F">
        <w:rPr>
          <w:rFonts w:ascii="Arial" w:hAnsi="Arial" w:cs="Arial"/>
          <w:sz w:val="20"/>
          <w:szCs w:val="20"/>
        </w:rPr>
        <w:t xml:space="preserve">se seraient améliorées </w:t>
      </w:r>
      <w:r>
        <w:rPr>
          <w:rFonts w:ascii="Arial" w:hAnsi="Arial" w:cs="Arial"/>
          <w:sz w:val="20"/>
          <w:szCs w:val="20"/>
        </w:rPr>
        <w:t xml:space="preserve">que </w:t>
      </w:r>
      <w:r w:rsidRPr="00763A6F">
        <w:rPr>
          <w:rFonts w:ascii="Arial" w:hAnsi="Arial" w:cs="Arial"/>
          <w:sz w:val="20"/>
          <w:szCs w:val="20"/>
        </w:rPr>
        <w:t xml:space="preserve">de </w:t>
      </w:r>
      <w:r>
        <w:rPr>
          <w:rFonts w:ascii="Arial" w:hAnsi="Arial" w:cs="Arial"/>
          <w:sz w:val="20"/>
          <w:szCs w:val="20"/>
        </w:rPr>
        <w:t>3,1</w:t>
      </w:r>
      <w:r w:rsidRPr="00763A6F">
        <w:rPr>
          <w:rFonts w:ascii="Arial" w:hAnsi="Arial" w:cs="Arial"/>
          <w:sz w:val="20"/>
          <w:szCs w:val="20"/>
        </w:rPr>
        <w:t xml:space="preserve">% seulement, en variation annuelle, bridées par les faibles performances des ventes adressées aux entreprises.  </w:t>
      </w:r>
    </w:p>
    <w:p w:rsidR="001E3430" w:rsidRDefault="001E3430" w:rsidP="00143BBC">
      <w:pPr>
        <w:autoSpaceDE w:val="0"/>
        <w:autoSpaceDN w:val="0"/>
        <w:adjustRightInd w:val="0"/>
        <w:jc w:val="both"/>
        <w:rPr>
          <w:rFonts w:ascii="Arial" w:hAnsi="Arial" w:cs="Arial"/>
          <w:sz w:val="20"/>
          <w:szCs w:val="20"/>
        </w:rPr>
      </w:pPr>
    </w:p>
    <w:p w:rsidR="001E3430" w:rsidRDefault="001E3430" w:rsidP="008D0C14">
      <w:pPr>
        <w:jc w:val="both"/>
        <w:rPr>
          <w:rFonts w:ascii="Arial" w:hAnsi="Arial" w:cs="Arial"/>
          <w:sz w:val="20"/>
          <w:szCs w:val="20"/>
        </w:rPr>
      </w:pPr>
      <w:r w:rsidRPr="00CB59C0">
        <w:rPr>
          <w:rFonts w:ascii="Arial" w:hAnsi="Arial" w:cs="Arial"/>
          <w:sz w:val="20"/>
          <w:szCs w:val="20"/>
        </w:rPr>
        <w:t xml:space="preserve">Au </w:t>
      </w:r>
      <w:r>
        <w:rPr>
          <w:rFonts w:ascii="Arial" w:hAnsi="Arial" w:cs="Arial"/>
          <w:sz w:val="20"/>
          <w:szCs w:val="20"/>
        </w:rPr>
        <w:t>niveau</w:t>
      </w:r>
      <w:r w:rsidRPr="00CB59C0">
        <w:rPr>
          <w:rFonts w:ascii="Arial" w:hAnsi="Arial" w:cs="Arial"/>
          <w:sz w:val="20"/>
          <w:szCs w:val="20"/>
        </w:rPr>
        <w:t xml:space="preserve"> des </w:t>
      </w:r>
      <w:r>
        <w:rPr>
          <w:rFonts w:ascii="Arial" w:hAnsi="Arial" w:cs="Arial"/>
          <w:sz w:val="20"/>
          <w:szCs w:val="20"/>
        </w:rPr>
        <w:t>services</w:t>
      </w:r>
      <w:r w:rsidRPr="00CB59C0">
        <w:rPr>
          <w:rFonts w:ascii="Arial" w:hAnsi="Arial" w:cs="Arial"/>
          <w:sz w:val="20"/>
          <w:szCs w:val="20"/>
        </w:rPr>
        <w:t xml:space="preserve">, </w:t>
      </w:r>
      <w:r>
        <w:rPr>
          <w:rFonts w:ascii="Arial" w:hAnsi="Arial" w:cs="Arial"/>
          <w:sz w:val="20"/>
          <w:szCs w:val="20"/>
        </w:rPr>
        <w:t>la</w:t>
      </w:r>
      <w:r w:rsidRPr="000632C2">
        <w:rPr>
          <w:rFonts w:ascii="Arial" w:hAnsi="Arial" w:cs="Arial"/>
          <w:sz w:val="20"/>
          <w:szCs w:val="20"/>
        </w:rPr>
        <w:t xml:space="preserve"> communication, </w:t>
      </w:r>
      <w:r>
        <w:rPr>
          <w:rFonts w:ascii="Arial" w:hAnsi="Arial" w:cs="Arial"/>
          <w:sz w:val="20"/>
          <w:szCs w:val="20"/>
        </w:rPr>
        <w:t>le</w:t>
      </w:r>
      <w:r w:rsidRPr="000632C2">
        <w:rPr>
          <w:rFonts w:ascii="Arial" w:hAnsi="Arial" w:cs="Arial"/>
          <w:sz w:val="20"/>
          <w:szCs w:val="20"/>
        </w:rPr>
        <w:t xml:space="preserve"> transport et </w:t>
      </w:r>
      <w:r>
        <w:rPr>
          <w:rFonts w:ascii="Arial" w:hAnsi="Arial" w:cs="Arial"/>
          <w:sz w:val="20"/>
          <w:szCs w:val="20"/>
        </w:rPr>
        <w:t>le</w:t>
      </w:r>
      <w:r w:rsidRPr="000632C2">
        <w:rPr>
          <w:rFonts w:ascii="Arial" w:hAnsi="Arial" w:cs="Arial"/>
          <w:sz w:val="20"/>
          <w:szCs w:val="20"/>
        </w:rPr>
        <w:t xml:space="preserve"> commerce </w:t>
      </w:r>
      <w:r>
        <w:rPr>
          <w:rFonts w:ascii="Arial" w:hAnsi="Arial" w:cs="Arial"/>
          <w:sz w:val="20"/>
          <w:szCs w:val="20"/>
        </w:rPr>
        <w:t xml:space="preserve">seraient restés les principaux moteurs du raffermissement du secteur tertiaire, permettant de maintenir sa contribution à la croissance économique globale aux alentours d’un point. Quant à </w:t>
      </w:r>
      <w:r w:rsidRPr="009339D1">
        <w:rPr>
          <w:rFonts w:ascii="Arial" w:hAnsi="Arial" w:cs="Arial"/>
          <w:kern w:val="28"/>
          <w:sz w:val="20"/>
          <w:szCs w:val="20"/>
        </w:rPr>
        <w:t>l’activité de l’hébergement et de la restauration</w:t>
      </w:r>
      <w:r>
        <w:rPr>
          <w:rFonts w:ascii="Arial" w:hAnsi="Arial" w:cs="Arial"/>
          <w:kern w:val="28"/>
          <w:sz w:val="20"/>
          <w:szCs w:val="20"/>
        </w:rPr>
        <w:t>, son évolution baissière</w:t>
      </w:r>
      <w:r w:rsidRPr="009339D1">
        <w:rPr>
          <w:rFonts w:ascii="Arial" w:hAnsi="Arial" w:cs="Arial"/>
          <w:kern w:val="28"/>
          <w:sz w:val="20"/>
          <w:szCs w:val="20"/>
        </w:rPr>
        <w:t xml:space="preserve"> se serait atténuée au troisième trimestre 2015, </w:t>
      </w:r>
      <w:r>
        <w:rPr>
          <w:rFonts w:ascii="Arial" w:hAnsi="Arial" w:cs="Arial"/>
          <w:kern w:val="28"/>
          <w:sz w:val="20"/>
          <w:szCs w:val="20"/>
        </w:rPr>
        <w:t>pour se situer à</w:t>
      </w:r>
      <w:r w:rsidRPr="009339D1">
        <w:rPr>
          <w:rFonts w:ascii="Arial" w:hAnsi="Arial" w:cs="Arial"/>
          <w:kern w:val="28"/>
          <w:sz w:val="20"/>
          <w:szCs w:val="20"/>
        </w:rPr>
        <w:t xml:space="preserve"> -1,8%, après avoir reflué de 3,4% un trimestre plus tôt. </w:t>
      </w:r>
      <w:r>
        <w:rPr>
          <w:rFonts w:ascii="Arial" w:hAnsi="Arial" w:cs="Arial"/>
          <w:kern w:val="28"/>
          <w:sz w:val="20"/>
          <w:szCs w:val="20"/>
        </w:rPr>
        <w:t>Cette tendance</w:t>
      </w:r>
      <w:r w:rsidRPr="009339D1">
        <w:rPr>
          <w:rFonts w:ascii="Arial" w:hAnsi="Arial" w:cs="Arial"/>
          <w:sz w:val="20"/>
          <w:szCs w:val="20"/>
        </w:rPr>
        <w:t xml:space="preserve"> </w:t>
      </w:r>
      <w:r>
        <w:rPr>
          <w:rFonts w:ascii="Arial" w:hAnsi="Arial" w:cs="Arial"/>
          <w:sz w:val="20"/>
          <w:szCs w:val="20"/>
        </w:rPr>
        <w:t>aurait été due au recul</w:t>
      </w:r>
      <w:r w:rsidRPr="009339D1">
        <w:rPr>
          <w:rFonts w:ascii="Arial" w:hAnsi="Arial" w:cs="Arial"/>
          <w:sz w:val="20"/>
          <w:szCs w:val="20"/>
        </w:rPr>
        <w:t xml:space="preserve"> moins prononcé </w:t>
      </w:r>
      <w:r>
        <w:rPr>
          <w:rFonts w:ascii="Arial" w:hAnsi="Arial" w:cs="Arial"/>
          <w:sz w:val="20"/>
          <w:szCs w:val="20"/>
        </w:rPr>
        <w:t>des nuitées</w:t>
      </w:r>
      <w:r w:rsidRPr="009339D1">
        <w:rPr>
          <w:rFonts w:ascii="Arial" w:hAnsi="Arial" w:cs="Arial"/>
          <w:sz w:val="20"/>
          <w:szCs w:val="20"/>
        </w:rPr>
        <w:t xml:space="preserve"> des non-résidents</w:t>
      </w:r>
      <w:r>
        <w:rPr>
          <w:rFonts w:ascii="Arial" w:hAnsi="Arial" w:cs="Arial"/>
          <w:sz w:val="20"/>
          <w:szCs w:val="20"/>
        </w:rPr>
        <w:t xml:space="preserve"> et au </w:t>
      </w:r>
      <w:r w:rsidRPr="009339D1">
        <w:rPr>
          <w:rFonts w:ascii="Arial" w:hAnsi="Arial" w:cs="Arial"/>
          <w:sz w:val="20"/>
          <w:szCs w:val="20"/>
        </w:rPr>
        <w:t>bon comportement de celles des résidents. Quant aux recettes voyages, elles se seraient inscrites en hausse de 4,6%, en variation annuelle, lors de la même périod</w:t>
      </w:r>
      <w:r>
        <w:rPr>
          <w:rFonts w:ascii="Arial" w:hAnsi="Arial" w:cs="Arial"/>
          <w:sz w:val="20"/>
          <w:szCs w:val="20"/>
        </w:rPr>
        <w:t>e, après trois trimestres de replis consécutifs.</w:t>
      </w:r>
    </w:p>
    <w:p w:rsidR="001E3430" w:rsidRDefault="001E3430" w:rsidP="00943A91">
      <w:pPr>
        <w:jc w:val="both"/>
        <w:rPr>
          <w:rFonts w:ascii="Arial" w:hAnsi="Arial" w:cs="Arial"/>
          <w:sz w:val="20"/>
          <w:szCs w:val="20"/>
        </w:rPr>
      </w:pPr>
    </w:p>
    <w:p w:rsidR="001E3430" w:rsidRDefault="001E3430" w:rsidP="009F63E6">
      <w:pPr>
        <w:jc w:val="both"/>
        <w:rPr>
          <w:rFonts w:ascii="Arial" w:hAnsi="Arial"/>
          <w:b/>
          <w:bCs/>
          <w:color w:val="800000"/>
          <w:kern w:val="28"/>
          <w:sz w:val="20"/>
          <w:szCs w:val="20"/>
        </w:rPr>
      </w:pPr>
      <w:r>
        <w:rPr>
          <w:rFonts w:ascii="Arial" w:hAnsi="Arial"/>
          <w:b/>
          <w:bCs/>
          <w:color w:val="800000"/>
          <w:kern w:val="28"/>
          <w:sz w:val="20"/>
          <w:szCs w:val="20"/>
        </w:rPr>
        <w:t>Poursuite du r</w:t>
      </w:r>
      <w:r w:rsidRPr="000D6F94">
        <w:rPr>
          <w:rFonts w:ascii="Arial" w:hAnsi="Arial" w:cs="Arial"/>
          <w:b/>
          <w:bCs/>
          <w:color w:val="800000"/>
          <w:kern w:val="28"/>
          <w:sz w:val="20"/>
          <w:szCs w:val="20"/>
        </w:rPr>
        <w:t xml:space="preserve">edressement de la production </w:t>
      </w:r>
      <w:r>
        <w:rPr>
          <w:rFonts w:ascii="Arial" w:hAnsi="Arial" w:cs="Arial"/>
          <w:b/>
          <w:bCs/>
          <w:color w:val="800000"/>
          <w:kern w:val="28"/>
          <w:sz w:val="20"/>
          <w:szCs w:val="20"/>
        </w:rPr>
        <w:t>agricole</w:t>
      </w:r>
    </w:p>
    <w:p w:rsidR="001E3430" w:rsidRPr="000D6F94" w:rsidRDefault="001E3430" w:rsidP="005005AB">
      <w:pPr>
        <w:jc w:val="both"/>
        <w:rPr>
          <w:rFonts w:ascii="Arial" w:hAnsi="Arial" w:cs="Arial"/>
          <w:b/>
          <w:bCs/>
          <w:color w:val="800000"/>
          <w:kern w:val="28"/>
          <w:sz w:val="20"/>
          <w:szCs w:val="20"/>
        </w:rPr>
      </w:pPr>
    </w:p>
    <w:p w:rsidR="001E3430" w:rsidRPr="00763A6F" w:rsidRDefault="00BF112B" w:rsidP="008D0C14">
      <w:pPr>
        <w:autoSpaceDE w:val="0"/>
        <w:autoSpaceDN w:val="0"/>
        <w:adjustRightInd w:val="0"/>
        <w:jc w:val="both"/>
        <w:rPr>
          <w:rFonts w:ascii="Arial" w:hAnsi="Arial" w:cs="Arial"/>
          <w:sz w:val="20"/>
          <w:szCs w:val="20"/>
        </w:rPr>
      </w:pPr>
      <w:r>
        <w:rPr>
          <w:noProof/>
        </w:rPr>
        <w:drawing>
          <wp:anchor distT="0" distB="0" distL="114300" distR="114300" simplePos="0" relativeHeight="251658240" behindDoc="0" locked="0" layoutInCell="1" allowOverlap="1">
            <wp:simplePos x="0" y="0"/>
            <wp:positionH relativeFrom="column">
              <wp:posOffset>4056380</wp:posOffset>
            </wp:positionH>
            <wp:positionV relativeFrom="paragraph">
              <wp:posOffset>936625</wp:posOffset>
            </wp:positionV>
            <wp:extent cx="2438400" cy="1913890"/>
            <wp:effectExtent l="0" t="0" r="0" b="0"/>
            <wp:wrapSquare wrapText="bothSides"/>
            <wp:docPr id="15"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0"/>
                    <pic:cNvPicPr>
                      <a:picLocks noChangeAspect="1" noChangeArrowheads="1"/>
                    </pic:cNvPicPr>
                  </pic:nvPicPr>
                  <pic:blipFill>
                    <a:blip r:embed="rId13"/>
                    <a:srcRect/>
                    <a:stretch>
                      <a:fillRect/>
                    </a:stretch>
                  </pic:blipFill>
                  <pic:spPr bwMode="auto">
                    <a:xfrm>
                      <a:off x="0" y="0"/>
                      <a:ext cx="2438400" cy="1913890"/>
                    </a:xfrm>
                    <a:prstGeom prst="rect">
                      <a:avLst/>
                    </a:prstGeom>
                    <a:noFill/>
                  </pic:spPr>
                </pic:pic>
              </a:graphicData>
            </a:graphic>
          </wp:anchor>
        </w:drawing>
      </w:r>
      <w:r w:rsidR="001E3430" w:rsidRPr="00763A6F">
        <w:rPr>
          <w:rFonts w:ascii="Arial" w:hAnsi="Arial" w:cs="Arial"/>
          <w:sz w:val="20"/>
          <w:szCs w:val="20"/>
        </w:rPr>
        <w:t xml:space="preserve">L’activité </w:t>
      </w:r>
      <w:r w:rsidR="001E3430" w:rsidRPr="00763A6F">
        <w:rPr>
          <w:rFonts w:ascii="Arial" w:hAnsi="Arial" w:cs="Arial"/>
          <w:b/>
          <w:sz w:val="20"/>
          <w:szCs w:val="20"/>
        </w:rPr>
        <w:t>agricole</w:t>
      </w:r>
      <w:r w:rsidR="001E3430" w:rsidRPr="00763A6F">
        <w:rPr>
          <w:rFonts w:ascii="Arial" w:hAnsi="Arial" w:cs="Arial"/>
          <w:sz w:val="20"/>
          <w:szCs w:val="20"/>
        </w:rPr>
        <w:t xml:space="preserve"> se serait </w:t>
      </w:r>
      <w:r w:rsidR="001E3430">
        <w:rPr>
          <w:rFonts w:ascii="Arial" w:hAnsi="Arial" w:cs="Arial"/>
          <w:sz w:val="20"/>
          <w:szCs w:val="20"/>
        </w:rPr>
        <w:t>raffermie</w:t>
      </w:r>
      <w:r w:rsidR="001E3430" w:rsidRPr="00763A6F">
        <w:rPr>
          <w:rFonts w:ascii="Arial" w:hAnsi="Arial" w:cs="Arial"/>
          <w:sz w:val="20"/>
          <w:szCs w:val="20"/>
        </w:rPr>
        <w:t xml:space="preserve"> de 16,6%, au troisième trimestre 2015, en </w:t>
      </w:r>
      <w:r w:rsidR="001E3430">
        <w:rPr>
          <w:rFonts w:ascii="Arial" w:hAnsi="Arial" w:cs="Arial"/>
          <w:sz w:val="20"/>
          <w:szCs w:val="20"/>
        </w:rPr>
        <w:t>variation annuelle, au lieu de 14,9</w:t>
      </w:r>
      <w:r w:rsidR="001E3430" w:rsidRPr="00763A6F">
        <w:rPr>
          <w:rFonts w:ascii="Arial" w:hAnsi="Arial" w:cs="Arial"/>
          <w:sz w:val="20"/>
          <w:szCs w:val="20"/>
        </w:rPr>
        <w:t xml:space="preserve">% au </w:t>
      </w:r>
      <w:r w:rsidR="001E3430">
        <w:rPr>
          <w:rFonts w:ascii="Arial" w:hAnsi="Arial" w:cs="Arial"/>
          <w:sz w:val="20"/>
          <w:szCs w:val="20"/>
        </w:rPr>
        <w:t>deuxième</w:t>
      </w:r>
      <w:r w:rsidR="001E3430" w:rsidRPr="00763A6F">
        <w:rPr>
          <w:rFonts w:ascii="Arial" w:hAnsi="Arial" w:cs="Arial"/>
          <w:sz w:val="20"/>
          <w:szCs w:val="20"/>
        </w:rPr>
        <w:t xml:space="preserve"> trimestre. La forte progression de la production des cultures précoces, amorcée au début de l’année, aurait été plus soutenue à partir du deuxième trimestre, grâce notamment à une amélioration des récoltes des céréales, des cultures fourragères et, dans une moindre mesure, celle des légumineuses. En variation annuelle, la production végétale </w:t>
      </w:r>
      <w:r w:rsidR="001E3430">
        <w:rPr>
          <w:rFonts w:ascii="Arial" w:hAnsi="Arial" w:cs="Arial"/>
          <w:sz w:val="20"/>
          <w:szCs w:val="20"/>
        </w:rPr>
        <w:t>s’inscrirait</w:t>
      </w:r>
      <w:r w:rsidR="001E3430" w:rsidRPr="00763A6F">
        <w:rPr>
          <w:rFonts w:ascii="Arial" w:hAnsi="Arial" w:cs="Arial"/>
          <w:sz w:val="20"/>
          <w:szCs w:val="20"/>
        </w:rPr>
        <w:t xml:space="preserve"> en hausse de 18,1%</w:t>
      </w:r>
      <w:r w:rsidR="001E3430">
        <w:rPr>
          <w:rFonts w:ascii="Arial" w:hAnsi="Arial" w:cs="Arial"/>
          <w:sz w:val="20"/>
          <w:szCs w:val="20"/>
        </w:rPr>
        <w:t xml:space="preserve"> en 2015, et de </w:t>
      </w:r>
      <w:r w:rsidR="001E3430" w:rsidRPr="00763A6F">
        <w:rPr>
          <w:rFonts w:ascii="Arial" w:hAnsi="Arial" w:cs="Arial"/>
          <w:sz w:val="20"/>
          <w:szCs w:val="20"/>
        </w:rPr>
        <w:t>14,6% en comparaison avec la moyenne des cinq dernières années. C</w:t>
      </w:r>
      <w:r w:rsidR="001E3430">
        <w:rPr>
          <w:rFonts w:ascii="Arial" w:hAnsi="Arial" w:cs="Arial"/>
          <w:sz w:val="20"/>
          <w:szCs w:val="20"/>
        </w:rPr>
        <w:t>ependant, c</w:t>
      </w:r>
      <w:r w:rsidR="001E3430" w:rsidRPr="00763A6F">
        <w:rPr>
          <w:rFonts w:ascii="Arial" w:hAnsi="Arial" w:cs="Arial"/>
          <w:sz w:val="20"/>
          <w:szCs w:val="20"/>
        </w:rPr>
        <w:t xml:space="preserve">ette dynamique de l’offre n’aurait pas entraîné une baisse aussi conséquente des prix intérieurs. Au troisième trimestre 2015, les indices des prix à la consommation des légumes et </w:t>
      </w:r>
      <w:r w:rsidR="001E3430">
        <w:rPr>
          <w:rFonts w:ascii="Arial" w:hAnsi="Arial" w:cs="Arial"/>
          <w:sz w:val="20"/>
          <w:szCs w:val="20"/>
        </w:rPr>
        <w:t xml:space="preserve">des </w:t>
      </w:r>
      <w:r w:rsidR="001E3430" w:rsidRPr="00763A6F">
        <w:rPr>
          <w:rFonts w:ascii="Arial" w:hAnsi="Arial" w:cs="Arial"/>
          <w:sz w:val="20"/>
          <w:szCs w:val="20"/>
        </w:rPr>
        <w:t>fruits frais auraient enregistré des hausses respectives de 7,6% et 8,2%, en variations annuelles, après avoir crû de 5,6% et 3,6%, au cours du premier semestre. Dans la branche animale, les prix de viande auraient enregistré une augmentation de 0,8%, au troisième trimestre, dans un contexte de modération des volumes produits des ovins et des bovins. Cette tendance serait restée conforme à l’évolution observée lors des campagnes pluvieuses, caractérisées généralement par une baisse des coûts d’alimentation du cheptel et une modeste évolution des abattages. La production des volailles et des produits annexes à l’élevage, notamment le lait, aurait connu</w:t>
      </w:r>
      <w:r w:rsidR="001E3430">
        <w:rPr>
          <w:rFonts w:ascii="Arial" w:hAnsi="Arial" w:cs="Arial"/>
          <w:sz w:val="20"/>
          <w:szCs w:val="20"/>
        </w:rPr>
        <w:t>, quant à elle,</w:t>
      </w:r>
      <w:r w:rsidR="001E3430" w:rsidRPr="00763A6F">
        <w:rPr>
          <w:rFonts w:ascii="Arial" w:hAnsi="Arial" w:cs="Arial"/>
          <w:sz w:val="20"/>
          <w:szCs w:val="20"/>
        </w:rPr>
        <w:t xml:space="preserve"> un sensible mouvement de croissance, confortant l’affermissement de la production animale, estimé à +4,5%, au terme de l’année en cours.</w:t>
      </w:r>
    </w:p>
    <w:p w:rsidR="001E3430" w:rsidRDefault="001E3430" w:rsidP="003E44E7">
      <w:pPr>
        <w:pStyle w:val="NormalWeb"/>
        <w:spacing w:before="0" w:beforeAutospacing="0" w:after="0" w:afterAutospacing="0"/>
        <w:jc w:val="both"/>
        <w:rPr>
          <w:rFonts w:ascii="Arial" w:hAnsi="Arial" w:cs="Arial"/>
          <w:sz w:val="20"/>
          <w:szCs w:val="20"/>
        </w:rPr>
      </w:pPr>
    </w:p>
    <w:p w:rsidR="001E3430" w:rsidRDefault="00BF112B" w:rsidP="00A66350">
      <w:pPr>
        <w:pStyle w:val="NormalWeb"/>
        <w:spacing w:before="0" w:beforeAutospacing="0" w:after="0" w:afterAutospacing="0"/>
        <w:jc w:val="both"/>
        <w:rPr>
          <w:rFonts w:ascii="Arial" w:hAnsi="Arial" w:cs="Arial"/>
          <w:sz w:val="20"/>
          <w:szCs w:val="20"/>
        </w:rPr>
      </w:pPr>
      <w:r>
        <w:rPr>
          <w:noProof/>
        </w:rPr>
        <w:drawing>
          <wp:anchor distT="0" distB="0" distL="114300" distR="114300" simplePos="0" relativeHeight="251659264" behindDoc="0" locked="0" layoutInCell="1" allowOverlap="1">
            <wp:simplePos x="0" y="0"/>
            <wp:positionH relativeFrom="column">
              <wp:posOffset>4114800</wp:posOffset>
            </wp:positionH>
            <wp:positionV relativeFrom="paragraph">
              <wp:posOffset>356235</wp:posOffset>
            </wp:positionV>
            <wp:extent cx="2515870" cy="1828800"/>
            <wp:effectExtent l="0" t="0" r="0" b="0"/>
            <wp:wrapSquare wrapText="bothSides"/>
            <wp:docPr id="16" name="Imag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1"/>
                    <pic:cNvPicPr>
                      <a:picLocks noChangeAspect="1" noChangeArrowheads="1"/>
                    </pic:cNvPicPr>
                  </pic:nvPicPr>
                  <pic:blipFill>
                    <a:blip r:embed="rId14"/>
                    <a:srcRect/>
                    <a:stretch>
                      <a:fillRect/>
                    </a:stretch>
                  </pic:blipFill>
                  <pic:spPr bwMode="auto">
                    <a:xfrm>
                      <a:off x="0" y="0"/>
                      <a:ext cx="2515870" cy="1828800"/>
                    </a:xfrm>
                    <a:prstGeom prst="rect">
                      <a:avLst/>
                    </a:prstGeom>
                    <a:noFill/>
                  </pic:spPr>
                </pic:pic>
              </a:graphicData>
            </a:graphic>
          </wp:anchor>
        </w:drawing>
      </w:r>
      <w:r w:rsidR="001E3430">
        <w:rPr>
          <w:rFonts w:ascii="Arial" w:hAnsi="Arial" w:cs="Arial"/>
          <w:sz w:val="20"/>
          <w:szCs w:val="20"/>
        </w:rPr>
        <w:t>Dans l’ensemble et compte tenu des indicateurs collectés jusqu’à fin septembre 2015, ainsi que des estimations sectorielles établies pour le troisième trimestre 2015, l</w:t>
      </w:r>
      <w:r w:rsidR="001E3430" w:rsidRPr="00DB7C3F">
        <w:rPr>
          <w:rFonts w:ascii="Arial" w:hAnsi="Arial" w:cs="Arial"/>
          <w:sz w:val="20"/>
          <w:szCs w:val="20"/>
        </w:rPr>
        <w:t xml:space="preserve">a croissance économique nationale </w:t>
      </w:r>
      <w:r w:rsidR="001E3430">
        <w:rPr>
          <w:rFonts w:ascii="Arial" w:hAnsi="Arial" w:cs="Arial"/>
          <w:sz w:val="20"/>
          <w:szCs w:val="20"/>
        </w:rPr>
        <w:t xml:space="preserve">se </w:t>
      </w:r>
      <w:r w:rsidR="001E3430" w:rsidRPr="00DB7C3F">
        <w:rPr>
          <w:rFonts w:ascii="Arial" w:hAnsi="Arial" w:cs="Arial"/>
          <w:sz w:val="20"/>
          <w:szCs w:val="20"/>
        </w:rPr>
        <w:t xml:space="preserve">serait </w:t>
      </w:r>
      <w:r w:rsidR="001E3430">
        <w:rPr>
          <w:rFonts w:ascii="Arial" w:hAnsi="Arial" w:cs="Arial"/>
          <w:sz w:val="20"/>
          <w:szCs w:val="20"/>
        </w:rPr>
        <w:t>établie à 4,5%</w:t>
      </w:r>
      <w:r w:rsidR="001E3430" w:rsidRPr="00DB7C3F">
        <w:rPr>
          <w:rFonts w:ascii="Arial" w:hAnsi="Arial" w:cs="Arial"/>
          <w:sz w:val="20"/>
          <w:szCs w:val="20"/>
        </w:rPr>
        <w:t xml:space="preserve">, </w:t>
      </w:r>
      <w:r w:rsidR="001E3430">
        <w:rPr>
          <w:rFonts w:ascii="Arial" w:hAnsi="Arial" w:cs="Arial"/>
          <w:sz w:val="20"/>
          <w:szCs w:val="20"/>
        </w:rPr>
        <w:t>au troisième trimestre</w:t>
      </w:r>
      <w:r w:rsidR="001E3430" w:rsidRPr="00DB7C3F">
        <w:rPr>
          <w:rFonts w:ascii="Arial" w:hAnsi="Arial" w:cs="Arial"/>
          <w:sz w:val="20"/>
          <w:szCs w:val="20"/>
        </w:rPr>
        <w:t xml:space="preserve">, </w:t>
      </w:r>
      <w:r w:rsidR="001E3430">
        <w:rPr>
          <w:rFonts w:ascii="Arial" w:hAnsi="Arial" w:cs="Arial"/>
          <w:sz w:val="20"/>
          <w:szCs w:val="20"/>
        </w:rPr>
        <w:t>au lieu de</w:t>
      </w:r>
      <w:r w:rsidR="001E3430" w:rsidRPr="00DB7C3F">
        <w:rPr>
          <w:rFonts w:ascii="Arial" w:hAnsi="Arial" w:cs="Arial"/>
          <w:sz w:val="20"/>
          <w:szCs w:val="20"/>
        </w:rPr>
        <w:t xml:space="preserve"> +</w:t>
      </w:r>
      <w:r w:rsidR="001E3430">
        <w:rPr>
          <w:rFonts w:ascii="Arial" w:hAnsi="Arial" w:cs="Arial"/>
          <w:sz w:val="20"/>
          <w:szCs w:val="20"/>
        </w:rPr>
        <w:t>4,3</w:t>
      </w:r>
      <w:r w:rsidR="001E3430" w:rsidRPr="00DB7C3F">
        <w:rPr>
          <w:rFonts w:ascii="Arial" w:hAnsi="Arial" w:cs="Arial"/>
          <w:sz w:val="20"/>
          <w:szCs w:val="20"/>
        </w:rPr>
        <w:t xml:space="preserve">%, </w:t>
      </w:r>
      <w:r w:rsidR="001E3430">
        <w:rPr>
          <w:rFonts w:ascii="Arial" w:hAnsi="Arial" w:cs="Arial"/>
          <w:sz w:val="20"/>
          <w:szCs w:val="20"/>
        </w:rPr>
        <w:t xml:space="preserve">un trimestre auparavant. </w:t>
      </w:r>
    </w:p>
    <w:p w:rsidR="001E3430" w:rsidRDefault="001E3430" w:rsidP="00237FD4">
      <w:pPr>
        <w:pStyle w:val="NormalWeb"/>
        <w:spacing w:before="0" w:beforeAutospacing="0" w:after="0" w:afterAutospacing="0"/>
        <w:jc w:val="both"/>
        <w:rPr>
          <w:rFonts w:ascii="Arial" w:hAnsi="Arial" w:cs="Arial"/>
          <w:sz w:val="20"/>
          <w:szCs w:val="20"/>
        </w:rPr>
      </w:pPr>
    </w:p>
    <w:p w:rsidR="001E3430" w:rsidRPr="004625B7" w:rsidRDefault="001E3430" w:rsidP="003B1A56">
      <w:pPr>
        <w:jc w:val="both"/>
        <w:rPr>
          <w:rFonts w:ascii="Arial" w:hAnsi="Arial" w:cs="Arial"/>
          <w:b/>
          <w:bCs/>
          <w:color w:val="800000"/>
          <w:sz w:val="20"/>
          <w:szCs w:val="20"/>
        </w:rPr>
      </w:pPr>
      <w:r>
        <w:rPr>
          <w:rFonts w:ascii="Arial" w:hAnsi="Arial" w:cs="Arial"/>
          <w:b/>
          <w:bCs/>
          <w:color w:val="800000"/>
          <w:sz w:val="20"/>
          <w:szCs w:val="20"/>
        </w:rPr>
        <w:t>Décélération d</w:t>
      </w:r>
      <w:r w:rsidRPr="004625B7">
        <w:rPr>
          <w:rFonts w:ascii="Arial" w:hAnsi="Arial" w:cs="Arial"/>
          <w:b/>
          <w:bCs/>
          <w:color w:val="800000"/>
          <w:sz w:val="20"/>
          <w:szCs w:val="20"/>
        </w:rPr>
        <w:t>e</w:t>
      </w:r>
      <w:r>
        <w:rPr>
          <w:rFonts w:ascii="Arial" w:hAnsi="Arial" w:cs="Arial"/>
          <w:b/>
          <w:bCs/>
          <w:color w:val="800000"/>
          <w:sz w:val="20"/>
          <w:szCs w:val="20"/>
        </w:rPr>
        <w:t>s prix à la consommation, après une accélération au premier semestre</w:t>
      </w:r>
    </w:p>
    <w:p w:rsidR="001E3430" w:rsidRPr="000A1CCD" w:rsidRDefault="001E3430" w:rsidP="00645ED5">
      <w:pPr>
        <w:jc w:val="both"/>
        <w:rPr>
          <w:rFonts w:ascii="Arial" w:hAnsi="Arial" w:cs="Arial"/>
          <w:sz w:val="20"/>
          <w:szCs w:val="20"/>
        </w:rPr>
      </w:pPr>
    </w:p>
    <w:p w:rsidR="001E3430" w:rsidRDefault="001E3430" w:rsidP="000A51AD">
      <w:pPr>
        <w:jc w:val="both"/>
        <w:rPr>
          <w:rFonts w:ascii="Arial" w:hAnsi="Arial" w:cs="Arial"/>
          <w:sz w:val="20"/>
          <w:szCs w:val="20"/>
        </w:rPr>
      </w:pPr>
      <w:r>
        <w:rPr>
          <w:rFonts w:ascii="Arial" w:hAnsi="Arial" w:cs="Arial"/>
          <w:sz w:val="20"/>
          <w:szCs w:val="20"/>
        </w:rPr>
        <w:t xml:space="preserve">Les </w:t>
      </w:r>
      <w:r w:rsidRPr="003E705C">
        <w:rPr>
          <w:rFonts w:ascii="Arial" w:hAnsi="Arial" w:cs="Arial"/>
          <w:b/>
          <w:bCs/>
          <w:sz w:val="20"/>
          <w:szCs w:val="20"/>
        </w:rPr>
        <w:t>prix à la consommation</w:t>
      </w:r>
      <w:r w:rsidRPr="003E705C">
        <w:rPr>
          <w:rFonts w:ascii="Arial" w:hAnsi="Arial" w:cs="Arial"/>
          <w:sz w:val="20"/>
          <w:szCs w:val="20"/>
        </w:rPr>
        <w:t xml:space="preserve"> aurai</w:t>
      </w:r>
      <w:r>
        <w:rPr>
          <w:rFonts w:ascii="Arial" w:hAnsi="Arial" w:cs="Arial"/>
          <w:sz w:val="20"/>
          <w:szCs w:val="20"/>
        </w:rPr>
        <w:t>en</w:t>
      </w:r>
      <w:r w:rsidRPr="003E705C">
        <w:rPr>
          <w:rFonts w:ascii="Arial" w:hAnsi="Arial" w:cs="Arial"/>
          <w:sz w:val="20"/>
          <w:szCs w:val="20"/>
        </w:rPr>
        <w:t>t légèrement décéléré</w:t>
      </w:r>
      <w:r w:rsidRPr="00582D6E">
        <w:rPr>
          <w:rFonts w:ascii="Arial" w:hAnsi="Arial" w:cs="Arial"/>
          <w:sz w:val="20"/>
          <w:szCs w:val="20"/>
        </w:rPr>
        <w:t xml:space="preserve"> </w:t>
      </w:r>
      <w:r>
        <w:rPr>
          <w:rFonts w:ascii="Arial" w:hAnsi="Arial" w:cs="Arial"/>
          <w:sz w:val="20"/>
          <w:szCs w:val="20"/>
        </w:rPr>
        <w:t>a</w:t>
      </w:r>
      <w:r w:rsidRPr="003E705C">
        <w:rPr>
          <w:rFonts w:ascii="Arial" w:hAnsi="Arial" w:cs="Arial"/>
          <w:sz w:val="20"/>
          <w:szCs w:val="20"/>
        </w:rPr>
        <w:t>u troisième trimestre 2015</w:t>
      </w:r>
      <w:r>
        <w:rPr>
          <w:rFonts w:ascii="Arial" w:hAnsi="Arial" w:cs="Arial"/>
          <w:sz w:val="20"/>
          <w:szCs w:val="20"/>
        </w:rPr>
        <w:t>. En dépit de</w:t>
      </w:r>
      <w:r w:rsidRPr="003E705C">
        <w:rPr>
          <w:rFonts w:ascii="Arial" w:hAnsi="Arial" w:cs="Arial"/>
          <w:sz w:val="20"/>
          <w:szCs w:val="20"/>
        </w:rPr>
        <w:t xml:space="preserve"> la poursuite de la hausse des prix des produits alimentaires</w:t>
      </w:r>
      <w:r>
        <w:rPr>
          <w:rFonts w:ascii="Arial" w:hAnsi="Arial" w:cs="Arial"/>
          <w:sz w:val="20"/>
          <w:szCs w:val="20"/>
        </w:rPr>
        <w:t xml:space="preserve"> de 3,4%, en glissement annuel, l’inflation globale se serait établie à</w:t>
      </w:r>
      <w:r w:rsidRPr="003E705C">
        <w:rPr>
          <w:rFonts w:ascii="Arial" w:hAnsi="Arial" w:cs="Arial"/>
          <w:sz w:val="20"/>
          <w:szCs w:val="20"/>
        </w:rPr>
        <w:t xml:space="preserve"> +1,9%, </w:t>
      </w:r>
      <w:r>
        <w:rPr>
          <w:rFonts w:ascii="Arial" w:hAnsi="Arial" w:cs="Arial"/>
          <w:sz w:val="20"/>
          <w:szCs w:val="20"/>
        </w:rPr>
        <w:t>a</w:t>
      </w:r>
      <w:r w:rsidRPr="003E705C">
        <w:rPr>
          <w:rFonts w:ascii="Arial" w:hAnsi="Arial" w:cs="Arial"/>
          <w:sz w:val="20"/>
          <w:szCs w:val="20"/>
        </w:rPr>
        <w:t>u troisième trimestre 2015</w:t>
      </w:r>
      <w:r>
        <w:rPr>
          <w:rFonts w:ascii="Arial" w:hAnsi="Arial" w:cs="Arial"/>
          <w:sz w:val="20"/>
          <w:szCs w:val="20"/>
        </w:rPr>
        <w:t xml:space="preserve">, </w:t>
      </w:r>
      <w:r w:rsidRPr="003E705C">
        <w:rPr>
          <w:rFonts w:ascii="Arial" w:hAnsi="Arial" w:cs="Arial"/>
          <w:sz w:val="20"/>
          <w:szCs w:val="20"/>
        </w:rPr>
        <w:t xml:space="preserve">après +2% au deuxième trimestre. </w:t>
      </w:r>
      <w:r>
        <w:rPr>
          <w:rFonts w:ascii="Arial" w:hAnsi="Arial" w:cs="Arial"/>
          <w:sz w:val="20"/>
          <w:szCs w:val="20"/>
        </w:rPr>
        <w:t xml:space="preserve">Ce sont particulièrement </w:t>
      </w:r>
      <w:r w:rsidRPr="003E705C">
        <w:rPr>
          <w:rFonts w:ascii="Arial" w:hAnsi="Arial" w:cs="Arial"/>
          <w:sz w:val="20"/>
          <w:szCs w:val="20"/>
        </w:rPr>
        <w:t>les produits non-alimentaires</w:t>
      </w:r>
      <w:r>
        <w:rPr>
          <w:rFonts w:ascii="Arial" w:hAnsi="Arial" w:cs="Arial"/>
          <w:sz w:val="20"/>
          <w:szCs w:val="20"/>
        </w:rPr>
        <w:t xml:space="preserve"> qui auraient le plus concouru à cette tendance, </w:t>
      </w:r>
      <w:r w:rsidRPr="003E705C">
        <w:rPr>
          <w:rFonts w:ascii="Arial" w:hAnsi="Arial" w:cs="Arial"/>
          <w:sz w:val="20"/>
          <w:szCs w:val="20"/>
        </w:rPr>
        <w:t xml:space="preserve">avec une progression </w:t>
      </w:r>
      <w:r>
        <w:rPr>
          <w:rFonts w:ascii="Arial" w:hAnsi="Arial" w:cs="Arial"/>
          <w:sz w:val="20"/>
          <w:szCs w:val="20"/>
        </w:rPr>
        <w:t xml:space="preserve">estimée à </w:t>
      </w:r>
      <w:r w:rsidRPr="003E705C">
        <w:rPr>
          <w:rFonts w:ascii="Arial" w:hAnsi="Arial" w:cs="Arial"/>
          <w:sz w:val="20"/>
          <w:szCs w:val="20"/>
        </w:rPr>
        <w:t xml:space="preserve">0,6%, au lieu de +1,2% au trimestre précédent. </w:t>
      </w:r>
      <w:r>
        <w:rPr>
          <w:rFonts w:ascii="Arial" w:hAnsi="Arial" w:cs="Arial"/>
          <w:sz w:val="20"/>
          <w:szCs w:val="20"/>
        </w:rPr>
        <w:t>La</w:t>
      </w:r>
      <w:r w:rsidRPr="003E705C">
        <w:rPr>
          <w:rFonts w:ascii="Arial" w:hAnsi="Arial" w:cs="Arial"/>
          <w:sz w:val="20"/>
          <w:szCs w:val="20"/>
        </w:rPr>
        <w:t xml:space="preserve"> baisse des prix des carburants </w:t>
      </w:r>
      <w:r w:rsidRPr="003E705C">
        <w:rPr>
          <w:rFonts w:ascii="Arial" w:hAnsi="Arial" w:cs="Arial"/>
          <w:color w:val="000000"/>
          <w:sz w:val="20"/>
          <w:szCs w:val="20"/>
        </w:rPr>
        <w:t>a</w:t>
      </w:r>
      <w:r>
        <w:rPr>
          <w:rFonts w:ascii="Arial" w:hAnsi="Arial" w:cs="Arial"/>
          <w:color w:val="000000"/>
          <w:sz w:val="20"/>
          <w:szCs w:val="20"/>
        </w:rPr>
        <w:t>urait</w:t>
      </w:r>
      <w:r w:rsidRPr="003E705C">
        <w:rPr>
          <w:rFonts w:ascii="Arial" w:hAnsi="Arial" w:cs="Arial"/>
          <w:color w:val="000000"/>
          <w:sz w:val="20"/>
          <w:szCs w:val="20"/>
        </w:rPr>
        <w:t xml:space="preserve"> affecté significativement les </w:t>
      </w:r>
      <w:r w:rsidRPr="003E705C">
        <w:rPr>
          <w:rFonts w:ascii="Arial" w:hAnsi="Arial" w:cs="Arial"/>
          <w:color w:val="000000"/>
          <w:sz w:val="20"/>
          <w:szCs w:val="20"/>
        </w:rPr>
        <w:lastRenderedPageBreak/>
        <w:t xml:space="preserve">prix </w:t>
      </w:r>
      <w:r>
        <w:rPr>
          <w:rFonts w:ascii="Arial" w:hAnsi="Arial" w:cs="Arial"/>
          <w:color w:val="000000"/>
          <w:sz w:val="20"/>
          <w:szCs w:val="20"/>
        </w:rPr>
        <w:t>d</w:t>
      </w:r>
      <w:r w:rsidRPr="003E705C">
        <w:rPr>
          <w:rFonts w:ascii="Arial" w:hAnsi="Arial" w:cs="Arial"/>
          <w:color w:val="000000"/>
          <w:sz w:val="20"/>
          <w:szCs w:val="20"/>
        </w:rPr>
        <w:t>e l’énergie</w:t>
      </w:r>
      <w:r w:rsidRPr="003E705C">
        <w:rPr>
          <w:rFonts w:ascii="Arial" w:hAnsi="Arial" w:cs="Arial"/>
          <w:sz w:val="20"/>
          <w:szCs w:val="20"/>
        </w:rPr>
        <w:t>. L’inflation sous-jacente a</w:t>
      </w:r>
      <w:r>
        <w:rPr>
          <w:rFonts w:ascii="Arial" w:hAnsi="Arial" w:cs="Arial"/>
          <w:sz w:val="20"/>
          <w:szCs w:val="20"/>
        </w:rPr>
        <w:t>urait,</w:t>
      </w:r>
      <w:r w:rsidRPr="003E705C">
        <w:rPr>
          <w:rFonts w:ascii="Arial" w:hAnsi="Arial" w:cs="Arial"/>
          <w:sz w:val="20"/>
          <w:szCs w:val="20"/>
        </w:rPr>
        <w:t xml:space="preserve"> </w:t>
      </w:r>
      <w:r>
        <w:rPr>
          <w:rFonts w:ascii="Arial" w:hAnsi="Arial" w:cs="Arial"/>
          <w:sz w:val="20"/>
          <w:szCs w:val="20"/>
        </w:rPr>
        <w:t>quant à elle</w:t>
      </w:r>
      <w:r w:rsidRPr="003E705C">
        <w:rPr>
          <w:rFonts w:ascii="Arial" w:hAnsi="Arial" w:cs="Arial"/>
          <w:sz w:val="20"/>
          <w:szCs w:val="20"/>
        </w:rPr>
        <w:t>, marqué une légère progression de son rythme de croissance</w:t>
      </w:r>
      <w:r>
        <w:rPr>
          <w:rFonts w:ascii="Arial" w:hAnsi="Arial" w:cs="Arial"/>
          <w:sz w:val="20"/>
          <w:szCs w:val="20"/>
        </w:rPr>
        <w:t>, pour atteindre</w:t>
      </w:r>
      <w:r w:rsidRPr="003E705C">
        <w:rPr>
          <w:rFonts w:ascii="Arial" w:hAnsi="Arial" w:cs="Arial"/>
          <w:sz w:val="20"/>
          <w:szCs w:val="20"/>
        </w:rPr>
        <w:t xml:space="preserve"> </w:t>
      </w:r>
      <w:r>
        <w:rPr>
          <w:rFonts w:ascii="Arial" w:hAnsi="Arial" w:cs="Arial"/>
          <w:sz w:val="20"/>
          <w:szCs w:val="20"/>
        </w:rPr>
        <w:t>+</w:t>
      </w:r>
      <w:r w:rsidRPr="003E705C">
        <w:rPr>
          <w:rFonts w:ascii="Arial" w:hAnsi="Arial" w:cs="Arial"/>
          <w:sz w:val="20"/>
          <w:szCs w:val="20"/>
        </w:rPr>
        <w:t xml:space="preserve">1,4%, en glissement annuel, dans le sillage de la légère hausse des prix des produits manufacturés. Sur l’ensemble de l’année 2015, </w:t>
      </w:r>
      <w:r>
        <w:rPr>
          <w:rFonts w:ascii="Arial" w:hAnsi="Arial" w:cs="Arial"/>
          <w:sz w:val="20"/>
          <w:szCs w:val="20"/>
        </w:rPr>
        <w:t xml:space="preserve">le taux de </w:t>
      </w:r>
      <w:r w:rsidRPr="003E705C">
        <w:rPr>
          <w:rFonts w:ascii="Arial" w:hAnsi="Arial" w:cs="Arial"/>
          <w:sz w:val="20"/>
          <w:szCs w:val="20"/>
        </w:rPr>
        <w:t xml:space="preserve">l’inflation </w:t>
      </w:r>
      <w:r>
        <w:rPr>
          <w:rFonts w:ascii="Arial" w:hAnsi="Arial" w:cs="Arial"/>
          <w:sz w:val="20"/>
          <w:szCs w:val="20"/>
        </w:rPr>
        <w:t xml:space="preserve">globale atteindrait </w:t>
      </w:r>
      <w:r w:rsidRPr="003E705C">
        <w:rPr>
          <w:rFonts w:ascii="Arial" w:hAnsi="Arial" w:cs="Arial"/>
          <w:sz w:val="20"/>
          <w:szCs w:val="20"/>
        </w:rPr>
        <w:t>+1,5%, après +0,4% en 2014</w:t>
      </w:r>
      <w:r>
        <w:rPr>
          <w:rFonts w:ascii="Arial" w:hAnsi="Arial" w:cs="Arial"/>
          <w:sz w:val="20"/>
          <w:szCs w:val="20"/>
        </w:rPr>
        <w:t>.</w:t>
      </w:r>
      <w:r w:rsidRPr="003E705C">
        <w:rPr>
          <w:rFonts w:ascii="Arial" w:hAnsi="Arial" w:cs="Arial"/>
          <w:sz w:val="20"/>
          <w:szCs w:val="20"/>
        </w:rPr>
        <w:t xml:space="preserve"> </w:t>
      </w:r>
      <w:r>
        <w:rPr>
          <w:rFonts w:ascii="Arial" w:hAnsi="Arial" w:cs="Arial"/>
          <w:sz w:val="20"/>
          <w:szCs w:val="20"/>
        </w:rPr>
        <w:t>Cette hausse</w:t>
      </w:r>
      <w:r w:rsidRPr="003E705C">
        <w:rPr>
          <w:rFonts w:ascii="Arial" w:hAnsi="Arial" w:cs="Arial"/>
          <w:sz w:val="20"/>
          <w:szCs w:val="20"/>
        </w:rPr>
        <w:t xml:space="preserve"> marquerait</w:t>
      </w:r>
      <w:r>
        <w:rPr>
          <w:rFonts w:ascii="Arial" w:hAnsi="Arial" w:cs="Arial"/>
          <w:sz w:val="20"/>
          <w:szCs w:val="20"/>
        </w:rPr>
        <w:t>, également,</w:t>
      </w:r>
      <w:r w:rsidRPr="003E705C">
        <w:rPr>
          <w:rFonts w:ascii="Arial" w:hAnsi="Arial" w:cs="Arial"/>
          <w:sz w:val="20"/>
          <w:szCs w:val="20"/>
        </w:rPr>
        <w:t xml:space="preserve"> l’évolution de l’inflation sous-jacente, mais à un rythme moindre</w:t>
      </w:r>
      <w:r>
        <w:rPr>
          <w:rFonts w:ascii="Arial" w:hAnsi="Arial" w:cs="Arial"/>
          <w:sz w:val="20"/>
          <w:szCs w:val="20"/>
        </w:rPr>
        <w:t xml:space="preserve">, se situant à </w:t>
      </w:r>
      <w:r w:rsidRPr="003E705C">
        <w:rPr>
          <w:rFonts w:ascii="Arial" w:hAnsi="Arial" w:cs="Arial"/>
          <w:sz w:val="20"/>
          <w:szCs w:val="20"/>
        </w:rPr>
        <w:t xml:space="preserve">+1,3%, </w:t>
      </w:r>
      <w:r>
        <w:rPr>
          <w:rFonts w:ascii="Arial" w:hAnsi="Arial" w:cs="Arial"/>
          <w:sz w:val="20"/>
          <w:szCs w:val="20"/>
        </w:rPr>
        <w:t>au lieu de</w:t>
      </w:r>
      <w:r w:rsidRPr="003E705C">
        <w:rPr>
          <w:rFonts w:ascii="Arial" w:hAnsi="Arial" w:cs="Arial"/>
          <w:sz w:val="20"/>
          <w:szCs w:val="20"/>
        </w:rPr>
        <w:t xml:space="preserve"> +1,2%</w:t>
      </w:r>
      <w:r>
        <w:rPr>
          <w:rFonts w:ascii="Arial" w:hAnsi="Arial" w:cs="Arial"/>
          <w:sz w:val="20"/>
          <w:szCs w:val="20"/>
        </w:rPr>
        <w:t>,</w:t>
      </w:r>
      <w:r w:rsidRPr="003E705C">
        <w:rPr>
          <w:rFonts w:ascii="Arial" w:hAnsi="Arial" w:cs="Arial"/>
          <w:sz w:val="20"/>
          <w:szCs w:val="20"/>
        </w:rPr>
        <w:t xml:space="preserve"> un an auparavant.</w:t>
      </w:r>
    </w:p>
    <w:p w:rsidR="001E3430" w:rsidRPr="003E705C" w:rsidRDefault="001E3430" w:rsidP="00B0328B">
      <w:pPr>
        <w:jc w:val="both"/>
        <w:rPr>
          <w:rFonts w:ascii="Arial" w:hAnsi="Arial" w:cs="Arial"/>
          <w:sz w:val="20"/>
          <w:szCs w:val="20"/>
        </w:rPr>
      </w:pPr>
    </w:p>
    <w:p w:rsidR="001E3430" w:rsidRPr="00744075" w:rsidRDefault="001E3430" w:rsidP="00F37FBF">
      <w:pPr>
        <w:jc w:val="both"/>
        <w:rPr>
          <w:rFonts w:ascii="Arial" w:hAnsi="Arial" w:cs="Arial"/>
          <w:b/>
          <w:bCs/>
          <w:color w:val="800000"/>
          <w:kern w:val="28"/>
          <w:sz w:val="20"/>
          <w:szCs w:val="20"/>
        </w:rPr>
      </w:pPr>
      <w:r>
        <w:rPr>
          <w:rFonts w:ascii="Arial" w:hAnsi="Arial" w:cs="Arial"/>
          <w:b/>
          <w:bCs/>
          <w:color w:val="800000"/>
          <w:kern w:val="28"/>
          <w:sz w:val="20"/>
          <w:szCs w:val="20"/>
        </w:rPr>
        <w:t xml:space="preserve">Ralentissement </w:t>
      </w:r>
      <w:r w:rsidRPr="00744075">
        <w:rPr>
          <w:rFonts w:ascii="Arial" w:hAnsi="Arial" w:cs="Arial"/>
          <w:b/>
          <w:bCs/>
          <w:color w:val="800000"/>
          <w:kern w:val="28"/>
          <w:sz w:val="20"/>
          <w:szCs w:val="20"/>
        </w:rPr>
        <w:t>de la masse monétaire</w:t>
      </w:r>
      <w:r>
        <w:rPr>
          <w:rFonts w:ascii="Arial" w:hAnsi="Arial" w:cs="Arial"/>
          <w:b/>
          <w:bCs/>
          <w:color w:val="800000"/>
          <w:kern w:val="28"/>
          <w:sz w:val="20"/>
          <w:szCs w:val="20"/>
        </w:rPr>
        <w:t xml:space="preserve"> </w:t>
      </w:r>
    </w:p>
    <w:p w:rsidR="001E3430" w:rsidRPr="00744075" w:rsidRDefault="001E3430" w:rsidP="00744075">
      <w:pPr>
        <w:jc w:val="both"/>
        <w:rPr>
          <w:rFonts w:ascii="Arial" w:hAnsi="Arial" w:cs="Arial"/>
          <w:sz w:val="20"/>
          <w:szCs w:val="20"/>
        </w:rPr>
      </w:pPr>
    </w:p>
    <w:p w:rsidR="001E3430" w:rsidRDefault="001E3430" w:rsidP="008D0C14">
      <w:pPr>
        <w:jc w:val="both"/>
        <w:rPr>
          <w:rFonts w:ascii="Arial" w:hAnsi="Arial" w:cs="Arial"/>
          <w:sz w:val="20"/>
          <w:szCs w:val="20"/>
        </w:rPr>
      </w:pPr>
      <w:r w:rsidRPr="00257435">
        <w:rPr>
          <w:rFonts w:ascii="Arial" w:hAnsi="Arial" w:cs="Arial"/>
          <w:sz w:val="20"/>
          <w:szCs w:val="20"/>
        </w:rPr>
        <w:t xml:space="preserve">La </w:t>
      </w:r>
      <w:r w:rsidRPr="00D91BF1">
        <w:rPr>
          <w:rFonts w:ascii="Arial" w:hAnsi="Arial" w:cs="Arial"/>
          <w:b/>
          <w:bCs/>
          <w:sz w:val="20"/>
          <w:szCs w:val="20"/>
        </w:rPr>
        <w:t>masse monétaire</w:t>
      </w:r>
      <w:r w:rsidRPr="00257435">
        <w:rPr>
          <w:rFonts w:ascii="Arial" w:hAnsi="Arial" w:cs="Arial"/>
          <w:sz w:val="20"/>
          <w:szCs w:val="20"/>
        </w:rPr>
        <w:t xml:space="preserve"> a</w:t>
      </w:r>
      <w:r>
        <w:rPr>
          <w:rFonts w:ascii="Arial" w:hAnsi="Arial" w:cs="Arial"/>
          <w:sz w:val="20"/>
          <w:szCs w:val="20"/>
        </w:rPr>
        <w:t>urait</w:t>
      </w:r>
      <w:r w:rsidRPr="00257435">
        <w:rPr>
          <w:rFonts w:ascii="Arial" w:hAnsi="Arial" w:cs="Arial"/>
          <w:sz w:val="20"/>
          <w:szCs w:val="20"/>
        </w:rPr>
        <w:t xml:space="preserve"> rompu avec son mouvement haussier entamé à partir du deuxième trimestre 2014. Sa croissance aurait décéléré</w:t>
      </w:r>
      <w:r>
        <w:rPr>
          <w:rFonts w:ascii="Arial" w:hAnsi="Arial" w:cs="Arial"/>
          <w:sz w:val="20"/>
          <w:szCs w:val="20"/>
        </w:rPr>
        <w:t>,</w:t>
      </w:r>
      <w:r w:rsidRPr="00257435">
        <w:rPr>
          <w:rFonts w:ascii="Arial" w:hAnsi="Arial" w:cs="Arial"/>
          <w:sz w:val="20"/>
          <w:szCs w:val="20"/>
        </w:rPr>
        <w:t xml:space="preserve"> </w:t>
      </w:r>
      <w:r>
        <w:rPr>
          <w:rFonts w:ascii="Arial" w:hAnsi="Arial" w:cs="Arial"/>
          <w:sz w:val="20"/>
          <w:szCs w:val="20"/>
        </w:rPr>
        <w:t>pour se situer à</w:t>
      </w:r>
      <w:r w:rsidRPr="00257435">
        <w:rPr>
          <w:rFonts w:ascii="Arial" w:hAnsi="Arial" w:cs="Arial"/>
          <w:sz w:val="20"/>
          <w:szCs w:val="20"/>
        </w:rPr>
        <w:t xml:space="preserve"> 4,9%</w:t>
      </w:r>
      <w:r>
        <w:rPr>
          <w:rFonts w:ascii="Arial" w:hAnsi="Arial" w:cs="Arial"/>
          <w:sz w:val="20"/>
          <w:szCs w:val="20"/>
        </w:rPr>
        <w:t>,</w:t>
      </w:r>
      <w:r w:rsidRPr="00257435">
        <w:rPr>
          <w:rFonts w:ascii="Arial" w:hAnsi="Arial" w:cs="Arial"/>
          <w:sz w:val="20"/>
          <w:szCs w:val="20"/>
        </w:rPr>
        <w:t xml:space="preserve"> au troisième trimestre 2015, en glissement annuel, au lieu de +6,3% un trimestre plus tôt. Ce ralentissement se maintiendrait au quatrième trimestre 2015</w:t>
      </w:r>
      <w:r>
        <w:rPr>
          <w:rFonts w:ascii="Arial" w:hAnsi="Arial" w:cs="Arial"/>
          <w:sz w:val="20"/>
          <w:szCs w:val="20"/>
        </w:rPr>
        <w:t>,</w:t>
      </w:r>
      <w:r w:rsidRPr="00257435">
        <w:rPr>
          <w:rFonts w:ascii="Arial" w:hAnsi="Arial" w:cs="Arial"/>
          <w:sz w:val="20"/>
          <w:szCs w:val="20"/>
        </w:rPr>
        <w:t xml:space="preserve"> avec une </w:t>
      </w:r>
      <w:r>
        <w:rPr>
          <w:rFonts w:ascii="Arial" w:hAnsi="Arial" w:cs="Arial"/>
          <w:sz w:val="20"/>
          <w:szCs w:val="20"/>
        </w:rPr>
        <w:t xml:space="preserve">croissance </w:t>
      </w:r>
      <w:r w:rsidRPr="00257435">
        <w:rPr>
          <w:rFonts w:ascii="Arial" w:hAnsi="Arial" w:cs="Arial"/>
          <w:sz w:val="20"/>
          <w:szCs w:val="20"/>
        </w:rPr>
        <w:t xml:space="preserve">prévue de 4,5%. Parallèlement, les créances sur l’économie </w:t>
      </w:r>
      <w:r>
        <w:rPr>
          <w:rFonts w:ascii="Arial" w:hAnsi="Arial" w:cs="Arial"/>
          <w:sz w:val="20"/>
          <w:szCs w:val="20"/>
        </w:rPr>
        <w:t xml:space="preserve">auraient ralenti, marquant une hausse de </w:t>
      </w:r>
      <w:r w:rsidRPr="00257435">
        <w:rPr>
          <w:rFonts w:ascii="Arial" w:hAnsi="Arial" w:cs="Arial"/>
          <w:sz w:val="20"/>
          <w:szCs w:val="20"/>
        </w:rPr>
        <w:t>1,2% au troisième trimestre 2015</w:t>
      </w:r>
      <w:r>
        <w:rPr>
          <w:rFonts w:ascii="Arial" w:hAnsi="Arial" w:cs="Arial"/>
          <w:sz w:val="20"/>
          <w:szCs w:val="20"/>
        </w:rPr>
        <w:t>.</w:t>
      </w:r>
    </w:p>
    <w:p w:rsidR="001E3430" w:rsidRPr="00257435" w:rsidRDefault="001E3430" w:rsidP="00D91BF1">
      <w:pPr>
        <w:jc w:val="both"/>
        <w:rPr>
          <w:rFonts w:ascii="Arial" w:hAnsi="Arial" w:cs="Arial"/>
          <w:sz w:val="20"/>
          <w:szCs w:val="20"/>
        </w:rPr>
      </w:pPr>
    </w:p>
    <w:p w:rsidR="001E3430" w:rsidRDefault="001E3430" w:rsidP="00D91BF1">
      <w:pPr>
        <w:jc w:val="both"/>
        <w:rPr>
          <w:rFonts w:ascii="Arial" w:hAnsi="Arial" w:cs="Arial"/>
          <w:sz w:val="20"/>
          <w:szCs w:val="20"/>
        </w:rPr>
      </w:pPr>
      <w:r>
        <w:rPr>
          <w:rFonts w:ascii="Arial" w:hAnsi="Arial" w:cs="Arial"/>
          <w:sz w:val="20"/>
          <w:szCs w:val="20"/>
        </w:rPr>
        <w:t>En revanche, l</w:t>
      </w:r>
      <w:r w:rsidRPr="00257435">
        <w:rPr>
          <w:rFonts w:ascii="Arial" w:hAnsi="Arial" w:cs="Arial"/>
          <w:sz w:val="20"/>
          <w:szCs w:val="20"/>
        </w:rPr>
        <w:t>e déficit de la liquidité des banques s</w:t>
      </w:r>
      <w:r>
        <w:rPr>
          <w:rFonts w:ascii="Arial" w:hAnsi="Arial" w:cs="Arial"/>
          <w:sz w:val="20"/>
          <w:szCs w:val="20"/>
        </w:rPr>
        <w:t>e serait</w:t>
      </w:r>
      <w:r w:rsidRPr="00257435">
        <w:rPr>
          <w:rFonts w:ascii="Arial" w:hAnsi="Arial" w:cs="Arial"/>
          <w:sz w:val="20"/>
          <w:szCs w:val="20"/>
        </w:rPr>
        <w:t xml:space="preserve"> allégé au troisième trimestre 2015</w:t>
      </w:r>
      <w:r>
        <w:rPr>
          <w:rFonts w:ascii="Arial" w:hAnsi="Arial" w:cs="Arial"/>
          <w:sz w:val="20"/>
          <w:szCs w:val="20"/>
        </w:rPr>
        <w:t>.</w:t>
      </w:r>
      <w:r w:rsidRPr="00257435">
        <w:rPr>
          <w:rFonts w:ascii="Arial" w:hAnsi="Arial" w:cs="Arial"/>
          <w:sz w:val="20"/>
          <w:szCs w:val="20"/>
        </w:rPr>
        <w:t xml:space="preserve"> Leurs trésoreries se s</w:t>
      </w:r>
      <w:r>
        <w:rPr>
          <w:rFonts w:ascii="Arial" w:hAnsi="Arial" w:cs="Arial"/>
          <w:sz w:val="20"/>
          <w:szCs w:val="20"/>
        </w:rPr>
        <w:t>eraie</w:t>
      </w:r>
      <w:r w:rsidRPr="00257435">
        <w:rPr>
          <w:rFonts w:ascii="Arial" w:hAnsi="Arial" w:cs="Arial"/>
          <w:sz w:val="20"/>
          <w:szCs w:val="20"/>
        </w:rPr>
        <w:t>nt relativement améliorées, à la suite de la hausse des réserves de change. Par conséquent, leur financement auprès de la banque centrale s</w:t>
      </w:r>
      <w:r>
        <w:rPr>
          <w:rFonts w:ascii="Arial" w:hAnsi="Arial" w:cs="Arial"/>
          <w:sz w:val="20"/>
          <w:szCs w:val="20"/>
        </w:rPr>
        <w:t>e serait</w:t>
      </w:r>
      <w:r w:rsidRPr="00257435">
        <w:rPr>
          <w:rFonts w:ascii="Arial" w:hAnsi="Arial" w:cs="Arial"/>
          <w:sz w:val="20"/>
          <w:szCs w:val="20"/>
        </w:rPr>
        <w:t xml:space="preserve"> abaissé. </w:t>
      </w:r>
    </w:p>
    <w:p w:rsidR="001E3430" w:rsidRPr="00257435" w:rsidRDefault="001E3430" w:rsidP="00D91BF1">
      <w:pPr>
        <w:jc w:val="both"/>
        <w:rPr>
          <w:rFonts w:ascii="Arial" w:hAnsi="Arial" w:cs="Arial"/>
          <w:sz w:val="20"/>
          <w:szCs w:val="20"/>
        </w:rPr>
      </w:pPr>
    </w:p>
    <w:p w:rsidR="001E3430" w:rsidRPr="00257435" w:rsidRDefault="001E3430" w:rsidP="00D91BF1">
      <w:pPr>
        <w:jc w:val="both"/>
        <w:rPr>
          <w:rFonts w:ascii="Arial" w:hAnsi="Arial" w:cs="Arial"/>
          <w:sz w:val="20"/>
          <w:szCs w:val="20"/>
        </w:rPr>
      </w:pPr>
      <w:r>
        <w:rPr>
          <w:rFonts w:ascii="Arial" w:hAnsi="Arial" w:cs="Arial"/>
          <w:sz w:val="20"/>
          <w:szCs w:val="20"/>
        </w:rPr>
        <w:t>Pour leur part, l</w:t>
      </w:r>
      <w:r w:rsidRPr="00257435">
        <w:rPr>
          <w:rFonts w:ascii="Arial" w:hAnsi="Arial" w:cs="Arial"/>
          <w:sz w:val="20"/>
          <w:szCs w:val="20"/>
        </w:rPr>
        <w:t xml:space="preserve">es taux d’intérêts </w:t>
      </w:r>
      <w:r>
        <w:rPr>
          <w:rFonts w:ascii="Arial" w:hAnsi="Arial" w:cs="Arial"/>
          <w:sz w:val="20"/>
          <w:szCs w:val="20"/>
        </w:rPr>
        <w:t>auraie</w:t>
      </w:r>
      <w:r w:rsidRPr="00257435">
        <w:rPr>
          <w:rFonts w:ascii="Arial" w:hAnsi="Arial" w:cs="Arial"/>
          <w:sz w:val="20"/>
          <w:szCs w:val="20"/>
        </w:rPr>
        <w:t>nt différemment évolué sur le marché monétaire, selon leur type. Le taux interbancaire s</w:t>
      </w:r>
      <w:r>
        <w:rPr>
          <w:rFonts w:ascii="Arial" w:hAnsi="Arial" w:cs="Arial"/>
          <w:sz w:val="20"/>
          <w:szCs w:val="20"/>
        </w:rPr>
        <w:t>e serait</w:t>
      </w:r>
      <w:r w:rsidRPr="00257435">
        <w:rPr>
          <w:rFonts w:ascii="Arial" w:hAnsi="Arial" w:cs="Arial"/>
          <w:sz w:val="20"/>
          <w:szCs w:val="20"/>
        </w:rPr>
        <w:t xml:space="preserve"> maintenu à des niveaux proches du taux directeur (+2,50%). Il s</w:t>
      </w:r>
      <w:r>
        <w:rPr>
          <w:rFonts w:ascii="Arial" w:hAnsi="Arial" w:cs="Arial"/>
          <w:sz w:val="20"/>
          <w:szCs w:val="20"/>
        </w:rPr>
        <w:t>e serait</w:t>
      </w:r>
      <w:r w:rsidRPr="00257435">
        <w:rPr>
          <w:rFonts w:ascii="Arial" w:hAnsi="Arial" w:cs="Arial"/>
          <w:sz w:val="20"/>
          <w:szCs w:val="20"/>
        </w:rPr>
        <w:t xml:space="preserve"> stabilisé, en moyenne, à 2,51%, au troisième trimestre 2015. </w:t>
      </w:r>
      <w:r>
        <w:rPr>
          <w:rFonts w:ascii="Arial" w:hAnsi="Arial" w:cs="Arial"/>
          <w:sz w:val="20"/>
          <w:szCs w:val="20"/>
        </w:rPr>
        <w:t>Les</w:t>
      </w:r>
      <w:r w:rsidRPr="00257435">
        <w:rPr>
          <w:rFonts w:ascii="Arial" w:hAnsi="Arial" w:cs="Arial"/>
          <w:sz w:val="20"/>
          <w:szCs w:val="20"/>
        </w:rPr>
        <w:t xml:space="preserve"> taux des adjudications des bons du Trésor </w:t>
      </w:r>
      <w:r>
        <w:rPr>
          <w:rFonts w:ascii="Arial" w:hAnsi="Arial" w:cs="Arial"/>
          <w:sz w:val="20"/>
          <w:szCs w:val="20"/>
        </w:rPr>
        <w:t xml:space="preserve">se </w:t>
      </w:r>
      <w:r w:rsidRPr="00257435">
        <w:rPr>
          <w:rFonts w:ascii="Arial" w:hAnsi="Arial" w:cs="Arial"/>
          <w:sz w:val="20"/>
          <w:szCs w:val="20"/>
        </w:rPr>
        <w:t>s</w:t>
      </w:r>
      <w:r>
        <w:rPr>
          <w:rFonts w:ascii="Arial" w:hAnsi="Arial" w:cs="Arial"/>
          <w:sz w:val="20"/>
          <w:szCs w:val="20"/>
        </w:rPr>
        <w:t>eraie</w:t>
      </w:r>
      <w:r w:rsidRPr="00257435">
        <w:rPr>
          <w:rFonts w:ascii="Arial" w:hAnsi="Arial" w:cs="Arial"/>
          <w:sz w:val="20"/>
          <w:szCs w:val="20"/>
        </w:rPr>
        <w:t>nt</w:t>
      </w:r>
      <w:r>
        <w:rPr>
          <w:rFonts w:ascii="Arial" w:hAnsi="Arial" w:cs="Arial"/>
          <w:sz w:val="20"/>
          <w:szCs w:val="20"/>
        </w:rPr>
        <w:t>, pour leur part, infléchis</w:t>
      </w:r>
      <w:r w:rsidRPr="00257435">
        <w:rPr>
          <w:rFonts w:ascii="Arial" w:hAnsi="Arial" w:cs="Arial"/>
          <w:sz w:val="20"/>
          <w:szCs w:val="20"/>
        </w:rPr>
        <w:t xml:space="preserve">, après une hausse au deuxième trimestre. </w:t>
      </w:r>
    </w:p>
    <w:p w:rsidR="001E3430" w:rsidRPr="00A44D77" w:rsidRDefault="001E3430" w:rsidP="001640A8">
      <w:pPr>
        <w:jc w:val="both"/>
        <w:rPr>
          <w:rFonts w:ascii="Arial" w:hAnsi="Arial" w:cs="Arial"/>
          <w:sz w:val="20"/>
          <w:szCs w:val="20"/>
        </w:rPr>
      </w:pPr>
    </w:p>
    <w:p w:rsidR="001E3430" w:rsidRPr="002C2121" w:rsidRDefault="00BF112B" w:rsidP="002C2121">
      <w:pPr>
        <w:spacing w:line="300" w:lineRule="exact"/>
        <w:jc w:val="both"/>
        <w:rPr>
          <w:rFonts w:ascii="Arial" w:hAnsi="Arial" w:cs="Arial"/>
          <w:b/>
          <w:bCs/>
          <w:color w:val="800000"/>
          <w:kern w:val="28"/>
          <w:sz w:val="20"/>
          <w:szCs w:val="20"/>
        </w:rPr>
      </w:pPr>
      <w:r>
        <w:rPr>
          <w:noProof/>
        </w:rPr>
        <w:drawing>
          <wp:anchor distT="0" distB="0" distL="114300" distR="114300" simplePos="0" relativeHeight="251656192" behindDoc="0" locked="0" layoutInCell="1" allowOverlap="1">
            <wp:simplePos x="0" y="0"/>
            <wp:positionH relativeFrom="column">
              <wp:posOffset>4000500</wp:posOffset>
            </wp:positionH>
            <wp:positionV relativeFrom="paragraph">
              <wp:posOffset>184150</wp:posOffset>
            </wp:positionV>
            <wp:extent cx="2514600" cy="1927860"/>
            <wp:effectExtent l="0" t="0" r="0" b="0"/>
            <wp:wrapSquare wrapText="bothSides"/>
            <wp:docPr id="17"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8"/>
                    <pic:cNvPicPr>
                      <a:picLocks noChangeAspect="1" noChangeArrowheads="1"/>
                    </pic:cNvPicPr>
                  </pic:nvPicPr>
                  <pic:blipFill>
                    <a:blip r:embed="rId15"/>
                    <a:srcRect/>
                    <a:stretch>
                      <a:fillRect/>
                    </a:stretch>
                  </pic:blipFill>
                  <pic:spPr bwMode="auto">
                    <a:xfrm>
                      <a:off x="0" y="0"/>
                      <a:ext cx="2514600" cy="1927860"/>
                    </a:xfrm>
                    <a:prstGeom prst="rect">
                      <a:avLst/>
                    </a:prstGeom>
                    <a:noFill/>
                  </pic:spPr>
                </pic:pic>
              </a:graphicData>
            </a:graphic>
          </wp:anchor>
        </w:drawing>
      </w:r>
      <w:r w:rsidR="001E3430">
        <w:rPr>
          <w:rFonts w:ascii="Arial" w:hAnsi="Arial" w:cs="Arial"/>
          <w:b/>
          <w:bCs/>
          <w:color w:val="800000"/>
          <w:kern w:val="28"/>
          <w:sz w:val="20"/>
          <w:szCs w:val="20"/>
        </w:rPr>
        <w:t>C</w:t>
      </w:r>
      <w:r w:rsidR="001E3430" w:rsidRPr="002C2121">
        <w:rPr>
          <w:rFonts w:ascii="Arial" w:hAnsi="Arial" w:cs="Arial"/>
          <w:b/>
          <w:bCs/>
          <w:color w:val="800000"/>
          <w:kern w:val="28"/>
          <w:sz w:val="20"/>
          <w:szCs w:val="20"/>
        </w:rPr>
        <w:t xml:space="preserve">orrection </w:t>
      </w:r>
      <w:r w:rsidR="001E3430">
        <w:rPr>
          <w:rFonts w:ascii="Arial" w:hAnsi="Arial" w:cs="Arial"/>
          <w:b/>
          <w:bCs/>
          <w:color w:val="800000"/>
          <w:kern w:val="28"/>
          <w:sz w:val="20"/>
          <w:szCs w:val="20"/>
        </w:rPr>
        <w:t xml:space="preserve"> à la baisse </w:t>
      </w:r>
      <w:r w:rsidR="001E3430" w:rsidRPr="002C2121">
        <w:rPr>
          <w:rFonts w:ascii="Arial" w:hAnsi="Arial" w:cs="Arial"/>
          <w:b/>
          <w:bCs/>
          <w:color w:val="800000"/>
          <w:kern w:val="28"/>
          <w:sz w:val="20"/>
          <w:szCs w:val="20"/>
        </w:rPr>
        <w:t>du marché des actions</w:t>
      </w:r>
    </w:p>
    <w:p w:rsidR="001E3430" w:rsidRPr="00267509" w:rsidRDefault="001E3430" w:rsidP="002C2121">
      <w:pPr>
        <w:jc w:val="both"/>
        <w:rPr>
          <w:rFonts w:ascii="Arial" w:hAnsi="Arial" w:cs="Arial"/>
          <w:sz w:val="22"/>
          <w:szCs w:val="22"/>
        </w:rPr>
      </w:pPr>
    </w:p>
    <w:p w:rsidR="001E3430" w:rsidRDefault="001E3430" w:rsidP="008D0C14">
      <w:pPr>
        <w:jc w:val="both"/>
        <w:rPr>
          <w:rFonts w:ascii="Arial" w:hAnsi="Arial" w:cs="Arial"/>
          <w:sz w:val="20"/>
          <w:szCs w:val="20"/>
        </w:rPr>
      </w:pPr>
      <w:r w:rsidRPr="002C2121">
        <w:rPr>
          <w:rFonts w:ascii="Arial" w:hAnsi="Arial" w:cs="Arial"/>
          <w:sz w:val="20"/>
          <w:szCs w:val="20"/>
        </w:rPr>
        <w:t xml:space="preserve">Le </w:t>
      </w:r>
      <w:r w:rsidRPr="007C40EA">
        <w:rPr>
          <w:rFonts w:ascii="Arial" w:hAnsi="Arial" w:cs="Arial"/>
          <w:b/>
          <w:bCs/>
          <w:sz w:val="20"/>
          <w:szCs w:val="20"/>
        </w:rPr>
        <w:t>marché des actions</w:t>
      </w:r>
      <w:r w:rsidRPr="002C2121">
        <w:rPr>
          <w:rFonts w:ascii="Arial" w:hAnsi="Arial" w:cs="Arial"/>
          <w:sz w:val="20"/>
          <w:szCs w:val="20"/>
        </w:rPr>
        <w:t xml:space="preserve"> aurait évolué dans une conjoncture </w:t>
      </w:r>
      <w:r>
        <w:rPr>
          <w:rFonts w:ascii="Arial" w:hAnsi="Arial" w:cs="Arial"/>
          <w:sz w:val="20"/>
          <w:szCs w:val="20"/>
        </w:rPr>
        <w:t xml:space="preserve">relativement </w:t>
      </w:r>
      <w:r w:rsidRPr="002C2121">
        <w:rPr>
          <w:rFonts w:ascii="Arial" w:hAnsi="Arial" w:cs="Arial"/>
          <w:sz w:val="20"/>
          <w:szCs w:val="20"/>
        </w:rPr>
        <w:t xml:space="preserve">difficile au </w:t>
      </w:r>
      <w:r>
        <w:rPr>
          <w:rFonts w:ascii="Arial" w:hAnsi="Arial" w:cs="Arial"/>
          <w:sz w:val="20"/>
          <w:szCs w:val="20"/>
        </w:rPr>
        <w:t>trois</w:t>
      </w:r>
      <w:r w:rsidRPr="002C2121">
        <w:rPr>
          <w:rFonts w:ascii="Arial" w:hAnsi="Arial" w:cs="Arial"/>
          <w:sz w:val="20"/>
          <w:szCs w:val="20"/>
        </w:rPr>
        <w:t>ième trimestre 2015</w:t>
      </w:r>
      <w:r>
        <w:rPr>
          <w:rFonts w:ascii="Arial" w:hAnsi="Arial" w:cs="Arial"/>
          <w:sz w:val="20"/>
          <w:szCs w:val="20"/>
        </w:rPr>
        <w:t xml:space="preserve">, </w:t>
      </w:r>
      <w:r w:rsidRPr="002C2121">
        <w:rPr>
          <w:rFonts w:ascii="Arial" w:hAnsi="Arial" w:cs="Arial"/>
          <w:sz w:val="20"/>
          <w:szCs w:val="20"/>
        </w:rPr>
        <w:t xml:space="preserve">après une reprise </w:t>
      </w:r>
      <w:r>
        <w:rPr>
          <w:rFonts w:ascii="Arial" w:hAnsi="Arial" w:cs="Arial"/>
          <w:sz w:val="20"/>
          <w:szCs w:val="20"/>
        </w:rPr>
        <w:t xml:space="preserve">technique </w:t>
      </w:r>
      <w:r w:rsidRPr="002C2121">
        <w:rPr>
          <w:rFonts w:ascii="Arial" w:hAnsi="Arial" w:cs="Arial"/>
          <w:sz w:val="20"/>
          <w:szCs w:val="20"/>
        </w:rPr>
        <w:t xml:space="preserve">au </w:t>
      </w:r>
      <w:r>
        <w:rPr>
          <w:rFonts w:ascii="Arial" w:hAnsi="Arial" w:cs="Arial"/>
          <w:sz w:val="20"/>
          <w:szCs w:val="20"/>
        </w:rPr>
        <w:t>premier semestre</w:t>
      </w:r>
      <w:r w:rsidRPr="002C2121">
        <w:rPr>
          <w:rFonts w:ascii="Arial" w:hAnsi="Arial" w:cs="Arial"/>
          <w:sz w:val="20"/>
          <w:szCs w:val="20"/>
        </w:rPr>
        <w:t xml:space="preserve">. Les cours boursiers se seraient fortement corrigés à la baisse, </w:t>
      </w:r>
      <w:r>
        <w:rPr>
          <w:rFonts w:ascii="Arial" w:hAnsi="Arial" w:cs="Arial"/>
          <w:sz w:val="20"/>
          <w:szCs w:val="20"/>
        </w:rPr>
        <w:t>suite au repli</w:t>
      </w:r>
      <w:r w:rsidRPr="002C2121">
        <w:rPr>
          <w:rFonts w:ascii="Arial" w:hAnsi="Arial" w:cs="Arial"/>
          <w:sz w:val="20"/>
          <w:szCs w:val="20"/>
        </w:rPr>
        <w:t xml:space="preserve"> des résultats comptables </w:t>
      </w:r>
      <w:r>
        <w:rPr>
          <w:rFonts w:ascii="Arial" w:hAnsi="Arial" w:cs="Arial"/>
          <w:sz w:val="20"/>
          <w:szCs w:val="20"/>
        </w:rPr>
        <w:t>semestriels</w:t>
      </w:r>
      <w:r w:rsidRPr="002C2121">
        <w:rPr>
          <w:rFonts w:ascii="Arial" w:hAnsi="Arial" w:cs="Arial"/>
          <w:sz w:val="20"/>
          <w:szCs w:val="20"/>
        </w:rPr>
        <w:t xml:space="preserve"> des sociétés cotées. Cette évolution aurait affecté la confiance des investisseurs et entraîn</w:t>
      </w:r>
      <w:r>
        <w:rPr>
          <w:rFonts w:ascii="Arial" w:hAnsi="Arial" w:cs="Arial"/>
          <w:sz w:val="20"/>
          <w:szCs w:val="20"/>
        </w:rPr>
        <w:t>é</w:t>
      </w:r>
      <w:r w:rsidRPr="002C2121">
        <w:rPr>
          <w:rFonts w:ascii="Arial" w:hAnsi="Arial" w:cs="Arial"/>
          <w:sz w:val="20"/>
          <w:szCs w:val="20"/>
        </w:rPr>
        <w:t xml:space="preserve"> un r</w:t>
      </w:r>
      <w:r>
        <w:rPr>
          <w:rFonts w:ascii="Arial" w:hAnsi="Arial" w:cs="Arial"/>
          <w:sz w:val="20"/>
          <w:szCs w:val="20"/>
        </w:rPr>
        <w:t>alentissement</w:t>
      </w:r>
      <w:r w:rsidRPr="002C2121">
        <w:rPr>
          <w:rFonts w:ascii="Arial" w:hAnsi="Arial" w:cs="Arial"/>
          <w:sz w:val="20"/>
          <w:szCs w:val="20"/>
        </w:rPr>
        <w:t xml:space="preserve"> des échanges sur le marché des actions. Le</w:t>
      </w:r>
      <w:r>
        <w:rPr>
          <w:rFonts w:ascii="Arial" w:hAnsi="Arial" w:cs="Arial"/>
          <w:sz w:val="20"/>
          <w:szCs w:val="20"/>
        </w:rPr>
        <w:t>s</w:t>
      </w:r>
      <w:r w:rsidRPr="002C2121">
        <w:rPr>
          <w:rFonts w:ascii="Arial" w:hAnsi="Arial" w:cs="Arial"/>
          <w:sz w:val="20"/>
          <w:szCs w:val="20"/>
        </w:rPr>
        <w:t xml:space="preserve"> indices MASI et MADEX aurai</w:t>
      </w:r>
      <w:r>
        <w:rPr>
          <w:rFonts w:ascii="Arial" w:hAnsi="Arial" w:cs="Arial"/>
          <w:sz w:val="20"/>
          <w:szCs w:val="20"/>
        </w:rPr>
        <w:t>en</w:t>
      </w:r>
      <w:r w:rsidRPr="002C2121">
        <w:rPr>
          <w:rFonts w:ascii="Arial" w:hAnsi="Arial" w:cs="Arial"/>
          <w:sz w:val="20"/>
          <w:szCs w:val="20"/>
        </w:rPr>
        <w:t>t</w:t>
      </w:r>
      <w:r>
        <w:rPr>
          <w:rFonts w:ascii="Arial" w:hAnsi="Arial" w:cs="Arial"/>
          <w:sz w:val="20"/>
          <w:szCs w:val="20"/>
        </w:rPr>
        <w:t>, ainsi, fléchi</w:t>
      </w:r>
      <w:r w:rsidRPr="002C2121">
        <w:rPr>
          <w:rFonts w:ascii="Arial" w:hAnsi="Arial" w:cs="Arial"/>
          <w:sz w:val="20"/>
          <w:szCs w:val="20"/>
        </w:rPr>
        <w:t xml:space="preserve"> </w:t>
      </w:r>
      <w:r>
        <w:rPr>
          <w:rFonts w:ascii="Arial" w:hAnsi="Arial" w:cs="Arial"/>
          <w:sz w:val="20"/>
          <w:szCs w:val="20"/>
        </w:rPr>
        <w:t>de 9,6</w:t>
      </w:r>
      <w:r w:rsidRPr="002C2121">
        <w:rPr>
          <w:rFonts w:ascii="Arial" w:hAnsi="Arial" w:cs="Arial"/>
          <w:sz w:val="20"/>
          <w:szCs w:val="20"/>
        </w:rPr>
        <w:t xml:space="preserve">% et </w:t>
      </w:r>
      <w:r>
        <w:rPr>
          <w:rFonts w:ascii="Arial" w:hAnsi="Arial" w:cs="Arial"/>
          <w:sz w:val="20"/>
          <w:szCs w:val="20"/>
        </w:rPr>
        <w:t>9,8</w:t>
      </w:r>
      <w:r w:rsidRPr="002C2121">
        <w:rPr>
          <w:rFonts w:ascii="Arial" w:hAnsi="Arial" w:cs="Arial"/>
          <w:sz w:val="20"/>
          <w:szCs w:val="20"/>
        </w:rPr>
        <w:t>%</w:t>
      </w:r>
      <w:r>
        <w:rPr>
          <w:rFonts w:ascii="Arial" w:hAnsi="Arial" w:cs="Arial"/>
          <w:sz w:val="20"/>
          <w:szCs w:val="20"/>
        </w:rPr>
        <w:t>,</w:t>
      </w:r>
      <w:r w:rsidRPr="002C2121">
        <w:rPr>
          <w:rFonts w:ascii="Arial" w:hAnsi="Arial" w:cs="Arial"/>
          <w:sz w:val="20"/>
          <w:szCs w:val="20"/>
        </w:rPr>
        <w:t xml:space="preserve"> respectivement,</w:t>
      </w:r>
      <w:r>
        <w:rPr>
          <w:rFonts w:ascii="Arial" w:hAnsi="Arial" w:cs="Arial"/>
          <w:sz w:val="20"/>
          <w:szCs w:val="20"/>
        </w:rPr>
        <w:t xml:space="preserve"> </w:t>
      </w:r>
      <w:r w:rsidRPr="002C2121">
        <w:rPr>
          <w:rFonts w:ascii="Arial" w:hAnsi="Arial" w:cs="Arial"/>
          <w:sz w:val="20"/>
          <w:szCs w:val="20"/>
        </w:rPr>
        <w:t xml:space="preserve">au </w:t>
      </w:r>
      <w:r>
        <w:rPr>
          <w:rFonts w:ascii="Arial" w:hAnsi="Arial" w:cs="Arial"/>
          <w:sz w:val="20"/>
          <w:szCs w:val="20"/>
        </w:rPr>
        <w:t xml:space="preserve">troisième </w:t>
      </w:r>
      <w:r w:rsidRPr="002C2121">
        <w:rPr>
          <w:rFonts w:ascii="Arial" w:hAnsi="Arial" w:cs="Arial"/>
          <w:sz w:val="20"/>
          <w:szCs w:val="20"/>
        </w:rPr>
        <w:t>trimestre</w:t>
      </w:r>
      <w:r>
        <w:rPr>
          <w:rFonts w:ascii="Arial" w:hAnsi="Arial" w:cs="Arial"/>
          <w:sz w:val="20"/>
          <w:szCs w:val="20"/>
        </w:rPr>
        <w:t xml:space="preserve">, au lieu </w:t>
      </w:r>
      <w:r w:rsidRPr="002C2121">
        <w:rPr>
          <w:rFonts w:ascii="Arial" w:hAnsi="Arial" w:cs="Arial"/>
          <w:sz w:val="20"/>
          <w:szCs w:val="20"/>
        </w:rPr>
        <w:t xml:space="preserve">de </w:t>
      </w:r>
      <w:r>
        <w:rPr>
          <w:rFonts w:ascii="Arial" w:hAnsi="Arial" w:cs="Arial"/>
          <w:sz w:val="20"/>
          <w:szCs w:val="20"/>
        </w:rPr>
        <w:t>+3,8</w:t>
      </w:r>
      <w:r w:rsidRPr="002C2121">
        <w:rPr>
          <w:rFonts w:ascii="Arial" w:hAnsi="Arial" w:cs="Arial"/>
          <w:sz w:val="20"/>
          <w:szCs w:val="20"/>
        </w:rPr>
        <w:t xml:space="preserve">% et </w:t>
      </w:r>
      <w:r>
        <w:rPr>
          <w:rFonts w:ascii="Arial" w:hAnsi="Arial" w:cs="Arial"/>
          <w:sz w:val="20"/>
          <w:szCs w:val="20"/>
        </w:rPr>
        <w:t>+4,3</w:t>
      </w:r>
      <w:r w:rsidRPr="002C2121">
        <w:rPr>
          <w:rFonts w:ascii="Arial" w:hAnsi="Arial" w:cs="Arial"/>
          <w:sz w:val="20"/>
          <w:szCs w:val="20"/>
        </w:rPr>
        <w:t>%</w:t>
      </w:r>
      <w:r>
        <w:rPr>
          <w:rFonts w:ascii="Arial" w:hAnsi="Arial" w:cs="Arial"/>
          <w:sz w:val="20"/>
          <w:szCs w:val="20"/>
        </w:rPr>
        <w:t>, en glissements annuels, un trimestre plus tôt</w:t>
      </w:r>
      <w:r w:rsidRPr="002C2121">
        <w:rPr>
          <w:rFonts w:ascii="Arial" w:hAnsi="Arial" w:cs="Arial"/>
          <w:sz w:val="20"/>
          <w:szCs w:val="20"/>
        </w:rPr>
        <w:t xml:space="preserve">. Par conséquent, la capitalisation boursière </w:t>
      </w:r>
      <w:r>
        <w:rPr>
          <w:rFonts w:ascii="Arial" w:hAnsi="Arial" w:cs="Arial"/>
          <w:sz w:val="20"/>
          <w:szCs w:val="20"/>
        </w:rPr>
        <w:t xml:space="preserve">se </w:t>
      </w:r>
      <w:r w:rsidRPr="002C2121">
        <w:rPr>
          <w:rFonts w:ascii="Arial" w:hAnsi="Arial" w:cs="Arial"/>
          <w:sz w:val="20"/>
          <w:szCs w:val="20"/>
        </w:rPr>
        <w:t xml:space="preserve">serait </w:t>
      </w:r>
      <w:r>
        <w:rPr>
          <w:rFonts w:ascii="Arial" w:hAnsi="Arial" w:cs="Arial"/>
          <w:sz w:val="20"/>
          <w:szCs w:val="20"/>
        </w:rPr>
        <w:t>abaissée de</w:t>
      </w:r>
      <w:r w:rsidRPr="002C2121">
        <w:rPr>
          <w:rFonts w:ascii="Arial" w:hAnsi="Arial" w:cs="Arial"/>
          <w:sz w:val="20"/>
          <w:szCs w:val="20"/>
        </w:rPr>
        <w:t xml:space="preserve"> </w:t>
      </w:r>
      <w:r>
        <w:rPr>
          <w:rFonts w:ascii="Arial" w:hAnsi="Arial" w:cs="Arial"/>
          <w:sz w:val="20"/>
          <w:szCs w:val="20"/>
        </w:rPr>
        <w:t>7,8% et le volume des transactions aurait reculé de 41,1%, en glissements annuels.</w:t>
      </w:r>
      <w:r w:rsidRPr="002C2121">
        <w:rPr>
          <w:rFonts w:ascii="Arial" w:hAnsi="Arial" w:cs="Arial"/>
          <w:sz w:val="20"/>
          <w:szCs w:val="20"/>
        </w:rPr>
        <w:t xml:space="preserve"> </w:t>
      </w:r>
    </w:p>
    <w:p w:rsidR="001E3430" w:rsidRPr="00257435" w:rsidRDefault="001E3430" w:rsidP="004A6B78">
      <w:pPr>
        <w:jc w:val="both"/>
        <w:rPr>
          <w:rFonts w:ascii="Arial" w:hAnsi="Arial" w:cs="Arial"/>
          <w:sz w:val="20"/>
          <w:szCs w:val="20"/>
        </w:rPr>
      </w:pPr>
    </w:p>
    <w:p w:rsidR="001E3430" w:rsidRDefault="001E3430" w:rsidP="00C6155E">
      <w:pPr>
        <w:jc w:val="both"/>
        <w:rPr>
          <w:rFonts w:ascii="Arial" w:hAnsi="Arial" w:cs="Arial"/>
          <w:b/>
          <w:bCs/>
          <w:color w:val="800000"/>
          <w:kern w:val="28"/>
          <w:sz w:val="20"/>
          <w:szCs w:val="20"/>
        </w:rPr>
      </w:pPr>
      <w:r>
        <w:rPr>
          <w:rFonts w:ascii="Arial" w:hAnsi="Arial" w:cs="Arial"/>
          <w:b/>
          <w:bCs/>
          <w:color w:val="800000"/>
          <w:kern w:val="28"/>
          <w:sz w:val="20"/>
          <w:szCs w:val="20"/>
        </w:rPr>
        <w:t>Perspectives d’une légère a</w:t>
      </w:r>
      <w:r w:rsidRPr="001640A8">
        <w:rPr>
          <w:rFonts w:ascii="Arial" w:hAnsi="Arial" w:cs="Arial"/>
          <w:b/>
          <w:bCs/>
          <w:color w:val="800000"/>
          <w:kern w:val="28"/>
          <w:sz w:val="20"/>
          <w:szCs w:val="20"/>
        </w:rPr>
        <w:t xml:space="preserve">ccélération de la croissance </w:t>
      </w:r>
      <w:r>
        <w:rPr>
          <w:rFonts w:ascii="Arial" w:hAnsi="Arial" w:cs="Arial"/>
          <w:b/>
          <w:bCs/>
          <w:color w:val="800000"/>
          <w:kern w:val="28"/>
          <w:sz w:val="20"/>
          <w:szCs w:val="20"/>
        </w:rPr>
        <w:t>économique au quatr</w:t>
      </w:r>
      <w:r w:rsidRPr="001640A8">
        <w:rPr>
          <w:rFonts w:ascii="Arial" w:hAnsi="Arial" w:cs="Arial"/>
          <w:b/>
          <w:bCs/>
          <w:color w:val="800000"/>
          <w:kern w:val="28"/>
          <w:sz w:val="20"/>
          <w:szCs w:val="20"/>
        </w:rPr>
        <w:t>ième trimestre 2015</w:t>
      </w:r>
      <w:r>
        <w:rPr>
          <w:rFonts w:ascii="Arial" w:hAnsi="Arial" w:cs="Arial"/>
          <w:b/>
          <w:bCs/>
          <w:color w:val="800000"/>
          <w:kern w:val="28"/>
          <w:sz w:val="20"/>
          <w:szCs w:val="20"/>
        </w:rPr>
        <w:t> </w:t>
      </w:r>
    </w:p>
    <w:p w:rsidR="001E3430" w:rsidRPr="001640A8" w:rsidRDefault="001E3430" w:rsidP="00C6155E">
      <w:pPr>
        <w:jc w:val="both"/>
        <w:rPr>
          <w:rFonts w:ascii="Arial" w:hAnsi="Arial" w:cs="Arial"/>
          <w:b/>
          <w:bCs/>
          <w:color w:val="800000"/>
          <w:kern w:val="28"/>
          <w:sz w:val="20"/>
          <w:szCs w:val="20"/>
        </w:rPr>
      </w:pPr>
    </w:p>
    <w:p w:rsidR="001E3430" w:rsidRPr="00763A6F" w:rsidRDefault="001E3430" w:rsidP="007F061E">
      <w:pPr>
        <w:autoSpaceDE w:val="0"/>
        <w:autoSpaceDN w:val="0"/>
        <w:adjustRightInd w:val="0"/>
        <w:jc w:val="both"/>
        <w:rPr>
          <w:rFonts w:ascii="Arial" w:hAnsi="Arial" w:cs="Arial"/>
          <w:sz w:val="20"/>
          <w:szCs w:val="20"/>
        </w:rPr>
      </w:pPr>
      <w:r>
        <w:rPr>
          <w:rFonts w:ascii="Arial" w:hAnsi="Arial" w:cs="Arial"/>
          <w:sz w:val="20"/>
          <w:szCs w:val="20"/>
        </w:rPr>
        <w:t>Le raffermissement de l’économie marocaine se poursuivrait au quatrième trimestre 2015, sous-tendu par une amélioration des activités agricoles.</w:t>
      </w:r>
      <w:r w:rsidRPr="007F061E">
        <w:rPr>
          <w:rFonts w:ascii="Arial" w:hAnsi="Arial" w:cs="Arial"/>
          <w:sz w:val="20"/>
          <w:szCs w:val="20"/>
        </w:rPr>
        <w:t xml:space="preserve"> </w:t>
      </w:r>
      <w:r>
        <w:rPr>
          <w:rFonts w:ascii="Arial" w:hAnsi="Arial" w:cs="Arial"/>
          <w:sz w:val="20"/>
          <w:szCs w:val="20"/>
        </w:rPr>
        <w:t>Ces dernières verraient leur valeur ajoutée se renfoncer de 1</w:t>
      </w:r>
      <w:r w:rsidRPr="00763A6F">
        <w:rPr>
          <w:rFonts w:ascii="Arial" w:hAnsi="Arial" w:cs="Arial"/>
          <w:sz w:val="20"/>
          <w:szCs w:val="20"/>
        </w:rPr>
        <w:t>6,1%</w:t>
      </w:r>
      <w:r>
        <w:rPr>
          <w:rFonts w:ascii="Arial" w:hAnsi="Arial" w:cs="Arial"/>
          <w:sz w:val="20"/>
          <w:szCs w:val="20"/>
        </w:rPr>
        <w:t xml:space="preserve">, en variation annuelle, </w:t>
      </w:r>
      <w:r w:rsidRPr="00763A6F">
        <w:rPr>
          <w:rFonts w:ascii="Arial" w:hAnsi="Arial" w:cs="Arial"/>
          <w:sz w:val="20"/>
          <w:szCs w:val="20"/>
        </w:rPr>
        <w:t>contribuant</w:t>
      </w:r>
      <w:r>
        <w:rPr>
          <w:rFonts w:ascii="Arial" w:hAnsi="Arial" w:cs="Arial"/>
          <w:sz w:val="20"/>
          <w:szCs w:val="20"/>
        </w:rPr>
        <w:t>,</w:t>
      </w:r>
      <w:r w:rsidRPr="00763A6F">
        <w:rPr>
          <w:rFonts w:ascii="Arial" w:hAnsi="Arial" w:cs="Arial"/>
          <w:sz w:val="20"/>
          <w:szCs w:val="20"/>
        </w:rPr>
        <w:t xml:space="preserve"> ainsi</w:t>
      </w:r>
      <w:r>
        <w:rPr>
          <w:rFonts w:ascii="Arial" w:hAnsi="Arial" w:cs="Arial"/>
          <w:sz w:val="20"/>
          <w:szCs w:val="20"/>
        </w:rPr>
        <w:t>,</w:t>
      </w:r>
      <w:r w:rsidRPr="00763A6F">
        <w:rPr>
          <w:rFonts w:ascii="Arial" w:hAnsi="Arial" w:cs="Arial"/>
          <w:sz w:val="20"/>
          <w:szCs w:val="20"/>
        </w:rPr>
        <w:t xml:space="preserve"> pour 1,7 p</w:t>
      </w:r>
      <w:r>
        <w:rPr>
          <w:rFonts w:ascii="Arial" w:hAnsi="Arial" w:cs="Arial"/>
          <w:sz w:val="20"/>
          <w:szCs w:val="20"/>
        </w:rPr>
        <w:t>oin</w:t>
      </w:r>
      <w:r w:rsidRPr="00763A6F">
        <w:rPr>
          <w:rFonts w:ascii="Arial" w:hAnsi="Arial" w:cs="Arial"/>
          <w:sz w:val="20"/>
          <w:szCs w:val="20"/>
        </w:rPr>
        <w:t xml:space="preserve">t à la croissance économique globale. Cette dynamique serait accompagnée par une baisse des importations agricoles, notamment en produits céréaliers, </w:t>
      </w:r>
      <w:r>
        <w:rPr>
          <w:rFonts w:ascii="Arial" w:hAnsi="Arial" w:cs="Arial"/>
          <w:sz w:val="20"/>
          <w:szCs w:val="20"/>
        </w:rPr>
        <w:t>sur fond</w:t>
      </w:r>
      <w:r w:rsidRPr="00763A6F">
        <w:rPr>
          <w:rFonts w:ascii="Arial" w:hAnsi="Arial" w:cs="Arial"/>
          <w:sz w:val="20"/>
          <w:szCs w:val="20"/>
        </w:rPr>
        <w:t xml:space="preserve"> de </w:t>
      </w:r>
      <w:r>
        <w:rPr>
          <w:rFonts w:ascii="Arial" w:hAnsi="Arial" w:cs="Arial"/>
          <w:sz w:val="20"/>
          <w:szCs w:val="20"/>
        </w:rPr>
        <w:t xml:space="preserve">la </w:t>
      </w:r>
      <w:r w:rsidRPr="00763A6F">
        <w:rPr>
          <w:rFonts w:ascii="Arial" w:hAnsi="Arial" w:cs="Arial"/>
          <w:sz w:val="20"/>
          <w:szCs w:val="20"/>
        </w:rPr>
        <w:t xml:space="preserve">poursuite de la baisse de leurs cours internationaux. </w:t>
      </w:r>
    </w:p>
    <w:p w:rsidR="001E3430" w:rsidRPr="00664E25" w:rsidRDefault="001E3430" w:rsidP="007404DE">
      <w:pPr>
        <w:jc w:val="both"/>
        <w:rPr>
          <w:rFonts w:ascii="Arial" w:hAnsi="Arial" w:cs="Arial"/>
          <w:sz w:val="20"/>
          <w:szCs w:val="20"/>
        </w:rPr>
      </w:pPr>
    </w:p>
    <w:p w:rsidR="001E3430" w:rsidRPr="009339D1" w:rsidRDefault="00BF112B" w:rsidP="002929DF">
      <w:pPr>
        <w:jc w:val="both"/>
        <w:rPr>
          <w:rFonts w:ascii="Arial" w:hAnsi="Arial" w:cs="Arial"/>
          <w:kern w:val="28"/>
          <w:sz w:val="20"/>
          <w:szCs w:val="20"/>
        </w:rPr>
      </w:pPr>
      <w:r>
        <w:rPr>
          <w:noProof/>
        </w:rPr>
        <w:drawing>
          <wp:anchor distT="0" distB="0" distL="114300" distR="114300" simplePos="0" relativeHeight="251662336" behindDoc="0" locked="0" layoutInCell="1" allowOverlap="1">
            <wp:simplePos x="0" y="0"/>
            <wp:positionH relativeFrom="column">
              <wp:posOffset>4114800</wp:posOffset>
            </wp:positionH>
            <wp:positionV relativeFrom="paragraph">
              <wp:posOffset>863600</wp:posOffset>
            </wp:positionV>
            <wp:extent cx="2400300" cy="1764030"/>
            <wp:effectExtent l="0" t="0" r="0" b="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16"/>
                    <a:srcRect/>
                    <a:stretch>
                      <a:fillRect/>
                    </a:stretch>
                  </pic:blipFill>
                  <pic:spPr bwMode="auto">
                    <a:xfrm>
                      <a:off x="0" y="0"/>
                      <a:ext cx="2400300" cy="1764030"/>
                    </a:xfrm>
                    <a:prstGeom prst="rect">
                      <a:avLst/>
                    </a:prstGeom>
                    <a:noFill/>
                  </pic:spPr>
                </pic:pic>
              </a:graphicData>
            </a:graphic>
          </wp:anchor>
        </w:drawing>
      </w:r>
      <w:r w:rsidR="001E3430" w:rsidRPr="009339D1">
        <w:rPr>
          <w:rFonts w:ascii="Arial" w:hAnsi="Arial" w:cs="Arial"/>
          <w:sz w:val="20"/>
          <w:szCs w:val="20"/>
        </w:rPr>
        <w:t xml:space="preserve">Par ailleurs, et dans un contexte </w:t>
      </w:r>
      <w:r w:rsidR="001E3430">
        <w:rPr>
          <w:rFonts w:ascii="Arial" w:hAnsi="Arial" w:cs="Arial"/>
          <w:sz w:val="20"/>
          <w:szCs w:val="20"/>
        </w:rPr>
        <w:t>d’</w:t>
      </w:r>
      <w:r w:rsidR="001E3430" w:rsidRPr="009339D1">
        <w:rPr>
          <w:rFonts w:ascii="Arial" w:hAnsi="Arial" w:cs="Arial"/>
          <w:sz w:val="20"/>
          <w:szCs w:val="20"/>
        </w:rPr>
        <w:t>amélioration du climat des affaires de la zone euro, principal partenaire commercial</w:t>
      </w:r>
      <w:r w:rsidR="001E3430">
        <w:rPr>
          <w:rFonts w:ascii="Arial" w:hAnsi="Arial" w:cs="Arial"/>
          <w:sz w:val="20"/>
          <w:szCs w:val="20"/>
        </w:rPr>
        <w:t xml:space="preserve"> du pays, et de</w:t>
      </w:r>
      <w:r w:rsidR="001E3430" w:rsidRPr="009339D1">
        <w:rPr>
          <w:rFonts w:ascii="Arial" w:hAnsi="Arial" w:cs="Arial"/>
          <w:sz w:val="20"/>
          <w:szCs w:val="20"/>
        </w:rPr>
        <w:t xml:space="preserve"> </w:t>
      </w:r>
      <w:r w:rsidR="001E3430">
        <w:rPr>
          <w:rFonts w:ascii="Arial" w:hAnsi="Arial" w:cs="Arial"/>
          <w:sz w:val="20"/>
          <w:szCs w:val="20"/>
        </w:rPr>
        <w:t>la</w:t>
      </w:r>
      <w:r w:rsidR="001E3430" w:rsidRPr="009339D1">
        <w:rPr>
          <w:rFonts w:ascii="Arial" w:hAnsi="Arial" w:cs="Arial"/>
          <w:sz w:val="20"/>
          <w:szCs w:val="20"/>
        </w:rPr>
        <w:t xml:space="preserve"> modération des </w:t>
      </w:r>
      <w:r w:rsidR="001E3430">
        <w:rPr>
          <w:rFonts w:ascii="Arial" w:hAnsi="Arial" w:cs="Arial"/>
          <w:sz w:val="20"/>
          <w:szCs w:val="20"/>
        </w:rPr>
        <w:t>cours internationaux du pétrole</w:t>
      </w:r>
      <w:r w:rsidR="001E3430" w:rsidRPr="009339D1">
        <w:rPr>
          <w:rFonts w:ascii="Arial" w:hAnsi="Arial" w:cs="Arial"/>
          <w:sz w:val="20"/>
          <w:szCs w:val="20"/>
        </w:rPr>
        <w:t xml:space="preserve">, la demande mondiale adressée au Maroc devrait enregistrer une hausse de 2,6%, en variation annuelle, au quatrième trimestre 2015, pour clôturer l’année avec une croissance de 3%. </w:t>
      </w:r>
      <w:r w:rsidR="001E3430" w:rsidRPr="009339D1">
        <w:rPr>
          <w:rFonts w:ascii="Arial" w:hAnsi="Arial" w:cs="Arial"/>
          <w:iCs/>
          <w:kern w:val="28"/>
          <w:sz w:val="20"/>
          <w:szCs w:val="20"/>
        </w:rPr>
        <w:t xml:space="preserve">Les exportations </w:t>
      </w:r>
      <w:r w:rsidR="001E3430">
        <w:rPr>
          <w:rFonts w:ascii="Arial" w:hAnsi="Arial" w:cs="Arial"/>
          <w:iCs/>
          <w:kern w:val="28"/>
          <w:sz w:val="20"/>
          <w:szCs w:val="20"/>
        </w:rPr>
        <w:t>nationales</w:t>
      </w:r>
      <w:r w:rsidR="001E3430" w:rsidRPr="009339D1">
        <w:rPr>
          <w:rFonts w:ascii="Arial" w:hAnsi="Arial" w:cs="Arial"/>
          <w:iCs/>
          <w:kern w:val="28"/>
          <w:sz w:val="20"/>
          <w:szCs w:val="20"/>
        </w:rPr>
        <w:t xml:space="preserve"> devraient, ainsi, continuer de profiter de la demande adressée au secteur de l’automobile dans ses branches construction et câblage, de l’électronique et </w:t>
      </w:r>
      <w:r w:rsidR="001E3430">
        <w:rPr>
          <w:rFonts w:ascii="Arial" w:hAnsi="Arial" w:cs="Arial"/>
          <w:iCs/>
          <w:kern w:val="28"/>
          <w:sz w:val="20"/>
          <w:szCs w:val="20"/>
        </w:rPr>
        <w:t xml:space="preserve">de </w:t>
      </w:r>
      <w:r w:rsidR="001E3430" w:rsidRPr="009339D1">
        <w:rPr>
          <w:rFonts w:ascii="Arial" w:hAnsi="Arial" w:cs="Arial"/>
          <w:iCs/>
          <w:kern w:val="28"/>
          <w:sz w:val="20"/>
          <w:szCs w:val="20"/>
        </w:rPr>
        <w:t>l’aéronautique, alors que la stabilisation des cours mondiaux du pétrole, aux alentours de 50$/baril, profiterait à la balance commerciale dont le déficit continuerait à s’alléger.</w:t>
      </w:r>
      <w:r w:rsidR="001E3430" w:rsidRPr="009339D1">
        <w:rPr>
          <w:rFonts w:ascii="Arial" w:hAnsi="Arial" w:cs="Arial"/>
          <w:sz w:val="20"/>
          <w:szCs w:val="20"/>
        </w:rPr>
        <w:t xml:space="preserve"> </w:t>
      </w:r>
    </w:p>
    <w:p w:rsidR="001E3430" w:rsidRDefault="001E3430" w:rsidP="0090232C">
      <w:pPr>
        <w:autoSpaceDE w:val="0"/>
        <w:autoSpaceDN w:val="0"/>
        <w:adjustRightInd w:val="0"/>
        <w:jc w:val="both"/>
        <w:rPr>
          <w:rFonts w:ascii="Arial" w:hAnsi="Arial" w:cs="Arial"/>
          <w:kern w:val="28"/>
          <w:sz w:val="20"/>
          <w:szCs w:val="20"/>
        </w:rPr>
      </w:pPr>
    </w:p>
    <w:p w:rsidR="001E3430" w:rsidRPr="0060304D" w:rsidRDefault="001E3430" w:rsidP="008D0C14">
      <w:pPr>
        <w:autoSpaceDE w:val="0"/>
        <w:autoSpaceDN w:val="0"/>
        <w:adjustRightInd w:val="0"/>
        <w:jc w:val="both"/>
        <w:rPr>
          <w:rFonts w:ascii="Arial" w:hAnsi="Arial" w:cs="Arial"/>
          <w:kern w:val="28"/>
          <w:sz w:val="20"/>
          <w:szCs w:val="20"/>
        </w:rPr>
      </w:pPr>
      <w:r>
        <w:rPr>
          <w:rFonts w:ascii="Arial" w:hAnsi="Arial" w:cs="Arial"/>
          <w:kern w:val="28"/>
          <w:sz w:val="20"/>
          <w:szCs w:val="20"/>
        </w:rPr>
        <w:t>Dans ces conditions, les activités industrielles devraient poursuivre leur évolution modérée, au rythme de 2% au quatrième trimestre 2015. L</w:t>
      </w:r>
      <w:r w:rsidRPr="00763A6F">
        <w:rPr>
          <w:rFonts w:ascii="Arial" w:hAnsi="Arial" w:cs="Arial"/>
          <w:sz w:val="20"/>
          <w:szCs w:val="20"/>
        </w:rPr>
        <w:t>’activité minière se redresserait</w:t>
      </w:r>
      <w:r>
        <w:rPr>
          <w:rFonts w:ascii="Arial" w:hAnsi="Arial" w:cs="Arial"/>
          <w:sz w:val="20"/>
          <w:szCs w:val="20"/>
        </w:rPr>
        <w:t>, pour sa part,</w:t>
      </w:r>
      <w:r w:rsidRPr="00763A6F">
        <w:rPr>
          <w:rFonts w:ascii="Arial" w:hAnsi="Arial" w:cs="Arial"/>
          <w:sz w:val="20"/>
          <w:szCs w:val="20"/>
        </w:rPr>
        <w:t xml:space="preserve"> de 4,5%, en variation annuelle</w:t>
      </w:r>
      <w:r>
        <w:rPr>
          <w:rFonts w:ascii="Arial" w:hAnsi="Arial" w:cs="Arial"/>
          <w:sz w:val="20"/>
          <w:szCs w:val="20"/>
        </w:rPr>
        <w:t xml:space="preserve">, </w:t>
      </w:r>
      <w:r w:rsidRPr="00763A6F">
        <w:rPr>
          <w:rFonts w:ascii="Arial" w:hAnsi="Arial" w:cs="Arial"/>
          <w:sz w:val="20"/>
          <w:szCs w:val="20"/>
        </w:rPr>
        <w:t>soutenue par un</w:t>
      </w:r>
      <w:r>
        <w:rPr>
          <w:rFonts w:ascii="Arial" w:hAnsi="Arial" w:cs="Arial"/>
          <w:sz w:val="20"/>
          <w:szCs w:val="20"/>
        </w:rPr>
        <w:t xml:space="preserve"> accroissement</w:t>
      </w:r>
      <w:r w:rsidRPr="00763A6F">
        <w:rPr>
          <w:rFonts w:ascii="Arial" w:hAnsi="Arial" w:cs="Arial"/>
          <w:sz w:val="20"/>
          <w:szCs w:val="20"/>
        </w:rPr>
        <w:t xml:space="preserve"> graduel de la demande asiatique</w:t>
      </w:r>
      <w:r>
        <w:rPr>
          <w:rFonts w:ascii="Arial" w:hAnsi="Arial" w:cs="Arial"/>
          <w:sz w:val="20"/>
          <w:szCs w:val="20"/>
        </w:rPr>
        <w:t>, alors que celle de l’électricité</w:t>
      </w:r>
      <w:r w:rsidRPr="00763A6F">
        <w:rPr>
          <w:rFonts w:ascii="Arial" w:hAnsi="Arial" w:cs="Arial"/>
          <w:sz w:val="20"/>
          <w:szCs w:val="20"/>
        </w:rPr>
        <w:t xml:space="preserve"> croîtrait</w:t>
      </w:r>
      <w:r>
        <w:rPr>
          <w:rFonts w:ascii="Arial" w:hAnsi="Arial" w:cs="Arial"/>
          <w:sz w:val="20"/>
          <w:szCs w:val="20"/>
        </w:rPr>
        <w:t xml:space="preserve"> </w:t>
      </w:r>
      <w:r w:rsidRPr="00763A6F">
        <w:rPr>
          <w:rFonts w:ascii="Arial" w:hAnsi="Arial" w:cs="Arial"/>
          <w:sz w:val="20"/>
          <w:szCs w:val="20"/>
        </w:rPr>
        <w:t xml:space="preserve">de 6,1%, </w:t>
      </w:r>
      <w:r>
        <w:rPr>
          <w:rFonts w:ascii="Arial" w:hAnsi="Arial" w:cs="Arial"/>
          <w:sz w:val="20"/>
          <w:szCs w:val="20"/>
        </w:rPr>
        <w:t>au cours de la même période</w:t>
      </w:r>
      <w:r w:rsidRPr="00763A6F">
        <w:rPr>
          <w:rFonts w:ascii="Arial" w:hAnsi="Arial" w:cs="Arial"/>
          <w:sz w:val="20"/>
          <w:szCs w:val="20"/>
        </w:rPr>
        <w:t>, portée par une poursuite du redressement des activités des centrales thermique</w:t>
      </w:r>
      <w:r>
        <w:rPr>
          <w:rFonts w:ascii="Arial" w:hAnsi="Arial" w:cs="Arial"/>
          <w:sz w:val="20"/>
          <w:szCs w:val="20"/>
        </w:rPr>
        <w:t xml:space="preserve">s </w:t>
      </w:r>
      <w:r w:rsidRPr="00763A6F">
        <w:rPr>
          <w:rFonts w:ascii="Arial" w:hAnsi="Arial" w:cs="Arial"/>
          <w:sz w:val="20"/>
          <w:szCs w:val="20"/>
        </w:rPr>
        <w:t>à base de carburants.</w:t>
      </w:r>
      <w:r w:rsidRPr="0060304D">
        <w:rPr>
          <w:rFonts w:ascii="Arial" w:hAnsi="Arial" w:cs="Arial"/>
          <w:kern w:val="28"/>
          <w:sz w:val="20"/>
          <w:szCs w:val="20"/>
        </w:rPr>
        <w:t xml:space="preserve"> </w:t>
      </w:r>
      <w:r>
        <w:rPr>
          <w:rFonts w:ascii="Arial" w:hAnsi="Arial" w:cs="Arial"/>
          <w:kern w:val="28"/>
          <w:sz w:val="20"/>
          <w:szCs w:val="20"/>
        </w:rPr>
        <w:t xml:space="preserve">Les branches tertiaires continueraient, également, sur leur élan, compte-tenu des perspectives d’une poursuite de l’amélioration de la demande </w:t>
      </w:r>
      <w:r>
        <w:rPr>
          <w:rFonts w:ascii="Arial" w:hAnsi="Arial" w:cs="Arial"/>
          <w:kern w:val="28"/>
          <w:sz w:val="20"/>
          <w:szCs w:val="20"/>
        </w:rPr>
        <w:lastRenderedPageBreak/>
        <w:t>intérieure.</w:t>
      </w:r>
    </w:p>
    <w:p w:rsidR="001E3430" w:rsidRDefault="001E3430" w:rsidP="0042347B">
      <w:pPr>
        <w:autoSpaceDE w:val="0"/>
        <w:autoSpaceDN w:val="0"/>
        <w:adjustRightInd w:val="0"/>
        <w:jc w:val="both"/>
        <w:rPr>
          <w:rFonts w:ascii="Arial" w:hAnsi="Arial" w:cs="Arial"/>
          <w:sz w:val="20"/>
          <w:szCs w:val="20"/>
        </w:rPr>
      </w:pPr>
    </w:p>
    <w:p w:rsidR="001E3430" w:rsidRDefault="001E3430" w:rsidP="00854E80">
      <w:pPr>
        <w:autoSpaceDE w:val="0"/>
        <w:autoSpaceDN w:val="0"/>
        <w:adjustRightInd w:val="0"/>
        <w:jc w:val="both"/>
        <w:rPr>
          <w:rFonts w:ascii="Arial" w:hAnsi="Arial" w:cs="Arial"/>
          <w:sz w:val="20"/>
          <w:szCs w:val="20"/>
        </w:rPr>
      </w:pPr>
      <w:r>
        <w:rPr>
          <w:rFonts w:ascii="Arial" w:hAnsi="Arial" w:cs="Arial"/>
          <w:sz w:val="20"/>
          <w:szCs w:val="20"/>
        </w:rPr>
        <w:t xml:space="preserve">Dans l’ensemble, la valeur ajoutée </w:t>
      </w:r>
      <w:r w:rsidRPr="00C95F2B">
        <w:rPr>
          <w:rFonts w:ascii="Arial" w:hAnsi="Arial" w:cs="Arial"/>
          <w:sz w:val="20"/>
          <w:szCs w:val="20"/>
        </w:rPr>
        <w:t xml:space="preserve">hors agriculture </w:t>
      </w:r>
      <w:r>
        <w:rPr>
          <w:rFonts w:ascii="Arial" w:hAnsi="Arial" w:cs="Arial"/>
          <w:sz w:val="20"/>
          <w:szCs w:val="20"/>
        </w:rPr>
        <w:t xml:space="preserve">devrait s’améliorer de 2% au quatrième trimestre 2015, en variation annuelle, favorisant une hausse du PIB de 4,7%, au cours de la même période. Sur l’ensemble de l’année 2015, la croissance économique globale s’établirait à 4,4% par rapport à l’année précédente, au lieu de 4,3% prévue au mois de juin 2015 dans le cadre du budget exploratoire 2016. </w:t>
      </w:r>
    </w:p>
    <w:p w:rsidR="001E3430" w:rsidRDefault="001E3430" w:rsidP="007B5686">
      <w:pPr>
        <w:autoSpaceDE w:val="0"/>
        <w:autoSpaceDN w:val="0"/>
        <w:adjustRightInd w:val="0"/>
        <w:jc w:val="both"/>
        <w:rPr>
          <w:rFonts w:ascii="Arial" w:hAnsi="Arial" w:cs="Arial"/>
          <w:sz w:val="20"/>
          <w:szCs w:val="20"/>
        </w:rPr>
      </w:pPr>
    </w:p>
    <w:p w:rsidR="001E3430" w:rsidRPr="00F016E3" w:rsidRDefault="001E3430" w:rsidP="00A26C01">
      <w:pPr>
        <w:pStyle w:val="NormalWeb"/>
        <w:spacing w:before="0" w:beforeAutospacing="0" w:after="0" w:afterAutospacing="0"/>
        <w:jc w:val="both"/>
        <w:rPr>
          <w:rFonts w:ascii="Arial" w:hAnsi="Arial" w:cs="Arial"/>
          <w:sz w:val="20"/>
          <w:szCs w:val="20"/>
        </w:rPr>
      </w:pPr>
    </w:p>
    <w:p w:rsidR="001E3430" w:rsidRPr="00D00B10" w:rsidRDefault="001E3430" w:rsidP="007B5686">
      <w:pPr>
        <w:autoSpaceDE w:val="0"/>
        <w:autoSpaceDN w:val="0"/>
        <w:adjustRightInd w:val="0"/>
        <w:jc w:val="both"/>
      </w:pPr>
    </w:p>
    <w:sectPr w:rsidR="001E3430" w:rsidRPr="00D00B10" w:rsidSect="00D00B10">
      <w:footerReference w:type="even" r:id="rId17"/>
      <w:footerReference w:type="default" r:id="rId18"/>
      <w:headerReference w:type="first" r:id="rId19"/>
      <w:footerReference w:type="first" r:id="rId20"/>
      <w:pgSz w:w="11906" w:h="16838"/>
      <w:pgMar w:top="899" w:right="849" w:bottom="899" w:left="85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302" w:rsidRDefault="00D60302">
      <w:r>
        <w:separator/>
      </w:r>
    </w:p>
  </w:endnote>
  <w:endnote w:type="continuationSeparator" w:id="1">
    <w:p w:rsidR="00D60302" w:rsidRDefault="00D603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430" w:rsidRDefault="00C81B03" w:rsidP="00CB05C8">
    <w:pPr>
      <w:pStyle w:val="Pieddepage"/>
      <w:framePr w:wrap="auto" w:vAnchor="text" w:hAnchor="margin" w:xAlign="center" w:y="1"/>
      <w:rPr>
        <w:rStyle w:val="Numrodepage"/>
      </w:rPr>
    </w:pPr>
    <w:r>
      <w:rPr>
        <w:rStyle w:val="Numrodepage"/>
      </w:rPr>
      <w:fldChar w:fldCharType="begin"/>
    </w:r>
    <w:r w:rsidR="001E3430">
      <w:rPr>
        <w:rStyle w:val="Numrodepage"/>
      </w:rPr>
      <w:instrText xml:space="preserve">PAGE  </w:instrText>
    </w:r>
    <w:r>
      <w:rPr>
        <w:rStyle w:val="Numrodepage"/>
      </w:rPr>
      <w:fldChar w:fldCharType="end"/>
    </w:r>
  </w:p>
  <w:p w:rsidR="001E3430" w:rsidRDefault="001E343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430" w:rsidRPr="006D7FA4" w:rsidRDefault="00C81B03" w:rsidP="006D7FA4">
    <w:pPr>
      <w:pStyle w:val="Pieddepage"/>
      <w:framePr w:wrap="auto" w:vAnchor="text" w:hAnchor="page" w:x="10238" w:y="-43"/>
      <w:jc w:val="right"/>
      <w:rPr>
        <w:rStyle w:val="Numrodepage"/>
        <w:sz w:val="20"/>
        <w:szCs w:val="20"/>
      </w:rPr>
    </w:pPr>
    <w:r w:rsidRPr="006D7FA4">
      <w:rPr>
        <w:rStyle w:val="Numrodepage"/>
        <w:sz w:val="20"/>
        <w:szCs w:val="20"/>
      </w:rPr>
      <w:fldChar w:fldCharType="begin"/>
    </w:r>
    <w:r w:rsidR="001E3430" w:rsidRPr="006D7FA4">
      <w:rPr>
        <w:rStyle w:val="Numrodepage"/>
        <w:sz w:val="20"/>
        <w:szCs w:val="20"/>
      </w:rPr>
      <w:instrText xml:space="preserve">PAGE  </w:instrText>
    </w:r>
    <w:r w:rsidRPr="006D7FA4">
      <w:rPr>
        <w:rStyle w:val="Numrodepage"/>
        <w:sz w:val="20"/>
        <w:szCs w:val="20"/>
      </w:rPr>
      <w:fldChar w:fldCharType="separate"/>
    </w:r>
    <w:r w:rsidR="00BF112B">
      <w:rPr>
        <w:rStyle w:val="Numrodepage"/>
        <w:noProof/>
        <w:sz w:val="20"/>
        <w:szCs w:val="20"/>
      </w:rPr>
      <w:t>2</w:t>
    </w:r>
    <w:r w:rsidRPr="006D7FA4">
      <w:rPr>
        <w:rStyle w:val="Numrodepage"/>
        <w:sz w:val="20"/>
        <w:szCs w:val="20"/>
      </w:rPr>
      <w:fldChar w:fldCharType="end"/>
    </w:r>
    <w:r w:rsidR="001E3430" w:rsidRPr="006D7FA4">
      <w:rPr>
        <w:rStyle w:val="Numrodepage"/>
        <w:sz w:val="20"/>
        <w:szCs w:val="20"/>
      </w:rPr>
      <w:t>/</w:t>
    </w:r>
    <w:r w:rsidRPr="006D7FA4">
      <w:rPr>
        <w:rStyle w:val="Numrodepage"/>
        <w:sz w:val="20"/>
        <w:szCs w:val="20"/>
      </w:rPr>
      <w:fldChar w:fldCharType="begin"/>
    </w:r>
    <w:r w:rsidR="001E3430" w:rsidRPr="006D7FA4">
      <w:rPr>
        <w:rStyle w:val="Numrodepage"/>
        <w:sz w:val="20"/>
        <w:szCs w:val="20"/>
      </w:rPr>
      <w:instrText xml:space="preserve"> NUMPAGES </w:instrText>
    </w:r>
    <w:r w:rsidRPr="006D7FA4">
      <w:rPr>
        <w:rStyle w:val="Numrodepage"/>
        <w:sz w:val="20"/>
        <w:szCs w:val="20"/>
      </w:rPr>
      <w:fldChar w:fldCharType="separate"/>
    </w:r>
    <w:r w:rsidR="00BF112B">
      <w:rPr>
        <w:rStyle w:val="Numrodepage"/>
        <w:noProof/>
        <w:sz w:val="20"/>
        <w:szCs w:val="20"/>
      </w:rPr>
      <w:t>5</w:t>
    </w:r>
    <w:r w:rsidRPr="006D7FA4">
      <w:rPr>
        <w:rStyle w:val="Numrodepage"/>
        <w:sz w:val="20"/>
        <w:szCs w:val="20"/>
      </w:rPr>
      <w:fldChar w:fldCharType="end"/>
    </w:r>
  </w:p>
  <w:p w:rsidR="001E3430" w:rsidRDefault="001E3430">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430" w:rsidRDefault="00C81B03">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198pt;margin-top:20.55pt;width:1in;height:18pt;z-index:251659776" filled="f" stroked="f">
          <v:textbox style="mso-next-textbox:#_x0000_s2050">
            <w:txbxContent>
              <w:p w:rsidR="001E3430" w:rsidRPr="00350C40" w:rsidRDefault="001E3430" w:rsidP="00CC289A">
                <w:pPr>
                  <w:rPr>
                    <w:rFonts w:ascii="Arial" w:hAnsi="Arial" w:cs="Arial"/>
                    <w:color w:val="993366"/>
                    <w:sz w:val="18"/>
                    <w:szCs w:val="18"/>
                  </w:rPr>
                </w:pPr>
                <w:r w:rsidRPr="00350C40">
                  <w:rPr>
                    <w:rFonts w:ascii="Arial" w:hAnsi="Arial" w:cs="Arial"/>
                    <w:color w:val="993366"/>
                    <w:sz w:val="18"/>
                    <w:szCs w:val="18"/>
                  </w:rPr>
                  <w:t>www.hcp.ma</w:t>
                </w:r>
              </w:p>
            </w:txbxContent>
          </v:textbox>
        </v:shape>
      </w:pict>
    </w:r>
    <w:r>
      <w:rPr>
        <w:noProof/>
      </w:rPr>
      <w:pict>
        <v:shape id="_x0000_s2051" type="#_x0000_t202" style="position:absolute;margin-left:171pt;margin-top:2.55pt;width:126pt;height:37.35pt;z-index:251656704" stroked="f">
          <v:textbox style="mso-next-textbox:#_x0000_s2051">
            <w:txbxContent>
              <w:p w:rsidR="001E3430" w:rsidRPr="00350C40" w:rsidRDefault="001E3430" w:rsidP="00F72024">
                <w:pPr>
                  <w:spacing w:before="60"/>
                  <w:jc w:val="center"/>
                  <w:rPr>
                    <w:sz w:val="18"/>
                    <w:szCs w:val="18"/>
                  </w:rPr>
                </w:pPr>
                <w:r w:rsidRPr="00350C40">
                  <w:rPr>
                    <w:rFonts w:ascii="Arial" w:hAnsi="Arial" w:cs="Arial"/>
                    <w:color w:val="993366"/>
                    <w:sz w:val="18"/>
                    <w:szCs w:val="18"/>
                  </w:rPr>
                  <w:t>(+212) 05 37 57 69 02</w:t>
                </w:r>
              </w:p>
            </w:txbxContent>
          </v:textbox>
        </v:shape>
      </w:pict>
    </w:r>
    <w:r>
      <w:rPr>
        <w:noProof/>
      </w:rPr>
      <w:pict>
        <v:shape id="_x0000_s2052" type="#_x0000_t202" style="position:absolute;margin-left:252pt;margin-top:-15.45pt;width:234pt;height:18pt;z-index:251654656" stroked="f">
          <v:textbox style="mso-next-textbox:#_x0000_s2052">
            <w:txbxContent>
              <w:p w:rsidR="001E3430" w:rsidRPr="00773F09" w:rsidRDefault="001E3430" w:rsidP="00350C40">
                <w:pPr>
                  <w:bidi/>
                  <w:rPr>
                    <w:rFonts w:ascii="Arial" w:hAnsi="Arial" w:cs="MCS AL SHAMAL"/>
                    <w:color w:val="993366"/>
                    <w:sz w:val="20"/>
                    <w:szCs w:val="20"/>
                    <w:rtl/>
                    <w:lang w:bidi="ar-MA"/>
                  </w:rPr>
                </w:pPr>
                <w:r w:rsidRPr="00350C40">
                  <w:rPr>
                    <w:rFonts w:ascii="Arial" w:hAnsi="Arial" w:cs="Arial"/>
                    <w:color w:val="993366"/>
                    <w:sz w:val="18"/>
                    <w:szCs w:val="18"/>
                    <w:rtl/>
                    <w:lang w:bidi="ar-MA"/>
                  </w:rPr>
                  <w:t>ايلو 31-3، قطاع 16، حي الرياض 10001 الرباط</w:t>
                </w:r>
                <w:r w:rsidRPr="00350C40">
                  <w:rPr>
                    <w:color w:val="993366"/>
                    <w:sz w:val="18"/>
                    <w:szCs w:val="18"/>
                    <w:rtl/>
                    <w:lang w:bidi="ar-MA"/>
                  </w:rPr>
                  <w:t xml:space="preserve"> </w:t>
                </w:r>
                <w:r w:rsidRPr="00350C40">
                  <w:rPr>
                    <w:rFonts w:ascii="Arial" w:hAnsi="Arial" w:cs="Arial"/>
                    <w:color w:val="993366"/>
                    <w:sz w:val="18"/>
                    <w:szCs w:val="18"/>
                    <w:rtl/>
                    <w:lang w:bidi="ar-MA"/>
                  </w:rPr>
                  <w:t>–</w:t>
                </w:r>
                <w:r w:rsidRPr="00350C40">
                  <w:rPr>
                    <w:rFonts w:ascii="Arial" w:hAnsi="Arial" w:cs="MCS AL SHAMAL"/>
                    <w:color w:val="993366"/>
                    <w:sz w:val="18"/>
                    <w:szCs w:val="18"/>
                    <w:rtl/>
                    <w:lang w:bidi="ar-MA"/>
                  </w:rPr>
                  <w:t xml:space="preserve"> </w:t>
                </w:r>
                <w:r w:rsidRPr="00350C40">
                  <w:rPr>
                    <w:color w:val="993366"/>
                    <w:sz w:val="18"/>
                    <w:szCs w:val="18"/>
                    <w:rtl/>
                    <w:lang w:bidi="ar-MA"/>
                  </w:rPr>
                  <w:t xml:space="preserve"> </w:t>
                </w:r>
                <w:r w:rsidRPr="00350C40">
                  <w:rPr>
                    <w:rFonts w:ascii="Arial" w:hAnsi="Arial" w:cs="Arial"/>
                    <w:color w:val="993366"/>
                    <w:sz w:val="18"/>
                    <w:szCs w:val="18"/>
                    <w:rtl/>
                    <w:lang w:bidi="ar-MA"/>
                  </w:rPr>
                  <w:t>المغرب</w:t>
                </w:r>
                <w:r w:rsidRPr="00350C40">
                  <w:rPr>
                    <w:rFonts w:ascii="Arial" w:hAnsi="Arial" w:cs="MCS AL SHAMAL"/>
                    <w:color w:val="993366"/>
                    <w:sz w:val="18"/>
                    <w:szCs w:val="18"/>
                    <w:rtl/>
                    <w:lang w:bidi="ar-MA"/>
                  </w:rPr>
                  <w:t xml:space="preserve"> </w:t>
                </w:r>
                <w:r w:rsidRPr="00350C40">
                  <w:rPr>
                    <w:color w:val="993366"/>
                    <w:sz w:val="18"/>
                    <w:szCs w:val="18"/>
                    <w:rtl/>
                    <w:lang w:bidi="ar-MA"/>
                  </w:rPr>
                  <w:t xml:space="preserve"> </w:t>
                </w:r>
                <w:r w:rsidRPr="00350C40">
                  <w:rPr>
                    <w:rFonts w:ascii="Arial" w:hAnsi="Arial" w:cs="MCS AL SHAMAL"/>
                    <w:color w:val="993366"/>
                    <w:sz w:val="18"/>
                    <w:szCs w:val="18"/>
                    <w:rtl/>
                    <w:lang w:bidi="ar-MA"/>
                  </w:rPr>
                  <w:t xml:space="preserve"> </w:t>
                </w:r>
                <w:r w:rsidRPr="00350C40">
                  <w:rPr>
                    <w:rFonts w:ascii="Arial" w:hAnsi="Arial" w:cs="Arial"/>
                    <w:color w:val="993366"/>
                    <w:sz w:val="18"/>
                    <w:szCs w:val="18"/>
                    <w:rtl/>
                    <w:lang w:bidi="ar-MA"/>
                  </w:rPr>
                  <w:t>ص.</w:t>
                </w:r>
                <w:r>
                  <w:rPr>
                    <w:rFonts w:ascii="Arial" w:hAnsi="Arial" w:cs="Arial"/>
                    <w:color w:val="993366"/>
                    <w:sz w:val="20"/>
                    <w:szCs w:val="20"/>
                    <w:rtl/>
                    <w:lang w:bidi="ar-MA"/>
                  </w:rPr>
                  <w:t>ب </w:t>
                </w:r>
                <w:r w:rsidRPr="00773F09">
                  <w:rPr>
                    <w:rFonts w:ascii="Arial" w:hAnsi="Arial" w:cs="MCS AL SHAMAL"/>
                    <w:color w:val="993366"/>
                    <w:sz w:val="20"/>
                    <w:szCs w:val="20"/>
                    <w:rtl/>
                    <w:lang w:bidi="ar-MA"/>
                  </w:rPr>
                  <w:t xml:space="preserve">: </w:t>
                </w:r>
              </w:p>
            </w:txbxContent>
          </v:textbox>
        </v:shape>
      </w:pict>
    </w:r>
    <w:r>
      <w:rPr>
        <w:noProof/>
      </w:rPr>
      <w:pict>
        <v:shape id="_x0000_s2053" type="#_x0000_t202" style="position:absolute;margin-left:-9pt;margin-top:-15.45pt;width:270pt;height:17.25pt;z-index:251657728" stroked="f">
          <v:textbox style="mso-next-textbox:#_x0000_s2053">
            <w:txbxContent>
              <w:p w:rsidR="001E3430" w:rsidRPr="00350C40" w:rsidRDefault="001E3430" w:rsidP="00350C40">
                <w:pPr>
                  <w:rPr>
                    <w:rFonts w:ascii="Arial" w:hAnsi="Arial" w:cs="Arial"/>
                    <w:color w:val="993366"/>
                    <w:sz w:val="18"/>
                    <w:szCs w:val="18"/>
                    <w:lang w:val="en-US"/>
                  </w:rPr>
                </w:pPr>
                <w:r w:rsidRPr="00350C40">
                  <w:rPr>
                    <w:rFonts w:ascii="Arial" w:hAnsi="Arial" w:cs="Arial"/>
                    <w:color w:val="993366"/>
                    <w:sz w:val="18"/>
                    <w:szCs w:val="18"/>
                    <w:lang w:val="en-US"/>
                  </w:rPr>
                  <w:t xml:space="preserve">Ilot 31-3, secteur 16, Hay Riad, 10001, </w:t>
                </w:r>
                <w:smartTag w:uri="urn:schemas-microsoft-com:office:smarttags" w:element="City">
                  <w:smartTag w:uri="urn:schemas-microsoft-com:office:smarttags" w:element="place">
                    <w:r w:rsidRPr="00350C40">
                      <w:rPr>
                        <w:rFonts w:ascii="Arial" w:hAnsi="Arial" w:cs="Arial"/>
                        <w:color w:val="993366"/>
                        <w:sz w:val="18"/>
                        <w:szCs w:val="18"/>
                        <w:lang w:val="en-US"/>
                      </w:rPr>
                      <w:t>Rabat</w:t>
                    </w:r>
                  </w:smartTag>
                </w:smartTag>
                <w:r w:rsidRPr="00350C40">
                  <w:rPr>
                    <w:rFonts w:ascii="Arial" w:hAnsi="Arial" w:cs="Arial"/>
                    <w:color w:val="993366"/>
                    <w:sz w:val="18"/>
                    <w:szCs w:val="18"/>
                    <w:lang w:val="en-US"/>
                  </w:rPr>
                  <w:t xml:space="preserve"> - Maroc BP : 178 </w:t>
                </w:r>
              </w:p>
              <w:p w:rsidR="001E3430" w:rsidRPr="00773F09" w:rsidRDefault="001E3430"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4" type="#_x0000_t202" style="position:absolute;margin-left:0;margin-top:2.05pt;width:171pt;height:27pt;z-index:251655680" stroked="f">
          <v:textbox style="mso-next-textbox:#_x0000_s2054">
            <w:txbxContent>
              <w:p w:rsidR="001E3430" w:rsidRPr="00F94487" w:rsidRDefault="001E3430" w:rsidP="00984C53">
                <w:pPr>
                  <w:spacing w:line="300" w:lineRule="exact"/>
                  <w:jc w:val="both"/>
                  <w:rPr>
                    <w:rFonts w:ascii="Arial" w:hAnsi="Arial" w:cs="Arial"/>
                    <w:color w:val="993366"/>
                    <w:sz w:val="20"/>
                    <w:szCs w:val="20"/>
                  </w:rPr>
                </w:pPr>
                <w:r w:rsidRPr="00350C40">
                  <w:rPr>
                    <w:rFonts w:ascii="Arial" w:hAnsi="Arial" w:cs="Arial"/>
                    <w:color w:val="993366"/>
                    <w:sz w:val="18"/>
                    <w:szCs w:val="18"/>
                  </w:rPr>
                  <w:t>Tél. : (+212) 0</w:t>
                </w:r>
                <w:r w:rsidRPr="00350C40">
                  <w:rPr>
                    <w:rFonts w:ascii="Arial" w:hAnsi="Arial" w:cs="Arial"/>
                    <w:color w:val="993366"/>
                    <w:sz w:val="18"/>
                    <w:szCs w:val="18"/>
                    <w:rtl/>
                  </w:rPr>
                  <w:t>5</w:t>
                </w:r>
                <w:r w:rsidRPr="00350C40">
                  <w:rPr>
                    <w:rFonts w:ascii="Arial" w:hAnsi="Arial" w:cs="Arial"/>
                    <w:color w:val="993366"/>
                    <w:sz w:val="18"/>
                    <w:szCs w:val="18"/>
                  </w:rPr>
                  <w:t xml:space="preserve"> 37 </w:t>
                </w:r>
                <w:r w:rsidRPr="00350C40">
                  <w:rPr>
                    <w:rFonts w:ascii="Arial" w:hAnsi="Arial" w:cs="Arial"/>
                    <w:color w:val="993366"/>
                    <w:sz w:val="18"/>
                    <w:szCs w:val="18"/>
                    <w:rtl/>
                  </w:rPr>
                  <w:t>5</w:t>
                </w:r>
                <w:r w:rsidRPr="00350C40">
                  <w:rPr>
                    <w:rFonts w:ascii="Arial" w:hAnsi="Arial" w:cs="Arial"/>
                    <w:color w:val="993366"/>
                    <w:sz w:val="18"/>
                    <w:szCs w:val="18"/>
                  </w:rPr>
                  <w:t xml:space="preserve">7 69 </w:t>
                </w:r>
                <w:r w:rsidRPr="00350C40">
                  <w:rPr>
                    <w:rFonts w:ascii="Arial" w:hAnsi="Arial" w:cs="Arial"/>
                    <w:color w:val="993366"/>
                    <w:sz w:val="18"/>
                    <w:szCs w:val="18"/>
                    <w:rtl/>
                  </w:rPr>
                  <w:t>04</w:t>
                </w:r>
                <w:r w:rsidRPr="00350C40">
                  <w:rPr>
                    <w:rFonts w:ascii="Arial" w:hAnsi="Arial" w:cs="Arial"/>
                    <w:color w:val="993366"/>
                    <w:sz w:val="18"/>
                    <w:szCs w:val="18"/>
                  </w:rPr>
                  <w:t xml:space="preserve"> – Fax</w:t>
                </w:r>
                <w:r>
                  <w:rPr>
                    <w:rFonts w:ascii="Arial" w:hAnsi="Arial" w:cs="Arial"/>
                    <w:color w:val="993366"/>
                    <w:sz w:val="20"/>
                    <w:szCs w:val="20"/>
                  </w:rPr>
                  <w:t xml:space="preserve"> : </w:t>
                </w:r>
              </w:p>
            </w:txbxContent>
          </v:textbox>
        </v:shape>
      </w:pict>
    </w:r>
    <w:r>
      <w:rPr>
        <w:noProof/>
      </w:rPr>
      <w:pict>
        <v:shape id="_x0000_s2055" type="#_x0000_t202" style="position:absolute;margin-left:4in;margin-top:2.05pt;width:210.55pt;height:37.35pt;z-index:251658752" stroked="f">
          <v:textbox style="mso-next-textbox:#_x0000_s2055">
            <w:txbxContent>
              <w:p w:rsidR="001E3430" w:rsidRPr="00350C40" w:rsidRDefault="001E3430" w:rsidP="00350C40">
                <w:pPr>
                  <w:bidi/>
                  <w:spacing w:before="60"/>
                  <w:jc w:val="center"/>
                  <w:rPr>
                    <w:rFonts w:ascii="Arial" w:hAnsi="Arial" w:cs="MCS AL SHAMAL"/>
                    <w:color w:val="993366"/>
                    <w:sz w:val="18"/>
                    <w:szCs w:val="18"/>
                    <w:rtl/>
                    <w:lang w:bidi="ar-MA"/>
                  </w:rPr>
                </w:pPr>
                <w:r w:rsidRPr="00350C40">
                  <w:rPr>
                    <w:rFonts w:ascii="Arial" w:hAnsi="Arial" w:cs="Arial"/>
                    <w:color w:val="993366"/>
                    <w:sz w:val="18"/>
                    <w:szCs w:val="18"/>
                    <w:rtl/>
                    <w:lang w:bidi="ar-MA"/>
                  </w:rPr>
                  <w:t xml:space="preserve">الهاتف : 04 69 57 37 05   (212+) – </w:t>
                </w:r>
                <w:r w:rsidRPr="00350C40">
                  <w:rPr>
                    <w:rFonts w:ascii="Arial" w:hAnsi="Arial" w:cs="MCS AL SHAMAL"/>
                    <w:color w:val="993366"/>
                    <w:sz w:val="18"/>
                    <w:szCs w:val="18"/>
                    <w:rtl/>
                    <w:lang w:bidi="ar-MA"/>
                  </w:rPr>
                  <w:t xml:space="preserve"> </w:t>
                </w:r>
                <w:r w:rsidRPr="00350C40">
                  <w:rPr>
                    <w:rFonts w:ascii="Arial" w:hAnsi="Arial" w:cs="Arial"/>
                    <w:color w:val="993366"/>
                    <w:sz w:val="18"/>
                    <w:szCs w:val="18"/>
                    <w:rtl/>
                    <w:lang w:bidi="ar-MA"/>
                  </w:rPr>
                  <w:t>الفاكس</w:t>
                </w:r>
                <w:r w:rsidRPr="00350C40">
                  <w:rPr>
                    <w:rFonts w:ascii="Arial" w:hAnsi="Arial" w:cs="MCS AL SHAMAL"/>
                    <w:color w:val="993366"/>
                    <w:sz w:val="18"/>
                    <w:szCs w:val="18"/>
                    <w:rtl/>
                    <w:lang w:bidi="ar-MA"/>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302" w:rsidRDefault="00D60302">
      <w:r>
        <w:separator/>
      </w:r>
    </w:p>
  </w:footnote>
  <w:footnote w:type="continuationSeparator" w:id="1">
    <w:p w:rsidR="00D60302" w:rsidRDefault="00D60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430" w:rsidRDefault="00BF112B" w:rsidP="00AB15CA">
    <w:pPr>
      <w:pStyle w:val="En-tte"/>
    </w:pPr>
    <w:r>
      <w:rPr>
        <w:noProof/>
      </w:rPr>
      <w:drawing>
        <wp:anchor distT="0" distB="0" distL="114300" distR="114300" simplePos="0" relativeHeight="251660800" behindDoc="0" locked="0" layoutInCell="1" allowOverlap="1">
          <wp:simplePos x="0" y="0"/>
          <wp:positionH relativeFrom="column">
            <wp:posOffset>-914400</wp:posOffset>
          </wp:positionH>
          <wp:positionV relativeFrom="paragraph">
            <wp:posOffset>-222885</wp:posOffset>
          </wp:positionV>
          <wp:extent cx="8702675" cy="5038725"/>
          <wp:effectExtent l="19050" t="0" r="3175" b="0"/>
          <wp:wrapNone/>
          <wp:docPr id="1"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5A1A01"/>
    <w:multiLevelType w:val="hybridMultilevel"/>
    <w:tmpl w:val="7D5A82AE"/>
    <w:lvl w:ilvl="0" w:tplc="BE14AA3E">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doNotHyphenateCaps/>
  <w:characterSpacingControl w:val="doNotCompress"/>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rsids>
    <w:rsidRoot w:val="00A7067D"/>
    <w:rsid w:val="00000BA6"/>
    <w:rsid w:val="000017C7"/>
    <w:rsid w:val="00001D8E"/>
    <w:rsid w:val="000025B3"/>
    <w:rsid w:val="00002CA4"/>
    <w:rsid w:val="00003123"/>
    <w:rsid w:val="000037BD"/>
    <w:rsid w:val="00005213"/>
    <w:rsid w:val="000064D1"/>
    <w:rsid w:val="00006EDF"/>
    <w:rsid w:val="00007079"/>
    <w:rsid w:val="00007544"/>
    <w:rsid w:val="00007945"/>
    <w:rsid w:val="00007F2B"/>
    <w:rsid w:val="00010C4A"/>
    <w:rsid w:val="000114B3"/>
    <w:rsid w:val="000115A6"/>
    <w:rsid w:val="000119BC"/>
    <w:rsid w:val="00011B9F"/>
    <w:rsid w:val="00011C2F"/>
    <w:rsid w:val="00011EB7"/>
    <w:rsid w:val="0001207A"/>
    <w:rsid w:val="0001261B"/>
    <w:rsid w:val="000135FC"/>
    <w:rsid w:val="0001390E"/>
    <w:rsid w:val="000139AC"/>
    <w:rsid w:val="00013A7F"/>
    <w:rsid w:val="00013C22"/>
    <w:rsid w:val="00013D86"/>
    <w:rsid w:val="00013F33"/>
    <w:rsid w:val="000147FB"/>
    <w:rsid w:val="00014BF3"/>
    <w:rsid w:val="00014C35"/>
    <w:rsid w:val="00014FD6"/>
    <w:rsid w:val="000150B8"/>
    <w:rsid w:val="00015111"/>
    <w:rsid w:val="00015113"/>
    <w:rsid w:val="000151F6"/>
    <w:rsid w:val="000152BC"/>
    <w:rsid w:val="000152DE"/>
    <w:rsid w:val="000162C9"/>
    <w:rsid w:val="000166FE"/>
    <w:rsid w:val="0001761A"/>
    <w:rsid w:val="000178C1"/>
    <w:rsid w:val="00017B37"/>
    <w:rsid w:val="00017FF8"/>
    <w:rsid w:val="000205FA"/>
    <w:rsid w:val="00020B70"/>
    <w:rsid w:val="000211C4"/>
    <w:rsid w:val="00021C8C"/>
    <w:rsid w:val="00021F86"/>
    <w:rsid w:val="000223AA"/>
    <w:rsid w:val="000223DD"/>
    <w:rsid w:val="000229BA"/>
    <w:rsid w:val="0002327D"/>
    <w:rsid w:val="00024095"/>
    <w:rsid w:val="00024268"/>
    <w:rsid w:val="00024574"/>
    <w:rsid w:val="0002477A"/>
    <w:rsid w:val="00024945"/>
    <w:rsid w:val="00024FBE"/>
    <w:rsid w:val="00025026"/>
    <w:rsid w:val="0002516D"/>
    <w:rsid w:val="00025B47"/>
    <w:rsid w:val="00025DC7"/>
    <w:rsid w:val="000266D8"/>
    <w:rsid w:val="00026D88"/>
    <w:rsid w:val="000270E0"/>
    <w:rsid w:val="000275DD"/>
    <w:rsid w:val="0002766D"/>
    <w:rsid w:val="00027850"/>
    <w:rsid w:val="00031D25"/>
    <w:rsid w:val="00032582"/>
    <w:rsid w:val="00032899"/>
    <w:rsid w:val="0003300A"/>
    <w:rsid w:val="00033123"/>
    <w:rsid w:val="0003420B"/>
    <w:rsid w:val="0003456C"/>
    <w:rsid w:val="000348FD"/>
    <w:rsid w:val="00034EE3"/>
    <w:rsid w:val="00034EE5"/>
    <w:rsid w:val="0003559E"/>
    <w:rsid w:val="00035FA3"/>
    <w:rsid w:val="0003680E"/>
    <w:rsid w:val="00036A9C"/>
    <w:rsid w:val="00037668"/>
    <w:rsid w:val="00037B80"/>
    <w:rsid w:val="000408C3"/>
    <w:rsid w:val="00040953"/>
    <w:rsid w:val="00040D62"/>
    <w:rsid w:val="00041285"/>
    <w:rsid w:val="00041524"/>
    <w:rsid w:val="000415AD"/>
    <w:rsid w:val="0004185B"/>
    <w:rsid w:val="000425ED"/>
    <w:rsid w:val="00042974"/>
    <w:rsid w:val="00042C94"/>
    <w:rsid w:val="0004311A"/>
    <w:rsid w:val="00043186"/>
    <w:rsid w:val="000431D8"/>
    <w:rsid w:val="0004391D"/>
    <w:rsid w:val="00043DE6"/>
    <w:rsid w:val="0004447B"/>
    <w:rsid w:val="0004487A"/>
    <w:rsid w:val="00044A9F"/>
    <w:rsid w:val="00044D29"/>
    <w:rsid w:val="0004533B"/>
    <w:rsid w:val="00045461"/>
    <w:rsid w:val="0004624E"/>
    <w:rsid w:val="00046322"/>
    <w:rsid w:val="00046404"/>
    <w:rsid w:val="000466FD"/>
    <w:rsid w:val="00046DEC"/>
    <w:rsid w:val="00046F56"/>
    <w:rsid w:val="0004718B"/>
    <w:rsid w:val="000500AF"/>
    <w:rsid w:val="000500E6"/>
    <w:rsid w:val="00050A6E"/>
    <w:rsid w:val="00050B69"/>
    <w:rsid w:val="00051098"/>
    <w:rsid w:val="000510D6"/>
    <w:rsid w:val="00051106"/>
    <w:rsid w:val="0005135E"/>
    <w:rsid w:val="00051689"/>
    <w:rsid w:val="00051923"/>
    <w:rsid w:val="0005275C"/>
    <w:rsid w:val="0005286C"/>
    <w:rsid w:val="000528D8"/>
    <w:rsid w:val="00052A57"/>
    <w:rsid w:val="000534D0"/>
    <w:rsid w:val="000543FD"/>
    <w:rsid w:val="00054B65"/>
    <w:rsid w:val="00054F53"/>
    <w:rsid w:val="000550D8"/>
    <w:rsid w:val="000554EE"/>
    <w:rsid w:val="000558C2"/>
    <w:rsid w:val="00055C1A"/>
    <w:rsid w:val="000568AD"/>
    <w:rsid w:val="00056FFA"/>
    <w:rsid w:val="000570B2"/>
    <w:rsid w:val="0005775E"/>
    <w:rsid w:val="000579D0"/>
    <w:rsid w:val="00057B97"/>
    <w:rsid w:val="000601D4"/>
    <w:rsid w:val="000602E9"/>
    <w:rsid w:val="00060321"/>
    <w:rsid w:val="00060896"/>
    <w:rsid w:val="00060F0D"/>
    <w:rsid w:val="00061060"/>
    <w:rsid w:val="00061164"/>
    <w:rsid w:val="00061CE4"/>
    <w:rsid w:val="0006264E"/>
    <w:rsid w:val="00062880"/>
    <w:rsid w:val="00062925"/>
    <w:rsid w:val="00062AFD"/>
    <w:rsid w:val="000632C2"/>
    <w:rsid w:val="0006348D"/>
    <w:rsid w:val="0006383C"/>
    <w:rsid w:val="00064386"/>
    <w:rsid w:val="0006442F"/>
    <w:rsid w:val="00064BCC"/>
    <w:rsid w:val="0006553F"/>
    <w:rsid w:val="00065712"/>
    <w:rsid w:val="00065935"/>
    <w:rsid w:val="00065F87"/>
    <w:rsid w:val="00065FE2"/>
    <w:rsid w:val="000674D7"/>
    <w:rsid w:val="00070037"/>
    <w:rsid w:val="00070595"/>
    <w:rsid w:val="00070861"/>
    <w:rsid w:val="00071EFF"/>
    <w:rsid w:val="00072320"/>
    <w:rsid w:val="000723B5"/>
    <w:rsid w:val="000728D2"/>
    <w:rsid w:val="000728FA"/>
    <w:rsid w:val="00072B60"/>
    <w:rsid w:val="00072EBF"/>
    <w:rsid w:val="0007340C"/>
    <w:rsid w:val="00073805"/>
    <w:rsid w:val="00074130"/>
    <w:rsid w:val="000754E3"/>
    <w:rsid w:val="00075B34"/>
    <w:rsid w:val="00075F5C"/>
    <w:rsid w:val="000761D8"/>
    <w:rsid w:val="0007711B"/>
    <w:rsid w:val="0007798B"/>
    <w:rsid w:val="00077D70"/>
    <w:rsid w:val="000801F4"/>
    <w:rsid w:val="0008035D"/>
    <w:rsid w:val="0008084B"/>
    <w:rsid w:val="00081456"/>
    <w:rsid w:val="00081BE5"/>
    <w:rsid w:val="000821F2"/>
    <w:rsid w:val="000827BA"/>
    <w:rsid w:val="00082F34"/>
    <w:rsid w:val="0008339B"/>
    <w:rsid w:val="0008388A"/>
    <w:rsid w:val="000847F4"/>
    <w:rsid w:val="0008484E"/>
    <w:rsid w:val="0008495C"/>
    <w:rsid w:val="00084B30"/>
    <w:rsid w:val="00085524"/>
    <w:rsid w:val="00085895"/>
    <w:rsid w:val="000859F9"/>
    <w:rsid w:val="00085E86"/>
    <w:rsid w:val="0008606C"/>
    <w:rsid w:val="000862E0"/>
    <w:rsid w:val="00087F93"/>
    <w:rsid w:val="00090012"/>
    <w:rsid w:val="0009062C"/>
    <w:rsid w:val="000906B8"/>
    <w:rsid w:val="00090769"/>
    <w:rsid w:val="00090C3A"/>
    <w:rsid w:val="00090DED"/>
    <w:rsid w:val="00091A3B"/>
    <w:rsid w:val="00091D36"/>
    <w:rsid w:val="000921CD"/>
    <w:rsid w:val="00093B91"/>
    <w:rsid w:val="00093F9E"/>
    <w:rsid w:val="00094694"/>
    <w:rsid w:val="00094710"/>
    <w:rsid w:val="0009560D"/>
    <w:rsid w:val="00096A77"/>
    <w:rsid w:val="00096CD1"/>
    <w:rsid w:val="00096CE5"/>
    <w:rsid w:val="00097007"/>
    <w:rsid w:val="0009781A"/>
    <w:rsid w:val="00097D9C"/>
    <w:rsid w:val="000A0205"/>
    <w:rsid w:val="000A0209"/>
    <w:rsid w:val="000A0948"/>
    <w:rsid w:val="000A0D23"/>
    <w:rsid w:val="000A11E5"/>
    <w:rsid w:val="000A141E"/>
    <w:rsid w:val="000A1CCD"/>
    <w:rsid w:val="000A1E2C"/>
    <w:rsid w:val="000A342C"/>
    <w:rsid w:val="000A3468"/>
    <w:rsid w:val="000A34BE"/>
    <w:rsid w:val="000A3B54"/>
    <w:rsid w:val="000A3BE9"/>
    <w:rsid w:val="000A4141"/>
    <w:rsid w:val="000A4C3D"/>
    <w:rsid w:val="000A4CF5"/>
    <w:rsid w:val="000A4F68"/>
    <w:rsid w:val="000A51AD"/>
    <w:rsid w:val="000A5547"/>
    <w:rsid w:val="000A62B6"/>
    <w:rsid w:val="000A6449"/>
    <w:rsid w:val="000A66F7"/>
    <w:rsid w:val="000A6F23"/>
    <w:rsid w:val="000A6F7B"/>
    <w:rsid w:val="000A7249"/>
    <w:rsid w:val="000A7281"/>
    <w:rsid w:val="000A79CD"/>
    <w:rsid w:val="000B0102"/>
    <w:rsid w:val="000B08E9"/>
    <w:rsid w:val="000B0F43"/>
    <w:rsid w:val="000B0F81"/>
    <w:rsid w:val="000B106E"/>
    <w:rsid w:val="000B12C2"/>
    <w:rsid w:val="000B1DE6"/>
    <w:rsid w:val="000B28B6"/>
    <w:rsid w:val="000B2A3E"/>
    <w:rsid w:val="000B3183"/>
    <w:rsid w:val="000B31FB"/>
    <w:rsid w:val="000B4618"/>
    <w:rsid w:val="000B46AD"/>
    <w:rsid w:val="000B711F"/>
    <w:rsid w:val="000B717A"/>
    <w:rsid w:val="000B71A7"/>
    <w:rsid w:val="000B71DE"/>
    <w:rsid w:val="000B797F"/>
    <w:rsid w:val="000C0879"/>
    <w:rsid w:val="000C0BF6"/>
    <w:rsid w:val="000C111B"/>
    <w:rsid w:val="000C1271"/>
    <w:rsid w:val="000C15E5"/>
    <w:rsid w:val="000C1880"/>
    <w:rsid w:val="000C291A"/>
    <w:rsid w:val="000C29D8"/>
    <w:rsid w:val="000C2F16"/>
    <w:rsid w:val="000C30D9"/>
    <w:rsid w:val="000C3365"/>
    <w:rsid w:val="000C36F2"/>
    <w:rsid w:val="000C379A"/>
    <w:rsid w:val="000C3807"/>
    <w:rsid w:val="000C3D76"/>
    <w:rsid w:val="000C3ED5"/>
    <w:rsid w:val="000C3F6E"/>
    <w:rsid w:val="000C4271"/>
    <w:rsid w:val="000C467D"/>
    <w:rsid w:val="000C48BD"/>
    <w:rsid w:val="000C50CD"/>
    <w:rsid w:val="000C52F2"/>
    <w:rsid w:val="000C52FB"/>
    <w:rsid w:val="000C5E10"/>
    <w:rsid w:val="000C5E54"/>
    <w:rsid w:val="000C6BAB"/>
    <w:rsid w:val="000C7682"/>
    <w:rsid w:val="000C76B5"/>
    <w:rsid w:val="000C7E13"/>
    <w:rsid w:val="000D0202"/>
    <w:rsid w:val="000D13F1"/>
    <w:rsid w:val="000D1585"/>
    <w:rsid w:val="000D1D9A"/>
    <w:rsid w:val="000D1F90"/>
    <w:rsid w:val="000D25AF"/>
    <w:rsid w:val="000D2930"/>
    <w:rsid w:val="000D354F"/>
    <w:rsid w:val="000D3623"/>
    <w:rsid w:val="000D3736"/>
    <w:rsid w:val="000D3FC6"/>
    <w:rsid w:val="000D4277"/>
    <w:rsid w:val="000D5297"/>
    <w:rsid w:val="000D57C6"/>
    <w:rsid w:val="000D5971"/>
    <w:rsid w:val="000D6113"/>
    <w:rsid w:val="000D6400"/>
    <w:rsid w:val="000D6907"/>
    <w:rsid w:val="000D6980"/>
    <w:rsid w:val="000D6F0F"/>
    <w:rsid w:val="000D6F94"/>
    <w:rsid w:val="000D7ACC"/>
    <w:rsid w:val="000D7B58"/>
    <w:rsid w:val="000D7B8B"/>
    <w:rsid w:val="000D7D65"/>
    <w:rsid w:val="000D7F7C"/>
    <w:rsid w:val="000E05BC"/>
    <w:rsid w:val="000E1618"/>
    <w:rsid w:val="000E1C51"/>
    <w:rsid w:val="000E21D3"/>
    <w:rsid w:val="000E2711"/>
    <w:rsid w:val="000E29D8"/>
    <w:rsid w:val="000E2B65"/>
    <w:rsid w:val="000E3E08"/>
    <w:rsid w:val="000E41EC"/>
    <w:rsid w:val="000E485F"/>
    <w:rsid w:val="000E4CB6"/>
    <w:rsid w:val="000E4E59"/>
    <w:rsid w:val="000E4FE5"/>
    <w:rsid w:val="000E5A13"/>
    <w:rsid w:val="000E631F"/>
    <w:rsid w:val="000E6811"/>
    <w:rsid w:val="000E698E"/>
    <w:rsid w:val="000E7503"/>
    <w:rsid w:val="000E7614"/>
    <w:rsid w:val="000E76A1"/>
    <w:rsid w:val="000E7917"/>
    <w:rsid w:val="000E7C55"/>
    <w:rsid w:val="000E7D34"/>
    <w:rsid w:val="000E7EFA"/>
    <w:rsid w:val="000F0F00"/>
    <w:rsid w:val="000F0F24"/>
    <w:rsid w:val="000F101D"/>
    <w:rsid w:val="000F129A"/>
    <w:rsid w:val="000F1BCA"/>
    <w:rsid w:val="000F2BD2"/>
    <w:rsid w:val="000F2C69"/>
    <w:rsid w:val="000F3768"/>
    <w:rsid w:val="000F3899"/>
    <w:rsid w:val="000F4582"/>
    <w:rsid w:val="000F476D"/>
    <w:rsid w:val="000F605C"/>
    <w:rsid w:val="000F6A4A"/>
    <w:rsid w:val="000F6E2A"/>
    <w:rsid w:val="000F6E40"/>
    <w:rsid w:val="000F765F"/>
    <w:rsid w:val="000F76C6"/>
    <w:rsid w:val="000F7A90"/>
    <w:rsid w:val="000F7C56"/>
    <w:rsid w:val="00100069"/>
    <w:rsid w:val="00100944"/>
    <w:rsid w:val="00100AF5"/>
    <w:rsid w:val="0010121C"/>
    <w:rsid w:val="00101EAA"/>
    <w:rsid w:val="00102385"/>
    <w:rsid w:val="00103353"/>
    <w:rsid w:val="001035EB"/>
    <w:rsid w:val="001036A2"/>
    <w:rsid w:val="0010414A"/>
    <w:rsid w:val="001043ED"/>
    <w:rsid w:val="0010454D"/>
    <w:rsid w:val="00104865"/>
    <w:rsid w:val="00104A16"/>
    <w:rsid w:val="00105259"/>
    <w:rsid w:val="00105452"/>
    <w:rsid w:val="0010548F"/>
    <w:rsid w:val="00105497"/>
    <w:rsid w:val="001056ED"/>
    <w:rsid w:val="001063C7"/>
    <w:rsid w:val="00106B8D"/>
    <w:rsid w:val="00106FC0"/>
    <w:rsid w:val="00107113"/>
    <w:rsid w:val="0010714B"/>
    <w:rsid w:val="00107751"/>
    <w:rsid w:val="00107A4F"/>
    <w:rsid w:val="0011075B"/>
    <w:rsid w:val="00110B8D"/>
    <w:rsid w:val="00111FE3"/>
    <w:rsid w:val="0011249B"/>
    <w:rsid w:val="0011266E"/>
    <w:rsid w:val="00113142"/>
    <w:rsid w:val="001134AF"/>
    <w:rsid w:val="00113928"/>
    <w:rsid w:val="00114033"/>
    <w:rsid w:val="00114209"/>
    <w:rsid w:val="00114C6B"/>
    <w:rsid w:val="00114C7E"/>
    <w:rsid w:val="00115490"/>
    <w:rsid w:val="001155EE"/>
    <w:rsid w:val="00115709"/>
    <w:rsid w:val="00115798"/>
    <w:rsid w:val="00116A90"/>
    <w:rsid w:val="00116B4A"/>
    <w:rsid w:val="0011730B"/>
    <w:rsid w:val="001174BE"/>
    <w:rsid w:val="001178E8"/>
    <w:rsid w:val="001201BB"/>
    <w:rsid w:val="0012067C"/>
    <w:rsid w:val="00120AF1"/>
    <w:rsid w:val="00120AF9"/>
    <w:rsid w:val="00120BC3"/>
    <w:rsid w:val="00120BD7"/>
    <w:rsid w:val="00121C07"/>
    <w:rsid w:val="00122001"/>
    <w:rsid w:val="00122298"/>
    <w:rsid w:val="001222E9"/>
    <w:rsid w:val="0012265F"/>
    <w:rsid w:val="00122813"/>
    <w:rsid w:val="001247F6"/>
    <w:rsid w:val="00124CD0"/>
    <w:rsid w:val="00124D01"/>
    <w:rsid w:val="00124D81"/>
    <w:rsid w:val="00124DEE"/>
    <w:rsid w:val="0012515E"/>
    <w:rsid w:val="00125A1B"/>
    <w:rsid w:val="00126059"/>
    <w:rsid w:val="0012616E"/>
    <w:rsid w:val="001264CB"/>
    <w:rsid w:val="0012690A"/>
    <w:rsid w:val="00126B15"/>
    <w:rsid w:val="00127635"/>
    <w:rsid w:val="00127B2D"/>
    <w:rsid w:val="00127BB0"/>
    <w:rsid w:val="00127C34"/>
    <w:rsid w:val="00127C36"/>
    <w:rsid w:val="00130421"/>
    <w:rsid w:val="001305AD"/>
    <w:rsid w:val="00130A54"/>
    <w:rsid w:val="00131257"/>
    <w:rsid w:val="00131839"/>
    <w:rsid w:val="001322B6"/>
    <w:rsid w:val="00132700"/>
    <w:rsid w:val="00132AE5"/>
    <w:rsid w:val="00132DD9"/>
    <w:rsid w:val="00132F46"/>
    <w:rsid w:val="00133181"/>
    <w:rsid w:val="001334EE"/>
    <w:rsid w:val="00133879"/>
    <w:rsid w:val="0013390F"/>
    <w:rsid w:val="00133C95"/>
    <w:rsid w:val="00134611"/>
    <w:rsid w:val="001348AD"/>
    <w:rsid w:val="00134ACB"/>
    <w:rsid w:val="0013515A"/>
    <w:rsid w:val="0013554E"/>
    <w:rsid w:val="00135CDC"/>
    <w:rsid w:val="00135E71"/>
    <w:rsid w:val="00136243"/>
    <w:rsid w:val="00136F4D"/>
    <w:rsid w:val="00137652"/>
    <w:rsid w:val="001379C2"/>
    <w:rsid w:val="00137CAD"/>
    <w:rsid w:val="00137D8F"/>
    <w:rsid w:val="001404C2"/>
    <w:rsid w:val="00140CD2"/>
    <w:rsid w:val="00141592"/>
    <w:rsid w:val="0014289F"/>
    <w:rsid w:val="0014338E"/>
    <w:rsid w:val="001437B0"/>
    <w:rsid w:val="00143BBC"/>
    <w:rsid w:val="00144480"/>
    <w:rsid w:val="00144B79"/>
    <w:rsid w:val="00145A0E"/>
    <w:rsid w:val="00145C07"/>
    <w:rsid w:val="00145EE4"/>
    <w:rsid w:val="00145F4D"/>
    <w:rsid w:val="00146C7E"/>
    <w:rsid w:val="001472F8"/>
    <w:rsid w:val="0014749F"/>
    <w:rsid w:val="00147EEB"/>
    <w:rsid w:val="0015075E"/>
    <w:rsid w:val="00150C13"/>
    <w:rsid w:val="00151281"/>
    <w:rsid w:val="00151B07"/>
    <w:rsid w:val="00151FA7"/>
    <w:rsid w:val="001522F1"/>
    <w:rsid w:val="001525A5"/>
    <w:rsid w:val="001525CA"/>
    <w:rsid w:val="001529A7"/>
    <w:rsid w:val="00153A6D"/>
    <w:rsid w:val="00153DC3"/>
    <w:rsid w:val="00153DC7"/>
    <w:rsid w:val="001545FC"/>
    <w:rsid w:val="001547A3"/>
    <w:rsid w:val="00154A61"/>
    <w:rsid w:val="00154B92"/>
    <w:rsid w:val="00155095"/>
    <w:rsid w:val="00155EBB"/>
    <w:rsid w:val="0015633D"/>
    <w:rsid w:val="001563BE"/>
    <w:rsid w:val="001563CC"/>
    <w:rsid w:val="001565C3"/>
    <w:rsid w:val="00156B63"/>
    <w:rsid w:val="00156B7B"/>
    <w:rsid w:val="00156C44"/>
    <w:rsid w:val="00156CEC"/>
    <w:rsid w:val="00157569"/>
    <w:rsid w:val="00157DEC"/>
    <w:rsid w:val="00157E9B"/>
    <w:rsid w:val="001600E5"/>
    <w:rsid w:val="00160B88"/>
    <w:rsid w:val="00160D0F"/>
    <w:rsid w:val="00161678"/>
    <w:rsid w:val="00162421"/>
    <w:rsid w:val="0016271E"/>
    <w:rsid w:val="00162BD9"/>
    <w:rsid w:val="00162E2E"/>
    <w:rsid w:val="001630F0"/>
    <w:rsid w:val="0016342D"/>
    <w:rsid w:val="001634DC"/>
    <w:rsid w:val="0016363C"/>
    <w:rsid w:val="00163F02"/>
    <w:rsid w:val="001640A8"/>
    <w:rsid w:val="001640AC"/>
    <w:rsid w:val="0016504E"/>
    <w:rsid w:val="00165D57"/>
    <w:rsid w:val="0016605D"/>
    <w:rsid w:val="00166479"/>
    <w:rsid w:val="001666F0"/>
    <w:rsid w:val="00167CD8"/>
    <w:rsid w:val="00171065"/>
    <w:rsid w:val="001712FF"/>
    <w:rsid w:val="00171484"/>
    <w:rsid w:val="00171694"/>
    <w:rsid w:val="00171B90"/>
    <w:rsid w:val="00171D37"/>
    <w:rsid w:val="00172514"/>
    <w:rsid w:val="001726B1"/>
    <w:rsid w:val="00172D78"/>
    <w:rsid w:val="001732B6"/>
    <w:rsid w:val="00173482"/>
    <w:rsid w:val="001735DE"/>
    <w:rsid w:val="001736E1"/>
    <w:rsid w:val="00173BFF"/>
    <w:rsid w:val="00173DF2"/>
    <w:rsid w:val="00173E34"/>
    <w:rsid w:val="001741F2"/>
    <w:rsid w:val="00174719"/>
    <w:rsid w:val="00175540"/>
    <w:rsid w:val="00175B80"/>
    <w:rsid w:val="0017603A"/>
    <w:rsid w:val="00176051"/>
    <w:rsid w:val="00176B63"/>
    <w:rsid w:val="00176C25"/>
    <w:rsid w:val="00176CC0"/>
    <w:rsid w:val="00176F41"/>
    <w:rsid w:val="00177956"/>
    <w:rsid w:val="00177C97"/>
    <w:rsid w:val="00177EC0"/>
    <w:rsid w:val="00180277"/>
    <w:rsid w:val="001818AB"/>
    <w:rsid w:val="00181EFF"/>
    <w:rsid w:val="0018221C"/>
    <w:rsid w:val="0018259A"/>
    <w:rsid w:val="001828C4"/>
    <w:rsid w:val="00182DF5"/>
    <w:rsid w:val="00183006"/>
    <w:rsid w:val="00183325"/>
    <w:rsid w:val="001835A9"/>
    <w:rsid w:val="001839FB"/>
    <w:rsid w:val="00185BC2"/>
    <w:rsid w:val="00185D73"/>
    <w:rsid w:val="0018601D"/>
    <w:rsid w:val="00186D74"/>
    <w:rsid w:val="001873B4"/>
    <w:rsid w:val="00187BC3"/>
    <w:rsid w:val="00190068"/>
    <w:rsid w:val="00190FF5"/>
    <w:rsid w:val="00191FD1"/>
    <w:rsid w:val="00193188"/>
    <w:rsid w:val="00193D92"/>
    <w:rsid w:val="00194390"/>
    <w:rsid w:val="00194927"/>
    <w:rsid w:val="00195392"/>
    <w:rsid w:val="0019592D"/>
    <w:rsid w:val="00196310"/>
    <w:rsid w:val="001969FA"/>
    <w:rsid w:val="00196CF2"/>
    <w:rsid w:val="00196FED"/>
    <w:rsid w:val="001A0449"/>
    <w:rsid w:val="001A1A9C"/>
    <w:rsid w:val="001A1B4C"/>
    <w:rsid w:val="001A1BE0"/>
    <w:rsid w:val="001A309F"/>
    <w:rsid w:val="001A3C55"/>
    <w:rsid w:val="001A3E80"/>
    <w:rsid w:val="001A4339"/>
    <w:rsid w:val="001A447C"/>
    <w:rsid w:val="001A4A63"/>
    <w:rsid w:val="001A4DC4"/>
    <w:rsid w:val="001A4FEF"/>
    <w:rsid w:val="001A614A"/>
    <w:rsid w:val="001A68AB"/>
    <w:rsid w:val="001A7093"/>
    <w:rsid w:val="001A711D"/>
    <w:rsid w:val="001A7936"/>
    <w:rsid w:val="001B081E"/>
    <w:rsid w:val="001B0903"/>
    <w:rsid w:val="001B110A"/>
    <w:rsid w:val="001B12AF"/>
    <w:rsid w:val="001B1827"/>
    <w:rsid w:val="001B191E"/>
    <w:rsid w:val="001B1A97"/>
    <w:rsid w:val="001B1D9A"/>
    <w:rsid w:val="001B2FF8"/>
    <w:rsid w:val="001B32E2"/>
    <w:rsid w:val="001B355E"/>
    <w:rsid w:val="001B3E09"/>
    <w:rsid w:val="001B401E"/>
    <w:rsid w:val="001B40CB"/>
    <w:rsid w:val="001B42E2"/>
    <w:rsid w:val="001B430A"/>
    <w:rsid w:val="001B4329"/>
    <w:rsid w:val="001B4542"/>
    <w:rsid w:val="001B4E03"/>
    <w:rsid w:val="001B506B"/>
    <w:rsid w:val="001B50DF"/>
    <w:rsid w:val="001B6D9B"/>
    <w:rsid w:val="001B6F64"/>
    <w:rsid w:val="001C006D"/>
    <w:rsid w:val="001C0375"/>
    <w:rsid w:val="001C07A5"/>
    <w:rsid w:val="001C0E3D"/>
    <w:rsid w:val="001C1435"/>
    <w:rsid w:val="001C1CF4"/>
    <w:rsid w:val="001C1EDB"/>
    <w:rsid w:val="001C2196"/>
    <w:rsid w:val="001C2B14"/>
    <w:rsid w:val="001C2D08"/>
    <w:rsid w:val="001C2DE1"/>
    <w:rsid w:val="001C2DFD"/>
    <w:rsid w:val="001C2F4A"/>
    <w:rsid w:val="001C2FA8"/>
    <w:rsid w:val="001C3920"/>
    <w:rsid w:val="001C393F"/>
    <w:rsid w:val="001C42B6"/>
    <w:rsid w:val="001C4BE1"/>
    <w:rsid w:val="001C51D8"/>
    <w:rsid w:val="001C58AD"/>
    <w:rsid w:val="001C5963"/>
    <w:rsid w:val="001C5E9E"/>
    <w:rsid w:val="001C6199"/>
    <w:rsid w:val="001C6705"/>
    <w:rsid w:val="001C6D03"/>
    <w:rsid w:val="001C7200"/>
    <w:rsid w:val="001C74AC"/>
    <w:rsid w:val="001D0374"/>
    <w:rsid w:val="001D0712"/>
    <w:rsid w:val="001D07F7"/>
    <w:rsid w:val="001D08BB"/>
    <w:rsid w:val="001D0B13"/>
    <w:rsid w:val="001D0C90"/>
    <w:rsid w:val="001D0F1F"/>
    <w:rsid w:val="001D18E1"/>
    <w:rsid w:val="001D2986"/>
    <w:rsid w:val="001D31CC"/>
    <w:rsid w:val="001D342E"/>
    <w:rsid w:val="001D34E6"/>
    <w:rsid w:val="001D3CEC"/>
    <w:rsid w:val="001D3F51"/>
    <w:rsid w:val="001D479B"/>
    <w:rsid w:val="001D4D7B"/>
    <w:rsid w:val="001D55C1"/>
    <w:rsid w:val="001D57E1"/>
    <w:rsid w:val="001D67FA"/>
    <w:rsid w:val="001D6B6A"/>
    <w:rsid w:val="001D6DD2"/>
    <w:rsid w:val="001D7A90"/>
    <w:rsid w:val="001E0012"/>
    <w:rsid w:val="001E04AA"/>
    <w:rsid w:val="001E05D5"/>
    <w:rsid w:val="001E1405"/>
    <w:rsid w:val="001E1FE8"/>
    <w:rsid w:val="001E2204"/>
    <w:rsid w:val="001E2469"/>
    <w:rsid w:val="001E2E19"/>
    <w:rsid w:val="001E3168"/>
    <w:rsid w:val="001E3430"/>
    <w:rsid w:val="001E37B2"/>
    <w:rsid w:val="001E3B10"/>
    <w:rsid w:val="001E3E88"/>
    <w:rsid w:val="001E457D"/>
    <w:rsid w:val="001E46D8"/>
    <w:rsid w:val="001E4A5F"/>
    <w:rsid w:val="001E5C77"/>
    <w:rsid w:val="001E5D17"/>
    <w:rsid w:val="001E6122"/>
    <w:rsid w:val="001E7076"/>
    <w:rsid w:val="001E728E"/>
    <w:rsid w:val="001E75BA"/>
    <w:rsid w:val="001E7BE4"/>
    <w:rsid w:val="001F0B5C"/>
    <w:rsid w:val="001F0ECC"/>
    <w:rsid w:val="001F1343"/>
    <w:rsid w:val="001F14FD"/>
    <w:rsid w:val="001F1B91"/>
    <w:rsid w:val="001F1F6F"/>
    <w:rsid w:val="001F2B62"/>
    <w:rsid w:val="001F2E6F"/>
    <w:rsid w:val="001F3315"/>
    <w:rsid w:val="001F3482"/>
    <w:rsid w:val="001F38DF"/>
    <w:rsid w:val="001F3A25"/>
    <w:rsid w:val="001F4836"/>
    <w:rsid w:val="001F4B9B"/>
    <w:rsid w:val="001F4E0B"/>
    <w:rsid w:val="001F4F2A"/>
    <w:rsid w:val="001F5D94"/>
    <w:rsid w:val="001F632E"/>
    <w:rsid w:val="001F67D5"/>
    <w:rsid w:val="001F6DCA"/>
    <w:rsid w:val="001F6EFC"/>
    <w:rsid w:val="001F6F8A"/>
    <w:rsid w:val="001F760B"/>
    <w:rsid w:val="00200AB3"/>
    <w:rsid w:val="00200C0E"/>
    <w:rsid w:val="00200D02"/>
    <w:rsid w:val="002021D7"/>
    <w:rsid w:val="00202523"/>
    <w:rsid w:val="00202CF1"/>
    <w:rsid w:val="00202CFF"/>
    <w:rsid w:val="00203BF4"/>
    <w:rsid w:val="00203E48"/>
    <w:rsid w:val="002042CD"/>
    <w:rsid w:val="00204307"/>
    <w:rsid w:val="00204366"/>
    <w:rsid w:val="002048C2"/>
    <w:rsid w:val="00204EAF"/>
    <w:rsid w:val="00204EC8"/>
    <w:rsid w:val="00204F0A"/>
    <w:rsid w:val="0020543C"/>
    <w:rsid w:val="00205A6A"/>
    <w:rsid w:val="002063A8"/>
    <w:rsid w:val="00206591"/>
    <w:rsid w:val="00206659"/>
    <w:rsid w:val="00206BAE"/>
    <w:rsid w:val="00207097"/>
    <w:rsid w:val="002076B5"/>
    <w:rsid w:val="002078F3"/>
    <w:rsid w:val="0021027B"/>
    <w:rsid w:val="002103EF"/>
    <w:rsid w:val="00213134"/>
    <w:rsid w:val="00213925"/>
    <w:rsid w:val="002139B6"/>
    <w:rsid w:val="00213B90"/>
    <w:rsid w:val="0021541E"/>
    <w:rsid w:val="00216D2A"/>
    <w:rsid w:val="00217187"/>
    <w:rsid w:val="0022010C"/>
    <w:rsid w:val="00220131"/>
    <w:rsid w:val="00220549"/>
    <w:rsid w:val="00220739"/>
    <w:rsid w:val="002207AB"/>
    <w:rsid w:val="00220DF6"/>
    <w:rsid w:val="00221087"/>
    <w:rsid w:val="0022116C"/>
    <w:rsid w:val="0022170D"/>
    <w:rsid w:val="00222462"/>
    <w:rsid w:val="0022299E"/>
    <w:rsid w:val="00223B71"/>
    <w:rsid w:val="00223D57"/>
    <w:rsid w:val="00223DAD"/>
    <w:rsid w:val="0022444A"/>
    <w:rsid w:val="0022525E"/>
    <w:rsid w:val="00225611"/>
    <w:rsid w:val="0022597E"/>
    <w:rsid w:val="00226111"/>
    <w:rsid w:val="00226BDC"/>
    <w:rsid w:val="00227F0A"/>
    <w:rsid w:val="0023043F"/>
    <w:rsid w:val="0023061A"/>
    <w:rsid w:val="00230C49"/>
    <w:rsid w:val="00231293"/>
    <w:rsid w:val="002313AF"/>
    <w:rsid w:val="002315AE"/>
    <w:rsid w:val="00231716"/>
    <w:rsid w:val="00232927"/>
    <w:rsid w:val="00232AD6"/>
    <w:rsid w:val="0023322D"/>
    <w:rsid w:val="00233328"/>
    <w:rsid w:val="002333F3"/>
    <w:rsid w:val="0023373D"/>
    <w:rsid w:val="0023442A"/>
    <w:rsid w:val="0023494C"/>
    <w:rsid w:val="00234B63"/>
    <w:rsid w:val="00234CDC"/>
    <w:rsid w:val="00235903"/>
    <w:rsid w:val="00235E22"/>
    <w:rsid w:val="00236272"/>
    <w:rsid w:val="0023650B"/>
    <w:rsid w:val="00236DF3"/>
    <w:rsid w:val="00237269"/>
    <w:rsid w:val="002378E6"/>
    <w:rsid w:val="00237FD4"/>
    <w:rsid w:val="00240FBB"/>
    <w:rsid w:val="00241064"/>
    <w:rsid w:val="00241484"/>
    <w:rsid w:val="002419BA"/>
    <w:rsid w:val="0024272F"/>
    <w:rsid w:val="00242C76"/>
    <w:rsid w:val="00242CBE"/>
    <w:rsid w:val="0024389A"/>
    <w:rsid w:val="00243C7A"/>
    <w:rsid w:val="00243DBD"/>
    <w:rsid w:val="00243E0E"/>
    <w:rsid w:val="00244218"/>
    <w:rsid w:val="00244367"/>
    <w:rsid w:val="002443AA"/>
    <w:rsid w:val="002444AA"/>
    <w:rsid w:val="00244652"/>
    <w:rsid w:val="00244809"/>
    <w:rsid w:val="00244825"/>
    <w:rsid w:val="00244890"/>
    <w:rsid w:val="00244AAF"/>
    <w:rsid w:val="00244F63"/>
    <w:rsid w:val="0024586A"/>
    <w:rsid w:val="00245D6E"/>
    <w:rsid w:val="002462D7"/>
    <w:rsid w:val="002465D0"/>
    <w:rsid w:val="00247069"/>
    <w:rsid w:val="00247F25"/>
    <w:rsid w:val="00250801"/>
    <w:rsid w:val="00250998"/>
    <w:rsid w:val="00250D0A"/>
    <w:rsid w:val="0025220D"/>
    <w:rsid w:val="00252581"/>
    <w:rsid w:val="00252C3C"/>
    <w:rsid w:val="00252D80"/>
    <w:rsid w:val="00253159"/>
    <w:rsid w:val="002538D1"/>
    <w:rsid w:val="0025503A"/>
    <w:rsid w:val="00255615"/>
    <w:rsid w:val="002558CC"/>
    <w:rsid w:val="00256291"/>
    <w:rsid w:val="00256534"/>
    <w:rsid w:val="00256601"/>
    <w:rsid w:val="002569F2"/>
    <w:rsid w:val="00256B7B"/>
    <w:rsid w:val="00257243"/>
    <w:rsid w:val="002572FD"/>
    <w:rsid w:val="00257435"/>
    <w:rsid w:val="00257470"/>
    <w:rsid w:val="002577A6"/>
    <w:rsid w:val="00260132"/>
    <w:rsid w:val="002601A1"/>
    <w:rsid w:val="002603C8"/>
    <w:rsid w:val="00260557"/>
    <w:rsid w:val="002605EB"/>
    <w:rsid w:val="00260D9F"/>
    <w:rsid w:val="0026130B"/>
    <w:rsid w:val="00261B05"/>
    <w:rsid w:val="002629E3"/>
    <w:rsid w:val="00262AA7"/>
    <w:rsid w:val="00262B92"/>
    <w:rsid w:val="00262DFD"/>
    <w:rsid w:val="00262F1D"/>
    <w:rsid w:val="00263AD6"/>
    <w:rsid w:val="00263C9E"/>
    <w:rsid w:val="00263D87"/>
    <w:rsid w:val="00263F12"/>
    <w:rsid w:val="002640A8"/>
    <w:rsid w:val="00264343"/>
    <w:rsid w:val="0026439C"/>
    <w:rsid w:val="00264D30"/>
    <w:rsid w:val="00264E4B"/>
    <w:rsid w:val="00265CC9"/>
    <w:rsid w:val="002667BA"/>
    <w:rsid w:val="00266E07"/>
    <w:rsid w:val="00267342"/>
    <w:rsid w:val="00267435"/>
    <w:rsid w:val="00267509"/>
    <w:rsid w:val="0026763A"/>
    <w:rsid w:val="00267D1B"/>
    <w:rsid w:val="00270BDF"/>
    <w:rsid w:val="00271092"/>
    <w:rsid w:val="0027114B"/>
    <w:rsid w:val="00271633"/>
    <w:rsid w:val="00271922"/>
    <w:rsid w:val="00271ED8"/>
    <w:rsid w:val="00272739"/>
    <w:rsid w:val="002729D6"/>
    <w:rsid w:val="00272BD9"/>
    <w:rsid w:val="00272D15"/>
    <w:rsid w:val="00272E07"/>
    <w:rsid w:val="00273FAF"/>
    <w:rsid w:val="0027408D"/>
    <w:rsid w:val="002743C5"/>
    <w:rsid w:val="00275817"/>
    <w:rsid w:val="0027662C"/>
    <w:rsid w:val="002769D6"/>
    <w:rsid w:val="00276B45"/>
    <w:rsid w:val="00277402"/>
    <w:rsid w:val="00277821"/>
    <w:rsid w:val="002779FE"/>
    <w:rsid w:val="00280244"/>
    <w:rsid w:val="002803E2"/>
    <w:rsid w:val="0028091A"/>
    <w:rsid w:val="00280992"/>
    <w:rsid w:val="00281A57"/>
    <w:rsid w:val="00281CA6"/>
    <w:rsid w:val="0028280E"/>
    <w:rsid w:val="00282B8C"/>
    <w:rsid w:val="002832B8"/>
    <w:rsid w:val="00283507"/>
    <w:rsid w:val="00283933"/>
    <w:rsid w:val="00283C27"/>
    <w:rsid w:val="002845B4"/>
    <w:rsid w:val="00284880"/>
    <w:rsid w:val="0028501B"/>
    <w:rsid w:val="0028585A"/>
    <w:rsid w:val="00285C4C"/>
    <w:rsid w:val="00285C8D"/>
    <w:rsid w:val="00286104"/>
    <w:rsid w:val="002864D6"/>
    <w:rsid w:val="0028696C"/>
    <w:rsid w:val="00286F23"/>
    <w:rsid w:val="0028778B"/>
    <w:rsid w:val="002907E8"/>
    <w:rsid w:val="002908CB"/>
    <w:rsid w:val="00290B88"/>
    <w:rsid w:val="00290D9E"/>
    <w:rsid w:val="0029139F"/>
    <w:rsid w:val="00291911"/>
    <w:rsid w:val="00292008"/>
    <w:rsid w:val="0029229A"/>
    <w:rsid w:val="0029288F"/>
    <w:rsid w:val="002929DF"/>
    <w:rsid w:val="00293C15"/>
    <w:rsid w:val="00293D4A"/>
    <w:rsid w:val="00293ED6"/>
    <w:rsid w:val="00294367"/>
    <w:rsid w:val="00294B02"/>
    <w:rsid w:val="002950AB"/>
    <w:rsid w:val="002958ED"/>
    <w:rsid w:val="00295A86"/>
    <w:rsid w:val="00295A9E"/>
    <w:rsid w:val="00295B5B"/>
    <w:rsid w:val="00295C9F"/>
    <w:rsid w:val="00295CD7"/>
    <w:rsid w:val="00296898"/>
    <w:rsid w:val="00296C29"/>
    <w:rsid w:val="002A1027"/>
    <w:rsid w:val="002A1315"/>
    <w:rsid w:val="002A2203"/>
    <w:rsid w:val="002A281B"/>
    <w:rsid w:val="002A297C"/>
    <w:rsid w:val="002A2ECE"/>
    <w:rsid w:val="002A30E4"/>
    <w:rsid w:val="002A414D"/>
    <w:rsid w:val="002A4202"/>
    <w:rsid w:val="002A570C"/>
    <w:rsid w:val="002A5A7C"/>
    <w:rsid w:val="002A5E39"/>
    <w:rsid w:val="002A5F14"/>
    <w:rsid w:val="002A636A"/>
    <w:rsid w:val="002A688F"/>
    <w:rsid w:val="002A6C31"/>
    <w:rsid w:val="002A6CDA"/>
    <w:rsid w:val="002A6D16"/>
    <w:rsid w:val="002A6E43"/>
    <w:rsid w:val="002A7103"/>
    <w:rsid w:val="002A7770"/>
    <w:rsid w:val="002A7B89"/>
    <w:rsid w:val="002B00AB"/>
    <w:rsid w:val="002B013E"/>
    <w:rsid w:val="002B0505"/>
    <w:rsid w:val="002B0C22"/>
    <w:rsid w:val="002B10D9"/>
    <w:rsid w:val="002B1565"/>
    <w:rsid w:val="002B196E"/>
    <w:rsid w:val="002B216C"/>
    <w:rsid w:val="002B2748"/>
    <w:rsid w:val="002B2A9A"/>
    <w:rsid w:val="002B2C1F"/>
    <w:rsid w:val="002B336E"/>
    <w:rsid w:val="002B396D"/>
    <w:rsid w:val="002B4CFA"/>
    <w:rsid w:val="002B5142"/>
    <w:rsid w:val="002B59B8"/>
    <w:rsid w:val="002B6019"/>
    <w:rsid w:val="002B6922"/>
    <w:rsid w:val="002B6CD7"/>
    <w:rsid w:val="002B7263"/>
    <w:rsid w:val="002B7742"/>
    <w:rsid w:val="002B7A91"/>
    <w:rsid w:val="002B7E07"/>
    <w:rsid w:val="002C02CC"/>
    <w:rsid w:val="002C09B2"/>
    <w:rsid w:val="002C1D8F"/>
    <w:rsid w:val="002C2121"/>
    <w:rsid w:val="002C25CA"/>
    <w:rsid w:val="002C268F"/>
    <w:rsid w:val="002C2950"/>
    <w:rsid w:val="002C318B"/>
    <w:rsid w:val="002C336D"/>
    <w:rsid w:val="002C3B5F"/>
    <w:rsid w:val="002C3E10"/>
    <w:rsid w:val="002C3F0E"/>
    <w:rsid w:val="002C3FB3"/>
    <w:rsid w:val="002C44D1"/>
    <w:rsid w:val="002C46B4"/>
    <w:rsid w:val="002C4B20"/>
    <w:rsid w:val="002C55C1"/>
    <w:rsid w:val="002C5766"/>
    <w:rsid w:val="002C5795"/>
    <w:rsid w:val="002C57A1"/>
    <w:rsid w:val="002C5A26"/>
    <w:rsid w:val="002C5DCC"/>
    <w:rsid w:val="002C62E9"/>
    <w:rsid w:val="002C6301"/>
    <w:rsid w:val="002C6663"/>
    <w:rsid w:val="002C6CA0"/>
    <w:rsid w:val="002C71B8"/>
    <w:rsid w:val="002C7571"/>
    <w:rsid w:val="002C784A"/>
    <w:rsid w:val="002D022C"/>
    <w:rsid w:val="002D0A0D"/>
    <w:rsid w:val="002D1138"/>
    <w:rsid w:val="002D115E"/>
    <w:rsid w:val="002D194F"/>
    <w:rsid w:val="002D1ABE"/>
    <w:rsid w:val="002D1FE3"/>
    <w:rsid w:val="002D21E5"/>
    <w:rsid w:val="002D23D5"/>
    <w:rsid w:val="002D271E"/>
    <w:rsid w:val="002D2CDD"/>
    <w:rsid w:val="002D2D8B"/>
    <w:rsid w:val="002D31D1"/>
    <w:rsid w:val="002D33BF"/>
    <w:rsid w:val="002D3BD2"/>
    <w:rsid w:val="002D417C"/>
    <w:rsid w:val="002D4933"/>
    <w:rsid w:val="002D49EF"/>
    <w:rsid w:val="002D54B6"/>
    <w:rsid w:val="002D5F62"/>
    <w:rsid w:val="002D643D"/>
    <w:rsid w:val="002E07D6"/>
    <w:rsid w:val="002E0B77"/>
    <w:rsid w:val="002E0EAB"/>
    <w:rsid w:val="002E164D"/>
    <w:rsid w:val="002E16E5"/>
    <w:rsid w:val="002E16FB"/>
    <w:rsid w:val="002E1766"/>
    <w:rsid w:val="002E2A2C"/>
    <w:rsid w:val="002E379A"/>
    <w:rsid w:val="002E38E3"/>
    <w:rsid w:val="002E4400"/>
    <w:rsid w:val="002E4A33"/>
    <w:rsid w:val="002E52B0"/>
    <w:rsid w:val="002E5B97"/>
    <w:rsid w:val="002E5BCA"/>
    <w:rsid w:val="002E62F1"/>
    <w:rsid w:val="002E7184"/>
    <w:rsid w:val="002E7900"/>
    <w:rsid w:val="002E7F2B"/>
    <w:rsid w:val="002E7F72"/>
    <w:rsid w:val="002F05C4"/>
    <w:rsid w:val="002F0BE2"/>
    <w:rsid w:val="002F0E31"/>
    <w:rsid w:val="002F15E0"/>
    <w:rsid w:val="002F25EC"/>
    <w:rsid w:val="002F2E3D"/>
    <w:rsid w:val="002F32E7"/>
    <w:rsid w:val="002F356F"/>
    <w:rsid w:val="002F395A"/>
    <w:rsid w:val="002F3B72"/>
    <w:rsid w:val="002F3DD8"/>
    <w:rsid w:val="002F44E9"/>
    <w:rsid w:val="002F4644"/>
    <w:rsid w:val="002F4EFD"/>
    <w:rsid w:val="002F50B8"/>
    <w:rsid w:val="002F5AAD"/>
    <w:rsid w:val="002F5BAF"/>
    <w:rsid w:val="002F5CEF"/>
    <w:rsid w:val="002F628D"/>
    <w:rsid w:val="002F63FB"/>
    <w:rsid w:val="002F64F6"/>
    <w:rsid w:val="002F6773"/>
    <w:rsid w:val="002F6A92"/>
    <w:rsid w:val="00300A3F"/>
    <w:rsid w:val="003010FB"/>
    <w:rsid w:val="00301364"/>
    <w:rsid w:val="003014AC"/>
    <w:rsid w:val="003017FB"/>
    <w:rsid w:val="00301BE0"/>
    <w:rsid w:val="003032D8"/>
    <w:rsid w:val="00303B25"/>
    <w:rsid w:val="00303F4A"/>
    <w:rsid w:val="00304CBB"/>
    <w:rsid w:val="0030605C"/>
    <w:rsid w:val="00306B9D"/>
    <w:rsid w:val="00306D78"/>
    <w:rsid w:val="00306E33"/>
    <w:rsid w:val="00310CC9"/>
    <w:rsid w:val="003111EE"/>
    <w:rsid w:val="00311556"/>
    <w:rsid w:val="003118AF"/>
    <w:rsid w:val="00311AA0"/>
    <w:rsid w:val="003121A0"/>
    <w:rsid w:val="00312A4F"/>
    <w:rsid w:val="00312A58"/>
    <w:rsid w:val="0031310C"/>
    <w:rsid w:val="00314191"/>
    <w:rsid w:val="00314300"/>
    <w:rsid w:val="00314AE4"/>
    <w:rsid w:val="0031507F"/>
    <w:rsid w:val="0031557D"/>
    <w:rsid w:val="00315AA2"/>
    <w:rsid w:val="00316030"/>
    <w:rsid w:val="00316A57"/>
    <w:rsid w:val="00316F85"/>
    <w:rsid w:val="0031735D"/>
    <w:rsid w:val="003173FC"/>
    <w:rsid w:val="003174FB"/>
    <w:rsid w:val="00317710"/>
    <w:rsid w:val="003204A1"/>
    <w:rsid w:val="00320A3E"/>
    <w:rsid w:val="003210B5"/>
    <w:rsid w:val="00321E42"/>
    <w:rsid w:val="00322AF4"/>
    <w:rsid w:val="0032376B"/>
    <w:rsid w:val="00323A39"/>
    <w:rsid w:val="00323CF1"/>
    <w:rsid w:val="00323F5F"/>
    <w:rsid w:val="0032434D"/>
    <w:rsid w:val="003243B5"/>
    <w:rsid w:val="003244DB"/>
    <w:rsid w:val="003249E4"/>
    <w:rsid w:val="003258E3"/>
    <w:rsid w:val="00326623"/>
    <w:rsid w:val="00326824"/>
    <w:rsid w:val="0032687F"/>
    <w:rsid w:val="00326B38"/>
    <w:rsid w:val="00326FCA"/>
    <w:rsid w:val="00327972"/>
    <w:rsid w:val="00327DAD"/>
    <w:rsid w:val="00331569"/>
    <w:rsid w:val="00331693"/>
    <w:rsid w:val="003316B0"/>
    <w:rsid w:val="0033179B"/>
    <w:rsid w:val="003323DB"/>
    <w:rsid w:val="003339D9"/>
    <w:rsid w:val="00334273"/>
    <w:rsid w:val="00334574"/>
    <w:rsid w:val="003345E8"/>
    <w:rsid w:val="003347C0"/>
    <w:rsid w:val="003348D8"/>
    <w:rsid w:val="00334B79"/>
    <w:rsid w:val="00334DEF"/>
    <w:rsid w:val="003359DF"/>
    <w:rsid w:val="00335D8A"/>
    <w:rsid w:val="003361ED"/>
    <w:rsid w:val="00336336"/>
    <w:rsid w:val="003365E3"/>
    <w:rsid w:val="00336F11"/>
    <w:rsid w:val="0033724B"/>
    <w:rsid w:val="00337546"/>
    <w:rsid w:val="00337638"/>
    <w:rsid w:val="00337B49"/>
    <w:rsid w:val="0034042D"/>
    <w:rsid w:val="00340FB5"/>
    <w:rsid w:val="00341745"/>
    <w:rsid w:val="0034184F"/>
    <w:rsid w:val="00341BE6"/>
    <w:rsid w:val="00341E22"/>
    <w:rsid w:val="00342146"/>
    <w:rsid w:val="0034236C"/>
    <w:rsid w:val="00342938"/>
    <w:rsid w:val="00342DB5"/>
    <w:rsid w:val="00343151"/>
    <w:rsid w:val="0034430A"/>
    <w:rsid w:val="003446D7"/>
    <w:rsid w:val="003449BA"/>
    <w:rsid w:val="00344A6C"/>
    <w:rsid w:val="0034539A"/>
    <w:rsid w:val="00345A64"/>
    <w:rsid w:val="00346358"/>
    <w:rsid w:val="003463CC"/>
    <w:rsid w:val="00346B56"/>
    <w:rsid w:val="00346F33"/>
    <w:rsid w:val="00347B61"/>
    <w:rsid w:val="00347E46"/>
    <w:rsid w:val="00350073"/>
    <w:rsid w:val="003501AB"/>
    <w:rsid w:val="00350C40"/>
    <w:rsid w:val="00350FBE"/>
    <w:rsid w:val="0035116A"/>
    <w:rsid w:val="00351A98"/>
    <w:rsid w:val="00351D4C"/>
    <w:rsid w:val="00352378"/>
    <w:rsid w:val="00352408"/>
    <w:rsid w:val="003525A9"/>
    <w:rsid w:val="0035268C"/>
    <w:rsid w:val="00353128"/>
    <w:rsid w:val="0035465E"/>
    <w:rsid w:val="00354790"/>
    <w:rsid w:val="00354CDC"/>
    <w:rsid w:val="00354E8B"/>
    <w:rsid w:val="003550E7"/>
    <w:rsid w:val="00355262"/>
    <w:rsid w:val="003553D7"/>
    <w:rsid w:val="003557D2"/>
    <w:rsid w:val="00355DAB"/>
    <w:rsid w:val="0035630C"/>
    <w:rsid w:val="00356BE4"/>
    <w:rsid w:val="0035706C"/>
    <w:rsid w:val="00360207"/>
    <w:rsid w:val="00360296"/>
    <w:rsid w:val="003605CF"/>
    <w:rsid w:val="00360732"/>
    <w:rsid w:val="00360B71"/>
    <w:rsid w:val="00361796"/>
    <w:rsid w:val="00361814"/>
    <w:rsid w:val="003627F1"/>
    <w:rsid w:val="0036288F"/>
    <w:rsid w:val="00363079"/>
    <w:rsid w:val="0036329C"/>
    <w:rsid w:val="00363BCF"/>
    <w:rsid w:val="00363F52"/>
    <w:rsid w:val="0036416B"/>
    <w:rsid w:val="0036439E"/>
    <w:rsid w:val="00364B01"/>
    <w:rsid w:val="00364C7E"/>
    <w:rsid w:val="00364CD1"/>
    <w:rsid w:val="003656A8"/>
    <w:rsid w:val="00365EB4"/>
    <w:rsid w:val="00366246"/>
    <w:rsid w:val="00366569"/>
    <w:rsid w:val="00366C79"/>
    <w:rsid w:val="003671BE"/>
    <w:rsid w:val="0036767B"/>
    <w:rsid w:val="0037024F"/>
    <w:rsid w:val="00370A87"/>
    <w:rsid w:val="003711BC"/>
    <w:rsid w:val="003717DF"/>
    <w:rsid w:val="00371955"/>
    <w:rsid w:val="003719E6"/>
    <w:rsid w:val="00371C99"/>
    <w:rsid w:val="00371FFD"/>
    <w:rsid w:val="00373371"/>
    <w:rsid w:val="00373477"/>
    <w:rsid w:val="003736E1"/>
    <w:rsid w:val="00374013"/>
    <w:rsid w:val="00374196"/>
    <w:rsid w:val="00374461"/>
    <w:rsid w:val="00374467"/>
    <w:rsid w:val="00374CE1"/>
    <w:rsid w:val="00374EDB"/>
    <w:rsid w:val="00375144"/>
    <w:rsid w:val="003754B5"/>
    <w:rsid w:val="00375CCC"/>
    <w:rsid w:val="00376957"/>
    <w:rsid w:val="00376C2C"/>
    <w:rsid w:val="00376C4A"/>
    <w:rsid w:val="00376C4F"/>
    <w:rsid w:val="00376EDC"/>
    <w:rsid w:val="00377D63"/>
    <w:rsid w:val="00380347"/>
    <w:rsid w:val="00380572"/>
    <w:rsid w:val="00380611"/>
    <w:rsid w:val="003808E5"/>
    <w:rsid w:val="003810A0"/>
    <w:rsid w:val="003814FD"/>
    <w:rsid w:val="00381EEE"/>
    <w:rsid w:val="00382752"/>
    <w:rsid w:val="00382BB0"/>
    <w:rsid w:val="00382F66"/>
    <w:rsid w:val="00382F7F"/>
    <w:rsid w:val="00383005"/>
    <w:rsid w:val="003830C6"/>
    <w:rsid w:val="00383EDF"/>
    <w:rsid w:val="00384882"/>
    <w:rsid w:val="00385013"/>
    <w:rsid w:val="00386634"/>
    <w:rsid w:val="0038715C"/>
    <w:rsid w:val="003875A2"/>
    <w:rsid w:val="00387D8B"/>
    <w:rsid w:val="00390215"/>
    <w:rsid w:val="003902A7"/>
    <w:rsid w:val="00390393"/>
    <w:rsid w:val="0039063A"/>
    <w:rsid w:val="0039082D"/>
    <w:rsid w:val="00391724"/>
    <w:rsid w:val="0039194D"/>
    <w:rsid w:val="003919E2"/>
    <w:rsid w:val="003931C9"/>
    <w:rsid w:val="00393293"/>
    <w:rsid w:val="00393B90"/>
    <w:rsid w:val="00393D84"/>
    <w:rsid w:val="00393EF8"/>
    <w:rsid w:val="003945AC"/>
    <w:rsid w:val="00394B80"/>
    <w:rsid w:val="00396D01"/>
    <w:rsid w:val="00397186"/>
    <w:rsid w:val="00397C32"/>
    <w:rsid w:val="00397F3B"/>
    <w:rsid w:val="003A0651"/>
    <w:rsid w:val="003A068E"/>
    <w:rsid w:val="003A1006"/>
    <w:rsid w:val="003A14B5"/>
    <w:rsid w:val="003A18EE"/>
    <w:rsid w:val="003A1E9A"/>
    <w:rsid w:val="003A2191"/>
    <w:rsid w:val="003A2441"/>
    <w:rsid w:val="003A2864"/>
    <w:rsid w:val="003A38B6"/>
    <w:rsid w:val="003A3B82"/>
    <w:rsid w:val="003A419F"/>
    <w:rsid w:val="003A472F"/>
    <w:rsid w:val="003A50C7"/>
    <w:rsid w:val="003A562F"/>
    <w:rsid w:val="003A58E2"/>
    <w:rsid w:val="003A5CB2"/>
    <w:rsid w:val="003A5D55"/>
    <w:rsid w:val="003A6281"/>
    <w:rsid w:val="003A62CF"/>
    <w:rsid w:val="003A7B67"/>
    <w:rsid w:val="003B022D"/>
    <w:rsid w:val="003B029A"/>
    <w:rsid w:val="003B09EF"/>
    <w:rsid w:val="003B12E7"/>
    <w:rsid w:val="003B1A1F"/>
    <w:rsid w:val="003B1A56"/>
    <w:rsid w:val="003B220F"/>
    <w:rsid w:val="003B2F78"/>
    <w:rsid w:val="003B3913"/>
    <w:rsid w:val="003B3BF0"/>
    <w:rsid w:val="003B3C18"/>
    <w:rsid w:val="003B43D2"/>
    <w:rsid w:val="003B455D"/>
    <w:rsid w:val="003B48C1"/>
    <w:rsid w:val="003B48D9"/>
    <w:rsid w:val="003B4E31"/>
    <w:rsid w:val="003B5195"/>
    <w:rsid w:val="003B52CD"/>
    <w:rsid w:val="003B5812"/>
    <w:rsid w:val="003B5CE3"/>
    <w:rsid w:val="003B6792"/>
    <w:rsid w:val="003B6D25"/>
    <w:rsid w:val="003B7047"/>
    <w:rsid w:val="003B7C9A"/>
    <w:rsid w:val="003B7DFF"/>
    <w:rsid w:val="003C010C"/>
    <w:rsid w:val="003C0557"/>
    <w:rsid w:val="003C1975"/>
    <w:rsid w:val="003C2E24"/>
    <w:rsid w:val="003C30C8"/>
    <w:rsid w:val="003C3132"/>
    <w:rsid w:val="003C357A"/>
    <w:rsid w:val="003C3D34"/>
    <w:rsid w:val="003C42AE"/>
    <w:rsid w:val="003C441B"/>
    <w:rsid w:val="003C524C"/>
    <w:rsid w:val="003C58C2"/>
    <w:rsid w:val="003C593F"/>
    <w:rsid w:val="003C595B"/>
    <w:rsid w:val="003C5C66"/>
    <w:rsid w:val="003C5DD2"/>
    <w:rsid w:val="003C6A7C"/>
    <w:rsid w:val="003C6AEF"/>
    <w:rsid w:val="003C6B6B"/>
    <w:rsid w:val="003C6BA6"/>
    <w:rsid w:val="003C6CBD"/>
    <w:rsid w:val="003C6D97"/>
    <w:rsid w:val="003C6E40"/>
    <w:rsid w:val="003C7428"/>
    <w:rsid w:val="003C7F93"/>
    <w:rsid w:val="003D031E"/>
    <w:rsid w:val="003D03CB"/>
    <w:rsid w:val="003D0450"/>
    <w:rsid w:val="003D078E"/>
    <w:rsid w:val="003D1281"/>
    <w:rsid w:val="003D1740"/>
    <w:rsid w:val="003D17FE"/>
    <w:rsid w:val="003D18AE"/>
    <w:rsid w:val="003D1B91"/>
    <w:rsid w:val="003D21C3"/>
    <w:rsid w:val="003D21C5"/>
    <w:rsid w:val="003D236F"/>
    <w:rsid w:val="003D2432"/>
    <w:rsid w:val="003D2643"/>
    <w:rsid w:val="003D28BE"/>
    <w:rsid w:val="003D31DC"/>
    <w:rsid w:val="003D3B62"/>
    <w:rsid w:val="003D3F77"/>
    <w:rsid w:val="003D4283"/>
    <w:rsid w:val="003D4A00"/>
    <w:rsid w:val="003D4D47"/>
    <w:rsid w:val="003D501D"/>
    <w:rsid w:val="003D534E"/>
    <w:rsid w:val="003D602D"/>
    <w:rsid w:val="003D64B7"/>
    <w:rsid w:val="003D6EF6"/>
    <w:rsid w:val="003D706E"/>
    <w:rsid w:val="003E0073"/>
    <w:rsid w:val="003E1216"/>
    <w:rsid w:val="003E137C"/>
    <w:rsid w:val="003E1380"/>
    <w:rsid w:val="003E1A40"/>
    <w:rsid w:val="003E1CF4"/>
    <w:rsid w:val="003E208F"/>
    <w:rsid w:val="003E2641"/>
    <w:rsid w:val="003E3169"/>
    <w:rsid w:val="003E3D8C"/>
    <w:rsid w:val="003E424F"/>
    <w:rsid w:val="003E44E7"/>
    <w:rsid w:val="003E53D9"/>
    <w:rsid w:val="003E5DDB"/>
    <w:rsid w:val="003E6DA1"/>
    <w:rsid w:val="003E705C"/>
    <w:rsid w:val="003E79A3"/>
    <w:rsid w:val="003E7AAD"/>
    <w:rsid w:val="003F019A"/>
    <w:rsid w:val="003F0294"/>
    <w:rsid w:val="003F101D"/>
    <w:rsid w:val="003F130B"/>
    <w:rsid w:val="003F1CD7"/>
    <w:rsid w:val="003F2314"/>
    <w:rsid w:val="003F28EA"/>
    <w:rsid w:val="003F2932"/>
    <w:rsid w:val="003F29F2"/>
    <w:rsid w:val="003F2E24"/>
    <w:rsid w:val="003F33B2"/>
    <w:rsid w:val="003F3A5C"/>
    <w:rsid w:val="003F3BD3"/>
    <w:rsid w:val="003F3D2B"/>
    <w:rsid w:val="003F46F3"/>
    <w:rsid w:val="003F47BC"/>
    <w:rsid w:val="003F4B55"/>
    <w:rsid w:val="003F4C2E"/>
    <w:rsid w:val="003F5197"/>
    <w:rsid w:val="003F5C35"/>
    <w:rsid w:val="003F660A"/>
    <w:rsid w:val="003F673C"/>
    <w:rsid w:val="003F6B32"/>
    <w:rsid w:val="003F70F5"/>
    <w:rsid w:val="003F71A9"/>
    <w:rsid w:val="003F7BEC"/>
    <w:rsid w:val="003F7E49"/>
    <w:rsid w:val="0040014D"/>
    <w:rsid w:val="004001A2"/>
    <w:rsid w:val="00400B36"/>
    <w:rsid w:val="00400B86"/>
    <w:rsid w:val="00400C34"/>
    <w:rsid w:val="004019E3"/>
    <w:rsid w:val="00401B1B"/>
    <w:rsid w:val="00401BA6"/>
    <w:rsid w:val="00401D3E"/>
    <w:rsid w:val="004021D5"/>
    <w:rsid w:val="00402579"/>
    <w:rsid w:val="00403870"/>
    <w:rsid w:val="00403A20"/>
    <w:rsid w:val="00403D8A"/>
    <w:rsid w:val="00404420"/>
    <w:rsid w:val="00405111"/>
    <w:rsid w:val="00405428"/>
    <w:rsid w:val="004062D3"/>
    <w:rsid w:val="004068D4"/>
    <w:rsid w:val="00407226"/>
    <w:rsid w:val="0040728C"/>
    <w:rsid w:val="00407302"/>
    <w:rsid w:val="00411314"/>
    <w:rsid w:val="004114D3"/>
    <w:rsid w:val="004117BE"/>
    <w:rsid w:val="00411FE7"/>
    <w:rsid w:val="004126E9"/>
    <w:rsid w:val="00412C11"/>
    <w:rsid w:val="004133BF"/>
    <w:rsid w:val="00413B52"/>
    <w:rsid w:val="004140A0"/>
    <w:rsid w:val="00414557"/>
    <w:rsid w:val="00414B39"/>
    <w:rsid w:val="00415499"/>
    <w:rsid w:val="00415B2B"/>
    <w:rsid w:val="00416455"/>
    <w:rsid w:val="004165BB"/>
    <w:rsid w:val="0041746F"/>
    <w:rsid w:val="00417A5B"/>
    <w:rsid w:val="00417F64"/>
    <w:rsid w:val="0042082C"/>
    <w:rsid w:val="00420961"/>
    <w:rsid w:val="00420BD2"/>
    <w:rsid w:val="0042115D"/>
    <w:rsid w:val="00421A38"/>
    <w:rsid w:val="00422019"/>
    <w:rsid w:val="0042253A"/>
    <w:rsid w:val="00422687"/>
    <w:rsid w:val="00422B18"/>
    <w:rsid w:val="00422F0E"/>
    <w:rsid w:val="0042347B"/>
    <w:rsid w:val="00423B4C"/>
    <w:rsid w:val="00424B69"/>
    <w:rsid w:val="00425686"/>
    <w:rsid w:val="00425860"/>
    <w:rsid w:val="004258BD"/>
    <w:rsid w:val="004258BF"/>
    <w:rsid w:val="00425D3E"/>
    <w:rsid w:val="00426712"/>
    <w:rsid w:val="00426BD5"/>
    <w:rsid w:val="00426E3A"/>
    <w:rsid w:val="004275D6"/>
    <w:rsid w:val="00427B8D"/>
    <w:rsid w:val="00427F1E"/>
    <w:rsid w:val="00430414"/>
    <w:rsid w:val="00430C54"/>
    <w:rsid w:val="00431EBB"/>
    <w:rsid w:val="00432557"/>
    <w:rsid w:val="00432916"/>
    <w:rsid w:val="00433CBE"/>
    <w:rsid w:val="00433D4E"/>
    <w:rsid w:val="00433EE1"/>
    <w:rsid w:val="004342E2"/>
    <w:rsid w:val="00435537"/>
    <w:rsid w:val="004364B6"/>
    <w:rsid w:val="004366D6"/>
    <w:rsid w:val="004367EB"/>
    <w:rsid w:val="004375C7"/>
    <w:rsid w:val="00437730"/>
    <w:rsid w:val="00440248"/>
    <w:rsid w:val="00440669"/>
    <w:rsid w:val="0044076F"/>
    <w:rsid w:val="00440876"/>
    <w:rsid w:val="004412B1"/>
    <w:rsid w:val="00441338"/>
    <w:rsid w:val="0044235E"/>
    <w:rsid w:val="004435FA"/>
    <w:rsid w:val="004438E6"/>
    <w:rsid w:val="0044395C"/>
    <w:rsid w:val="004439D7"/>
    <w:rsid w:val="00443CE5"/>
    <w:rsid w:val="00443ECC"/>
    <w:rsid w:val="0044404B"/>
    <w:rsid w:val="0044429D"/>
    <w:rsid w:val="00444AA5"/>
    <w:rsid w:val="00444CCA"/>
    <w:rsid w:val="00445393"/>
    <w:rsid w:val="004459C5"/>
    <w:rsid w:val="00445A8D"/>
    <w:rsid w:val="00445C6A"/>
    <w:rsid w:val="00446509"/>
    <w:rsid w:val="004466E3"/>
    <w:rsid w:val="00446DB7"/>
    <w:rsid w:val="00447FBC"/>
    <w:rsid w:val="00450C21"/>
    <w:rsid w:val="004512B6"/>
    <w:rsid w:val="004528E3"/>
    <w:rsid w:val="0045402C"/>
    <w:rsid w:val="00455C09"/>
    <w:rsid w:val="00457672"/>
    <w:rsid w:val="0045794E"/>
    <w:rsid w:val="00457D12"/>
    <w:rsid w:val="00457E66"/>
    <w:rsid w:val="00457E78"/>
    <w:rsid w:val="00460984"/>
    <w:rsid w:val="00461421"/>
    <w:rsid w:val="004617BF"/>
    <w:rsid w:val="00461898"/>
    <w:rsid w:val="004618BB"/>
    <w:rsid w:val="00461AC3"/>
    <w:rsid w:val="00461D0B"/>
    <w:rsid w:val="00461D82"/>
    <w:rsid w:val="004622FB"/>
    <w:rsid w:val="004623A7"/>
    <w:rsid w:val="004625AB"/>
    <w:rsid w:val="004625B7"/>
    <w:rsid w:val="004625D3"/>
    <w:rsid w:val="004626C5"/>
    <w:rsid w:val="004629AF"/>
    <w:rsid w:val="00462B75"/>
    <w:rsid w:val="004631BF"/>
    <w:rsid w:val="00463331"/>
    <w:rsid w:val="004634A4"/>
    <w:rsid w:val="00463534"/>
    <w:rsid w:val="00463E58"/>
    <w:rsid w:val="00464D1E"/>
    <w:rsid w:val="00464E9F"/>
    <w:rsid w:val="0046561C"/>
    <w:rsid w:val="00466376"/>
    <w:rsid w:val="004664F3"/>
    <w:rsid w:val="004665B2"/>
    <w:rsid w:val="004672E1"/>
    <w:rsid w:val="00467618"/>
    <w:rsid w:val="00467EA7"/>
    <w:rsid w:val="0047019F"/>
    <w:rsid w:val="004702E6"/>
    <w:rsid w:val="00470737"/>
    <w:rsid w:val="00470FAF"/>
    <w:rsid w:val="0047181D"/>
    <w:rsid w:val="00471CD4"/>
    <w:rsid w:val="0047207F"/>
    <w:rsid w:val="00472290"/>
    <w:rsid w:val="00472940"/>
    <w:rsid w:val="004729E0"/>
    <w:rsid w:val="00472C88"/>
    <w:rsid w:val="00472E04"/>
    <w:rsid w:val="00473CB7"/>
    <w:rsid w:val="004744FF"/>
    <w:rsid w:val="004751DD"/>
    <w:rsid w:val="00475375"/>
    <w:rsid w:val="004762F5"/>
    <w:rsid w:val="00476BD6"/>
    <w:rsid w:val="004771B9"/>
    <w:rsid w:val="004800BF"/>
    <w:rsid w:val="00480191"/>
    <w:rsid w:val="004802DA"/>
    <w:rsid w:val="0048146B"/>
    <w:rsid w:val="004814EB"/>
    <w:rsid w:val="004816CB"/>
    <w:rsid w:val="00481E24"/>
    <w:rsid w:val="00482D95"/>
    <w:rsid w:val="00483348"/>
    <w:rsid w:val="004834D9"/>
    <w:rsid w:val="004838EF"/>
    <w:rsid w:val="004843D0"/>
    <w:rsid w:val="004845A8"/>
    <w:rsid w:val="00484C20"/>
    <w:rsid w:val="00484E8D"/>
    <w:rsid w:val="00485022"/>
    <w:rsid w:val="0048521D"/>
    <w:rsid w:val="004853D3"/>
    <w:rsid w:val="00485691"/>
    <w:rsid w:val="00485A1F"/>
    <w:rsid w:val="004861BD"/>
    <w:rsid w:val="00486796"/>
    <w:rsid w:val="00486BE7"/>
    <w:rsid w:val="00486C74"/>
    <w:rsid w:val="00487EB1"/>
    <w:rsid w:val="004901CB"/>
    <w:rsid w:val="00490BCC"/>
    <w:rsid w:val="004910AC"/>
    <w:rsid w:val="00492195"/>
    <w:rsid w:val="00492364"/>
    <w:rsid w:val="004923C7"/>
    <w:rsid w:val="004924C0"/>
    <w:rsid w:val="004925E7"/>
    <w:rsid w:val="00492682"/>
    <w:rsid w:val="00492B01"/>
    <w:rsid w:val="00492E2B"/>
    <w:rsid w:val="00493093"/>
    <w:rsid w:val="004932E8"/>
    <w:rsid w:val="004943F7"/>
    <w:rsid w:val="00494A8A"/>
    <w:rsid w:val="00494DA3"/>
    <w:rsid w:val="00495542"/>
    <w:rsid w:val="00496642"/>
    <w:rsid w:val="004966A6"/>
    <w:rsid w:val="00496B37"/>
    <w:rsid w:val="00496F86"/>
    <w:rsid w:val="004973C4"/>
    <w:rsid w:val="004A0525"/>
    <w:rsid w:val="004A10EB"/>
    <w:rsid w:val="004A10F1"/>
    <w:rsid w:val="004A1173"/>
    <w:rsid w:val="004A13C3"/>
    <w:rsid w:val="004A225B"/>
    <w:rsid w:val="004A2535"/>
    <w:rsid w:val="004A2542"/>
    <w:rsid w:val="004A2710"/>
    <w:rsid w:val="004A2951"/>
    <w:rsid w:val="004A2955"/>
    <w:rsid w:val="004A3487"/>
    <w:rsid w:val="004A352F"/>
    <w:rsid w:val="004A3D3C"/>
    <w:rsid w:val="004A4111"/>
    <w:rsid w:val="004A4332"/>
    <w:rsid w:val="004A4361"/>
    <w:rsid w:val="004A4451"/>
    <w:rsid w:val="004A50BB"/>
    <w:rsid w:val="004A5FD5"/>
    <w:rsid w:val="004A6B78"/>
    <w:rsid w:val="004A6C23"/>
    <w:rsid w:val="004A73C5"/>
    <w:rsid w:val="004A7AAD"/>
    <w:rsid w:val="004A7B48"/>
    <w:rsid w:val="004A7E5A"/>
    <w:rsid w:val="004A7F99"/>
    <w:rsid w:val="004B0228"/>
    <w:rsid w:val="004B0521"/>
    <w:rsid w:val="004B0EDD"/>
    <w:rsid w:val="004B10AB"/>
    <w:rsid w:val="004B171C"/>
    <w:rsid w:val="004B1B53"/>
    <w:rsid w:val="004B2746"/>
    <w:rsid w:val="004B2EBB"/>
    <w:rsid w:val="004B322C"/>
    <w:rsid w:val="004B3775"/>
    <w:rsid w:val="004B3780"/>
    <w:rsid w:val="004B3B09"/>
    <w:rsid w:val="004B3E33"/>
    <w:rsid w:val="004B42B1"/>
    <w:rsid w:val="004B49E6"/>
    <w:rsid w:val="004B4D2F"/>
    <w:rsid w:val="004B4D92"/>
    <w:rsid w:val="004B4E09"/>
    <w:rsid w:val="004B5569"/>
    <w:rsid w:val="004B5839"/>
    <w:rsid w:val="004B5EDE"/>
    <w:rsid w:val="004B5FB0"/>
    <w:rsid w:val="004B6126"/>
    <w:rsid w:val="004B66EA"/>
    <w:rsid w:val="004B691E"/>
    <w:rsid w:val="004B69E7"/>
    <w:rsid w:val="004B6C18"/>
    <w:rsid w:val="004B794F"/>
    <w:rsid w:val="004B7AF8"/>
    <w:rsid w:val="004C02A5"/>
    <w:rsid w:val="004C086C"/>
    <w:rsid w:val="004C0DC3"/>
    <w:rsid w:val="004C0E56"/>
    <w:rsid w:val="004C159A"/>
    <w:rsid w:val="004C1793"/>
    <w:rsid w:val="004C2259"/>
    <w:rsid w:val="004C2C6D"/>
    <w:rsid w:val="004C3426"/>
    <w:rsid w:val="004C3F70"/>
    <w:rsid w:val="004C43FD"/>
    <w:rsid w:val="004C4566"/>
    <w:rsid w:val="004C4E85"/>
    <w:rsid w:val="004C51CB"/>
    <w:rsid w:val="004C537A"/>
    <w:rsid w:val="004C54F5"/>
    <w:rsid w:val="004C5776"/>
    <w:rsid w:val="004C7BD9"/>
    <w:rsid w:val="004D053D"/>
    <w:rsid w:val="004D0A4A"/>
    <w:rsid w:val="004D116B"/>
    <w:rsid w:val="004D12FA"/>
    <w:rsid w:val="004D1698"/>
    <w:rsid w:val="004D3330"/>
    <w:rsid w:val="004D35BD"/>
    <w:rsid w:val="004D4335"/>
    <w:rsid w:val="004D44EE"/>
    <w:rsid w:val="004D45A9"/>
    <w:rsid w:val="004D46A3"/>
    <w:rsid w:val="004D5437"/>
    <w:rsid w:val="004D5988"/>
    <w:rsid w:val="004D5CCF"/>
    <w:rsid w:val="004D64C7"/>
    <w:rsid w:val="004D7646"/>
    <w:rsid w:val="004D781F"/>
    <w:rsid w:val="004E0161"/>
    <w:rsid w:val="004E084F"/>
    <w:rsid w:val="004E0FB0"/>
    <w:rsid w:val="004E118B"/>
    <w:rsid w:val="004E1DD2"/>
    <w:rsid w:val="004E21D7"/>
    <w:rsid w:val="004E2F2C"/>
    <w:rsid w:val="004E3057"/>
    <w:rsid w:val="004E316F"/>
    <w:rsid w:val="004E36E2"/>
    <w:rsid w:val="004E3BA0"/>
    <w:rsid w:val="004E40EF"/>
    <w:rsid w:val="004E436A"/>
    <w:rsid w:val="004E458B"/>
    <w:rsid w:val="004E46CD"/>
    <w:rsid w:val="004E4A70"/>
    <w:rsid w:val="004E5031"/>
    <w:rsid w:val="004E5333"/>
    <w:rsid w:val="004E579C"/>
    <w:rsid w:val="004E67F8"/>
    <w:rsid w:val="004E6BF1"/>
    <w:rsid w:val="004E7953"/>
    <w:rsid w:val="004E7B4B"/>
    <w:rsid w:val="004F0C84"/>
    <w:rsid w:val="004F0E48"/>
    <w:rsid w:val="004F1302"/>
    <w:rsid w:val="004F165E"/>
    <w:rsid w:val="004F17BB"/>
    <w:rsid w:val="004F24E7"/>
    <w:rsid w:val="004F2896"/>
    <w:rsid w:val="004F2DD1"/>
    <w:rsid w:val="004F3534"/>
    <w:rsid w:val="004F3CB1"/>
    <w:rsid w:val="004F3CDC"/>
    <w:rsid w:val="004F4F21"/>
    <w:rsid w:val="004F572F"/>
    <w:rsid w:val="004F57F8"/>
    <w:rsid w:val="004F59B2"/>
    <w:rsid w:val="004F5A08"/>
    <w:rsid w:val="004F5C0C"/>
    <w:rsid w:val="004F5C70"/>
    <w:rsid w:val="004F5DB6"/>
    <w:rsid w:val="004F636D"/>
    <w:rsid w:val="004F749A"/>
    <w:rsid w:val="004F750D"/>
    <w:rsid w:val="004F751F"/>
    <w:rsid w:val="004F7774"/>
    <w:rsid w:val="004F7C39"/>
    <w:rsid w:val="005005AB"/>
    <w:rsid w:val="00500B43"/>
    <w:rsid w:val="00500F36"/>
    <w:rsid w:val="005015F7"/>
    <w:rsid w:val="00501998"/>
    <w:rsid w:val="00501BEF"/>
    <w:rsid w:val="00502240"/>
    <w:rsid w:val="00502F61"/>
    <w:rsid w:val="00504604"/>
    <w:rsid w:val="00504969"/>
    <w:rsid w:val="0050508C"/>
    <w:rsid w:val="005052E3"/>
    <w:rsid w:val="00505313"/>
    <w:rsid w:val="00505806"/>
    <w:rsid w:val="00505897"/>
    <w:rsid w:val="00505A0C"/>
    <w:rsid w:val="00505F47"/>
    <w:rsid w:val="00506280"/>
    <w:rsid w:val="0050660F"/>
    <w:rsid w:val="0050671A"/>
    <w:rsid w:val="00506918"/>
    <w:rsid w:val="005070B1"/>
    <w:rsid w:val="005070DE"/>
    <w:rsid w:val="005078CD"/>
    <w:rsid w:val="00507ABF"/>
    <w:rsid w:val="00507C14"/>
    <w:rsid w:val="00507EEA"/>
    <w:rsid w:val="00507F00"/>
    <w:rsid w:val="0051011C"/>
    <w:rsid w:val="0051018E"/>
    <w:rsid w:val="005108AE"/>
    <w:rsid w:val="00511577"/>
    <w:rsid w:val="00511C9B"/>
    <w:rsid w:val="005120A2"/>
    <w:rsid w:val="00512668"/>
    <w:rsid w:val="005126CC"/>
    <w:rsid w:val="005129BA"/>
    <w:rsid w:val="005130B9"/>
    <w:rsid w:val="0051319A"/>
    <w:rsid w:val="00513303"/>
    <w:rsid w:val="0051376C"/>
    <w:rsid w:val="00514856"/>
    <w:rsid w:val="005149E8"/>
    <w:rsid w:val="00514BED"/>
    <w:rsid w:val="005157F8"/>
    <w:rsid w:val="0051581A"/>
    <w:rsid w:val="00515FA3"/>
    <w:rsid w:val="0051620F"/>
    <w:rsid w:val="00516482"/>
    <w:rsid w:val="00516A95"/>
    <w:rsid w:val="00516B16"/>
    <w:rsid w:val="00516EAB"/>
    <w:rsid w:val="00517225"/>
    <w:rsid w:val="005174A3"/>
    <w:rsid w:val="005178FE"/>
    <w:rsid w:val="00517F8F"/>
    <w:rsid w:val="00517FA3"/>
    <w:rsid w:val="00520978"/>
    <w:rsid w:val="00520D97"/>
    <w:rsid w:val="00521796"/>
    <w:rsid w:val="005226AE"/>
    <w:rsid w:val="00523617"/>
    <w:rsid w:val="005239D6"/>
    <w:rsid w:val="00523BEF"/>
    <w:rsid w:val="005249F5"/>
    <w:rsid w:val="00524BFD"/>
    <w:rsid w:val="005254B4"/>
    <w:rsid w:val="0052635A"/>
    <w:rsid w:val="005270F8"/>
    <w:rsid w:val="00530011"/>
    <w:rsid w:val="005303DB"/>
    <w:rsid w:val="00530BE8"/>
    <w:rsid w:val="00530F4A"/>
    <w:rsid w:val="005311B1"/>
    <w:rsid w:val="00531793"/>
    <w:rsid w:val="0053190B"/>
    <w:rsid w:val="00531DB5"/>
    <w:rsid w:val="005322FC"/>
    <w:rsid w:val="0053288F"/>
    <w:rsid w:val="00532F80"/>
    <w:rsid w:val="00533262"/>
    <w:rsid w:val="0053330B"/>
    <w:rsid w:val="005336EB"/>
    <w:rsid w:val="00533A1E"/>
    <w:rsid w:val="00534786"/>
    <w:rsid w:val="00535864"/>
    <w:rsid w:val="00536B5C"/>
    <w:rsid w:val="00536FD6"/>
    <w:rsid w:val="005374F4"/>
    <w:rsid w:val="00537883"/>
    <w:rsid w:val="00537897"/>
    <w:rsid w:val="00537DE9"/>
    <w:rsid w:val="00537EA3"/>
    <w:rsid w:val="00540A15"/>
    <w:rsid w:val="00540BB9"/>
    <w:rsid w:val="005413B1"/>
    <w:rsid w:val="00541A89"/>
    <w:rsid w:val="00541C46"/>
    <w:rsid w:val="00542043"/>
    <w:rsid w:val="0054221F"/>
    <w:rsid w:val="00542DFE"/>
    <w:rsid w:val="00542E3A"/>
    <w:rsid w:val="00543511"/>
    <w:rsid w:val="00543B65"/>
    <w:rsid w:val="00544472"/>
    <w:rsid w:val="005446B5"/>
    <w:rsid w:val="00544952"/>
    <w:rsid w:val="0054520C"/>
    <w:rsid w:val="005458EF"/>
    <w:rsid w:val="00545C73"/>
    <w:rsid w:val="00546389"/>
    <w:rsid w:val="0054685C"/>
    <w:rsid w:val="00547582"/>
    <w:rsid w:val="00547ECD"/>
    <w:rsid w:val="00550169"/>
    <w:rsid w:val="00550528"/>
    <w:rsid w:val="0055079E"/>
    <w:rsid w:val="005507DA"/>
    <w:rsid w:val="00551750"/>
    <w:rsid w:val="00551AE3"/>
    <w:rsid w:val="0055203D"/>
    <w:rsid w:val="005527BD"/>
    <w:rsid w:val="00552881"/>
    <w:rsid w:val="00553984"/>
    <w:rsid w:val="00553B89"/>
    <w:rsid w:val="005542EB"/>
    <w:rsid w:val="00554827"/>
    <w:rsid w:val="00554A45"/>
    <w:rsid w:val="00554CB7"/>
    <w:rsid w:val="0055502E"/>
    <w:rsid w:val="00555557"/>
    <w:rsid w:val="00555949"/>
    <w:rsid w:val="00555F15"/>
    <w:rsid w:val="005561FF"/>
    <w:rsid w:val="005565E3"/>
    <w:rsid w:val="005567E5"/>
    <w:rsid w:val="0055689B"/>
    <w:rsid w:val="005568C0"/>
    <w:rsid w:val="005578A2"/>
    <w:rsid w:val="00560504"/>
    <w:rsid w:val="00560695"/>
    <w:rsid w:val="0056182D"/>
    <w:rsid w:val="00561A65"/>
    <w:rsid w:val="00561B04"/>
    <w:rsid w:val="00561C23"/>
    <w:rsid w:val="00561E0C"/>
    <w:rsid w:val="0056244F"/>
    <w:rsid w:val="005626F3"/>
    <w:rsid w:val="0056385D"/>
    <w:rsid w:val="0056419F"/>
    <w:rsid w:val="0056469A"/>
    <w:rsid w:val="00564AE3"/>
    <w:rsid w:val="00564B1C"/>
    <w:rsid w:val="00564D2F"/>
    <w:rsid w:val="00565794"/>
    <w:rsid w:val="00565D32"/>
    <w:rsid w:val="005673B5"/>
    <w:rsid w:val="00567FBB"/>
    <w:rsid w:val="005703C0"/>
    <w:rsid w:val="00570561"/>
    <w:rsid w:val="00570A9A"/>
    <w:rsid w:val="00570EAB"/>
    <w:rsid w:val="00571032"/>
    <w:rsid w:val="0057148E"/>
    <w:rsid w:val="0057172D"/>
    <w:rsid w:val="00571918"/>
    <w:rsid w:val="00571AF9"/>
    <w:rsid w:val="00571C42"/>
    <w:rsid w:val="00571D9E"/>
    <w:rsid w:val="0057211F"/>
    <w:rsid w:val="00572B0E"/>
    <w:rsid w:val="00572E80"/>
    <w:rsid w:val="005746EB"/>
    <w:rsid w:val="005754A6"/>
    <w:rsid w:val="005757BB"/>
    <w:rsid w:val="00575EE0"/>
    <w:rsid w:val="00576239"/>
    <w:rsid w:val="005762BC"/>
    <w:rsid w:val="00576D98"/>
    <w:rsid w:val="00577110"/>
    <w:rsid w:val="0057727E"/>
    <w:rsid w:val="0057736E"/>
    <w:rsid w:val="00577560"/>
    <w:rsid w:val="0058001A"/>
    <w:rsid w:val="0058097B"/>
    <w:rsid w:val="00581210"/>
    <w:rsid w:val="005814DE"/>
    <w:rsid w:val="00581954"/>
    <w:rsid w:val="00581E80"/>
    <w:rsid w:val="00582403"/>
    <w:rsid w:val="00582577"/>
    <w:rsid w:val="0058284C"/>
    <w:rsid w:val="00582D6E"/>
    <w:rsid w:val="00583507"/>
    <w:rsid w:val="00583574"/>
    <w:rsid w:val="00583A1E"/>
    <w:rsid w:val="00583E43"/>
    <w:rsid w:val="0058475F"/>
    <w:rsid w:val="00584B44"/>
    <w:rsid w:val="00584B6A"/>
    <w:rsid w:val="00584D39"/>
    <w:rsid w:val="00584F77"/>
    <w:rsid w:val="0058510D"/>
    <w:rsid w:val="00585153"/>
    <w:rsid w:val="00585EC9"/>
    <w:rsid w:val="00585F2C"/>
    <w:rsid w:val="00586595"/>
    <w:rsid w:val="00586691"/>
    <w:rsid w:val="00586BDE"/>
    <w:rsid w:val="00586C79"/>
    <w:rsid w:val="00586E67"/>
    <w:rsid w:val="00586F5E"/>
    <w:rsid w:val="005878DF"/>
    <w:rsid w:val="0059000D"/>
    <w:rsid w:val="00590083"/>
    <w:rsid w:val="005908F5"/>
    <w:rsid w:val="00590E1B"/>
    <w:rsid w:val="00591220"/>
    <w:rsid w:val="00591659"/>
    <w:rsid w:val="00591935"/>
    <w:rsid w:val="00591C85"/>
    <w:rsid w:val="00591CAD"/>
    <w:rsid w:val="0059398E"/>
    <w:rsid w:val="00593A2C"/>
    <w:rsid w:val="00594250"/>
    <w:rsid w:val="00594951"/>
    <w:rsid w:val="00594D60"/>
    <w:rsid w:val="00595235"/>
    <w:rsid w:val="005954D0"/>
    <w:rsid w:val="00595770"/>
    <w:rsid w:val="00595855"/>
    <w:rsid w:val="00595FD2"/>
    <w:rsid w:val="005967D8"/>
    <w:rsid w:val="005968B1"/>
    <w:rsid w:val="00596FDB"/>
    <w:rsid w:val="005974C2"/>
    <w:rsid w:val="00597776"/>
    <w:rsid w:val="00597B7D"/>
    <w:rsid w:val="005A0DE0"/>
    <w:rsid w:val="005A10FB"/>
    <w:rsid w:val="005A1331"/>
    <w:rsid w:val="005A1792"/>
    <w:rsid w:val="005A1C09"/>
    <w:rsid w:val="005A26C1"/>
    <w:rsid w:val="005A2D5B"/>
    <w:rsid w:val="005A2DF4"/>
    <w:rsid w:val="005A35C7"/>
    <w:rsid w:val="005A3943"/>
    <w:rsid w:val="005A3CA5"/>
    <w:rsid w:val="005A41A6"/>
    <w:rsid w:val="005A497F"/>
    <w:rsid w:val="005A53A0"/>
    <w:rsid w:val="005A557B"/>
    <w:rsid w:val="005A69D5"/>
    <w:rsid w:val="005A6F07"/>
    <w:rsid w:val="005A7D60"/>
    <w:rsid w:val="005A7FC1"/>
    <w:rsid w:val="005B01E3"/>
    <w:rsid w:val="005B03EF"/>
    <w:rsid w:val="005B0675"/>
    <w:rsid w:val="005B1E18"/>
    <w:rsid w:val="005B1EA3"/>
    <w:rsid w:val="005B2626"/>
    <w:rsid w:val="005B29E3"/>
    <w:rsid w:val="005B2B0F"/>
    <w:rsid w:val="005B2C05"/>
    <w:rsid w:val="005B2C7A"/>
    <w:rsid w:val="005B32CD"/>
    <w:rsid w:val="005B3AFB"/>
    <w:rsid w:val="005B3B08"/>
    <w:rsid w:val="005B401B"/>
    <w:rsid w:val="005B48EA"/>
    <w:rsid w:val="005B48F5"/>
    <w:rsid w:val="005B5344"/>
    <w:rsid w:val="005B60C2"/>
    <w:rsid w:val="005B6E38"/>
    <w:rsid w:val="005B76BB"/>
    <w:rsid w:val="005B778A"/>
    <w:rsid w:val="005B77E0"/>
    <w:rsid w:val="005B7885"/>
    <w:rsid w:val="005B7D0D"/>
    <w:rsid w:val="005C0A48"/>
    <w:rsid w:val="005C11B9"/>
    <w:rsid w:val="005C179A"/>
    <w:rsid w:val="005C1973"/>
    <w:rsid w:val="005C1B36"/>
    <w:rsid w:val="005C1C71"/>
    <w:rsid w:val="005C1C85"/>
    <w:rsid w:val="005C28E5"/>
    <w:rsid w:val="005C293A"/>
    <w:rsid w:val="005C3179"/>
    <w:rsid w:val="005C4751"/>
    <w:rsid w:val="005C4965"/>
    <w:rsid w:val="005C4E0C"/>
    <w:rsid w:val="005C50F9"/>
    <w:rsid w:val="005C5FA7"/>
    <w:rsid w:val="005C6137"/>
    <w:rsid w:val="005C6181"/>
    <w:rsid w:val="005C63A9"/>
    <w:rsid w:val="005C68C1"/>
    <w:rsid w:val="005C691B"/>
    <w:rsid w:val="005C6A07"/>
    <w:rsid w:val="005C6E1D"/>
    <w:rsid w:val="005C707A"/>
    <w:rsid w:val="005C71DB"/>
    <w:rsid w:val="005C7D21"/>
    <w:rsid w:val="005D036D"/>
    <w:rsid w:val="005D0550"/>
    <w:rsid w:val="005D113E"/>
    <w:rsid w:val="005D11A4"/>
    <w:rsid w:val="005D11BE"/>
    <w:rsid w:val="005D14CD"/>
    <w:rsid w:val="005D16E3"/>
    <w:rsid w:val="005D17E6"/>
    <w:rsid w:val="005D1AE7"/>
    <w:rsid w:val="005D1E19"/>
    <w:rsid w:val="005D1F76"/>
    <w:rsid w:val="005D1FC2"/>
    <w:rsid w:val="005D23CD"/>
    <w:rsid w:val="005D25DA"/>
    <w:rsid w:val="005D2708"/>
    <w:rsid w:val="005D31F4"/>
    <w:rsid w:val="005D3C7D"/>
    <w:rsid w:val="005D3C80"/>
    <w:rsid w:val="005D47FD"/>
    <w:rsid w:val="005D49EC"/>
    <w:rsid w:val="005D5CE6"/>
    <w:rsid w:val="005D69BB"/>
    <w:rsid w:val="005D6AA2"/>
    <w:rsid w:val="005D6D05"/>
    <w:rsid w:val="005D6DA6"/>
    <w:rsid w:val="005D6DF1"/>
    <w:rsid w:val="005D71A1"/>
    <w:rsid w:val="005D72D0"/>
    <w:rsid w:val="005D741C"/>
    <w:rsid w:val="005E03E0"/>
    <w:rsid w:val="005E06A7"/>
    <w:rsid w:val="005E0760"/>
    <w:rsid w:val="005E07BC"/>
    <w:rsid w:val="005E09A6"/>
    <w:rsid w:val="005E0A01"/>
    <w:rsid w:val="005E16F8"/>
    <w:rsid w:val="005E17F8"/>
    <w:rsid w:val="005E1DE6"/>
    <w:rsid w:val="005E35B0"/>
    <w:rsid w:val="005E3BDC"/>
    <w:rsid w:val="005E4078"/>
    <w:rsid w:val="005E4938"/>
    <w:rsid w:val="005E510F"/>
    <w:rsid w:val="005E5645"/>
    <w:rsid w:val="005E5976"/>
    <w:rsid w:val="005E6455"/>
    <w:rsid w:val="005E65F9"/>
    <w:rsid w:val="005E695F"/>
    <w:rsid w:val="005E75D7"/>
    <w:rsid w:val="005F0372"/>
    <w:rsid w:val="005F0BF2"/>
    <w:rsid w:val="005F1297"/>
    <w:rsid w:val="005F1682"/>
    <w:rsid w:val="005F1A43"/>
    <w:rsid w:val="005F20FD"/>
    <w:rsid w:val="005F22F2"/>
    <w:rsid w:val="005F2947"/>
    <w:rsid w:val="005F3F2E"/>
    <w:rsid w:val="005F4575"/>
    <w:rsid w:val="005F459F"/>
    <w:rsid w:val="005F4BB3"/>
    <w:rsid w:val="005F52E8"/>
    <w:rsid w:val="005F5AB2"/>
    <w:rsid w:val="005F62E3"/>
    <w:rsid w:val="005F659B"/>
    <w:rsid w:val="005F7442"/>
    <w:rsid w:val="005F74A4"/>
    <w:rsid w:val="005F7D05"/>
    <w:rsid w:val="0060033C"/>
    <w:rsid w:val="00600415"/>
    <w:rsid w:val="00600575"/>
    <w:rsid w:val="006015C2"/>
    <w:rsid w:val="00601C3D"/>
    <w:rsid w:val="00602875"/>
    <w:rsid w:val="0060300E"/>
    <w:rsid w:val="0060304D"/>
    <w:rsid w:val="006030E6"/>
    <w:rsid w:val="00603BFC"/>
    <w:rsid w:val="006040EB"/>
    <w:rsid w:val="006041ED"/>
    <w:rsid w:val="006041F2"/>
    <w:rsid w:val="006043C0"/>
    <w:rsid w:val="00604836"/>
    <w:rsid w:val="006054F2"/>
    <w:rsid w:val="006061CA"/>
    <w:rsid w:val="0060635C"/>
    <w:rsid w:val="00606B2F"/>
    <w:rsid w:val="00606E05"/>
    <w:rsid w:val="006074E2"/>
    <w:rsid w:val="00610072"/>
    <w:rsid w:val="00610ADF"/>
    <w:rsid w:val="006113B3"/>
    <w:rsid w:val="0061186B"/>
    <w:rsid w:val="006118F0"/>
    <w:rsid w:val="00611B94"/>
    <w:rsid w:val="00611CEE"/>
    <w:rsid w:val="00612159"/>
    <w:rsid w:val="00613644"/>
    <w:rsid w:val="00613A63"/>
    <w:rsid w:val="00613C23"/>
    <w:rsid w:val="00613D9D"/>
    <w:rsid w:val="00614208"/>
    <w:rsid w:val="0061442D"/>
    <w:rsid w:val="006145F0"/>
    <w:rsid w:val="00614943"/>
    <w:rsid w:val="00614AEC"/>
    <w:rsid w:val="00614F78"/>
    <w:rsid w:val="006163B4"/>
    <w:rsid w:val="0061640B"/>
    <w:rsid w:val="00616872"/>
    <w:rsid w:val="00616F0F"/>
    <w:rsid w:val="006175B7"/>
    <w:rsid w:val="00617D0E"/>
    <w:rsid w:val="006201D1"/>
    <w:rsid w:val="00620769"/>
    <w:rsid w:val="0062093D"/>
    <w:rsid w:val="00621F5D"/>
    <w:rsid w:val="0062236C"/>
    <w:rsid w:val="0062262A"/>
    <w:rsid w:val="00622DF5"/>
    <w:rsid w:val="006235E5"/>
    <w:rsid w:val="00623932"/>
    <w:rsid w:val="00623CA4"/>
    <w:rsid w:val="0062406F"/>
    <w:rsid w:val="0062482E"/>
    <w:rsid w:val="00625471"/>
    <w:rsid w:val="00625844"/>
    <w:rsid w:val="00625882"/>
    <w:rsid w:val="00625B69"/>
    <w:rsid w:val="00626368"/>
    <w:rsid w:val="006266CD"/>
    <w:rsid w:val="00627AB1"/>
    <w:rsid w:val="006300FE"/>
    <w:rsid w:val="00630D22"/>
    <w:rsid w:val="00630E13"/>
    <w:rsid w:val="00630F3A"/>
    <w:rsid w:val="0063123E"/>
    <w:rsid w:val="00631280"/>
    <w:rsid w:val="0063197B"/>
    <w:rsid w:val="00631984"/>
    <w:rsid w:val="006319A7"/>
    <w:rsid w:val="00632480"/>
    <w:rsid w:val="006326AF"/>
    <w:rsid w:val="00633614"/>
    <w:rsid w:val="00633726"/>
    <w:rsid w:val="00633846"/>
    <w:rsid w:val="00633897"/>
    <w:rsid w:val="006338AB"/>
    <w:rsid w:val="00633BBA"/>
    <w:rsid w:val="00633D84"/>
    <w:rsid w:val="00635566"/>
    <w:rsid w:val="00635AEC"/>
    <w:rsid w:val="006362FD"/>
    <w:rsid w:val="00636F25"/>
    <w:rsid w:val="00640680"/>
    <w:rsid w:val="006406CE"/>
    <w:rsid w:val="00640B07"/>
    <w:rsid w:val="00641781"/>
    <w:rsid w:val="006418B5"/>
    <w:rsid w:val="00641B1D"/>
    <w:rsid w:val="00641E3D"/>
    <w:rsid w:val="00641EAB"/>
    <w:rsid w:val="0064214F"/>
    <w:rsid w:val="0064246B"/>
    <w:rsid w:val="00642552"/>
    <w:rsid w:val="00642A16"/>
    <w:rsid w:val="00642D86"/>
    <w:rsid w:val="00643BDC"/>
    <w:rsid w:val="0064406F"/>
    <w:rsid w:val="0064491C"/>
    <w:rsid w:val="00645ED5"/>
    <w:rsid w:val="00646C5B"/>
    <w:rsid w:val="0064707E"/>
    <w:rsid w:val="00647227"/>
    <w:rsid w:val="006476A1"/>
    <w:rsid w:val="00647DBC"/>
    <w:rsid w:val="00647E2C"/>
    <w:rsid w:val="00650073"/>
    <w:rsid w:val="006508D0"/>
    <w:rsid w:val="00650A4D"/>
    <w:rsid w:val="00650B09"/>
    <w:rsid w:val="00650DB0"/>
    <w:rsid w:val="00650FBE"/>
    <w:rsid w:val="0065188B"/>
    <w:rsid w:val="00652513"/>
    <w:rsid w:val="006528C9"/>
    <w:rsid w:val="0065295A"/>
    <w:rsid w:val="0065342C"/>
    <w:rsid w:val="00653952"/>
    <w:rsid w:val="006542A4"/>
    <w:rsid w:val="00654B72"/>
    <w:rsid w:val="00654FD5"/>
    <w:rsid w:val="006558A7"/>
    <w:rsid w:val="006558BE"/>
    <w:rsid w:val="006560C3"/>
    <w:rsid w:val="00656750"/>
    <w:rsid w:val="00656983"/>
    <w:rsid w:val="00656EDF"/>
    <w:rsid w:val="00657EFF"/>
    <w:rsid w:val="0066022E"/>
    <w:rsid w:val="00660337"/>
    <w:rsid w:val="00660463"/>
    <w:rsid w:val="0066053B"/>
    <w:rsid w:val="006616BF"/>
    <w:rsid w:val="00661780"/>
    <w:rsid w:val="00661B0F"/>
    <w:rsid w:val="00661B48"/>
    <w:rsid w:val="00662238"/>
    <w:rsid w:val="00662C80"/>
    <w:rsid w:val="00662CB1"/>
    <w:rsid w:val="006633CF"/>
    <w:rsid w:val="00663528"/>
    <w:rsid w:val="006638DC"/>
    <w:rsid w:val="00663991"/>
    <w:rsid w:val="00663F4D"/>
    <w:rsid w:val="006645C3"/>
    <w:rsid w:val="0066489E"/>
    <w:rsid w:val="00664E25"/>
    <w:rsid w:val="00665088"/>
    <w:rsid w:val="00665592"/>
    <w:rsid w:val="0066600D"/>
    <w:rsid w:val="0066627E"/>
    <w:rsid w:val="00666AC9"/>
    <w:rsid w:val="00667150"/>
    <w:rsid w:val="006675F6"/>
    <w:rsid w:val="00667E75"/>
    <w:rsid w:val="00667ECC"/>
    <w:rsid w:val="00667FF9"/>
    <w:rsid w:val="006707C0"/>
    <w:rsid w:val="00670A1C"/>
    <w:rsid w:val="00671C60"/>
    <w:rsid w:val="00672B17"/>
    <w:rsid w:val="00672B1E"/>
    <w:rsid w:val="006732B3"/>
    <w:rsid w:val="0067341D"/>
    <w:rsid w:val="006741C8"/>
    <w:rsid w:val="00674DF2"/>
    <w:rsid w:val="00675E6D"/>
    <w:rsid w:val="00676FF0"/>
    <w:rsid w:val="006800AE"/>
    <w:rsid w:val="006802A9"/>
    <w:rsid w:val="006809B9"/>
    <w:rsid w:val="00681327"/>
    <w:rsid w:val="00681765"/>
    <w:rsid w:val="00681DD0"/>
    <w:rsid w:val="00682878"/>
    <w:rsid w:val="00682D4E"/>
    <w:rsid w:val="00682DA0"/>
    <w:rsid w:val="00682F1B"/>
    <w:rsid w:val="0068349F"/>
    <w:rsid w:val="006838A7"/>
    <w:rsid w:val="00683CCD"/>
    <w:rsid w:val="00684832"/>
    <w:rsid w:val="00684D15"/>
    <w:rsid w:val="0068506D"/>
    <w:rsid w:val="006851E2"/>
    <w:rsid w:val="00685418"/>
    <w:rsid w:val="00686344"/>
    <w:rsid w:val="0068647B"/>
    <w:rsid w:val="00686695"/>
    <w:rsid w:val="006873C9"/>
    <w:rsid w:val="006874A5"/>
    <w:rsid w:val="006875E9"/>
    <w:rsid w:val="006878B1"/>
    <w:rsid w:val="00687A8F"/>
    <w:rsid w:val="00690224"/>
    <w:rsid w:val="00690248"/>
    <w:rsid w:val="00690427"/>
    <w:rsid w:val="00690640"/>
    <w:rsid w:val="00690733"/>
    <w:rsid w:val="00690CED"/>
    <w:rsid w:val="006914C9"/>
    <w:rsid w:val="006917D1"/>
    <w:rsid w:val="00691865"/>
    <w:rsid w:val="00691DF8"/>
    <w:rsid w:val="00691FCE"/>
    <w:rsid w:val="00692552"/>
    <w:rsid w:val="006927E3"/>
    <w:rsid w:val="00692CF0"/>
    <w:rsid w:val="00692D55"/>
    <w:rsid w:val="00692DED"/>
    <w:rsid w:val="00692E3D"/>
    <w:rsid w:val="006940D2"/>
    <w:rsid w:val="00694FF6"/>
    <w:rsid w:val="00695102"/>
    <w:rsid w:val="00695BAE"/>
    <w:rsid w:val="00695EFD"/>
    <w:rsid w:val="00695F98"/>
    <w:rsid w:val="0069682C"/>
    <w:rsid w:val="00696A14"/>
    <w:rsid w:val="00696A8C"/>
    <w:rsid w:val="00696B74"/>
    <w:rsid w:val="00696FE6"/>
    <w:rsid w:val="0069702A"/>
    <w:rsid w:val="00697F0E"/>
    <w:rsid w:val="006A0106"/>
    <w:rsid w:val="006A0727"/>
    <w:rsid w:val="006A0946"/>
    <w:rsid w:val="006A0A53"/>
    <w:rsid w:val="006A0B31"/>
    <w:rsid w:val="006A0BDA"/>
    <w:rsid w:val="006A1663"/>
    <w:rsid w:val="006A1D8A"/>
    <w:rsid w:val="006A22D5"/>
    <w:rsid w:val="006A2388"/>
    <w:rsid w:val="006A2763"/>
    <w:rsid w:val="006A2B9C"/>
    <w:rsid w:val="006A3190"/>
    <w:rsid w:val="006A3265"/>
    <w:rsid w:val="006A3883"/>
    <w:rsid w:val="006A41A0"/>
    <w:rsid w:val="006A47BB"/>
    <w:rsid w:val="006A4928"/>
    <w:rsid w:val="006A4D68"/>
    <w:rsid w:val="006A551B"/>
    <w:rsid w:val="006A58DC"/>
    <w:rsid w:val="006A5B63"/>
    <w:rsid w:val="006A5B68"/>
    <w:rsid w:val="006A6A19"/>
    <w:rsid w:val="006A6A96"/>
    <w:rsid w:val="006A6BE2"/>
    <w:rsid w:val="006A6C52"/>
    <w:rsid w:val="006A6EA1"/>
    <w:rsid w:val="006A6EF1"/>
    <w:rsid w:val="006A7163"/>
    <w:rsid w:val="006A7295"/>
    <w:rsid w:val="006A74F0"/>
    <w:rsid w:val="006B0175"/>
    <w:rsid w:val="006B0420"/>
    <w:rsid w:val="006B2238"/>
    <w:rsid w:val="006B2AEC"/>
    <w:rsid w:val="006B395B"/>
    <w:rsid w:val="006B48EB"/>
    <w:rsid w:val="006B4BB6"/>
    <w:rsid w:val="006B5887"/>
    <w:rsid w:val="006B5F68"/>
    <w:rsid w:val="006B6332"/>
    <w:rsid w:val="006B635D"/>
    <w:rsid w:val="006B6786"/>
    <w:rsid w:val="006B6844"/>
    <w:rsid w:val="006B6DAD"/>
    <w:rsid w:val="006B7364"/>
    <w:rsid w:val="006B74BC"/>
    <w:rsid w:val="006B7F33"/>
    <w:rsid w:val="006C11FF"/>
    <w:rsid w:val="006C182A"/>
    <w:rsid w:val="006C1861"/>
    <w:rsid w:val="006C3452"/>
    <w:rsid w:val="006C3FF5"/>
    <w:rsid w:val="006C4458"/>
    <w:rsid w:val="006C458E"/>
    <w:rsid w:val="006C48D4"/>
    <w:rsid w:val="006C4D6D"/>
    <w:rsid w:val="006C5241"/>
    <w:rsid w:val="006C6113"/>
    <w:rsid w:val="006C6900"/>
    <w:rsid w:val="006C6EF7"/>
    <w:rsid w:val="006C7193"/>
    <w:rsid w:val="006C7993"/>
    <w:rsid w:val="006C7D68"/>
    <w:rsid w:val="006D0575"/>
    <w:rsid w:val="006D0A89"/>
    <w:rsid w:val="006D0B63"/>
    <w:rsid w:val="006D0B99"/>
    <w:rsid w:val="006D173B"/>
    <w:rsid w:val="006D1C0C"/>
    <w:rsid w:val="006D22BC"/>
    <w:rsid w:val="006D31B1"/>
    <w:rsid w:val="006D3342"/>
    <w:rsid w:val="006D34CC"/>
    <w:rsid w:val="006D34D5"/>
    <w:rsid w:val="006D3C52"/>
    <w:rsid w:val="006D3DFC"/>
    <w:rsid w:val="006D40D6"/>
    <w:rsid w:val="006D455E"/>
    <w:rsid w:val="006D46BF"/>
    <w:rsid w:val="006D4B30"/>
    <w:rsid w:val="006D4F49"/>
    <w:rsid w:val="006D5EE4"/>
    <w:rsid w:val="006D636C"/>
    <w:rsid w:val="006D6BDA"/>
    <w:rsid w:val="006D6DF1"/>
    <w:rsid w:val="006D6F8C"/>
    <w:rsid w:val="006D73AF"/>
    <w:rsid w:val="006D78B9"/>
    <w:rsid w:val="006D7ACB"/>
    <w:rsid w:val="006D7AEF"/>
    <w:rsid w:val="006D7FA4"/>
    <w:rsid w:val="006E1163"/>
    <w:rsid w:val="006E124F"/>
    <w:rsid w:val="006E15F6"/>
    <w:rsid w:val="006E1814"/>
    <w:rsid w:val="006E1B88"/>
    <w:rsid w:val="006E1D54"/>
    <w:rsid w:val="006E2C7A"/>
    <w:rsid w:val="006E32D6"/>
    <w:rsid w:val="006E445C"/>
    <w:rsid w:val="006E456F"/>
    <w:rsid w:val="006E5335"/>
    <w:rsid w:val="006E552D"/>
    <w:rsid w:val="006E5679"/>
    <w:rsid w:val="006E57AB"/>
    <w:rsid w:val="006E6405"/>
    <w:rsid w:val="006E6AA0"/>
    <w:rsid w:val="006E6D41"/>
    <w:rsid w:val="006E6E3D"/>
    <w:rsid w:val="006E7909"/>
    <w:rsid w:val="006E7F29"/>
    <w:rsid w:val="006F019B"/>
    <w:rsid w:val="006F0B44"/>
    <w:rsid w:val="006F1041"/>
    <w:rsid w:val="006F172C"/>
    <w:rsid w:val="006F1A05"/>
    <w:rsid w:val="006F1E4A"/>
    <w:rsid w:val="006F266D"/>
    <w:rsid w:val="006F27F1"/>
    <w:rsid w:val="006F33CA"/>
    <w:rsid w:val="006F3447"/>
    <w:rsid w:val="006F3CC9"/>
    <w:rsid w:val="006F4317"/>
    <w:rsid w:val="006F438F"/>
    <w:rsid w:val="006F48C0"/>
    <w:rsid w:val="006F4F6B"/>
    <w:rsid w:val="006F5AB5"/>
    <w:rsid w:val="006F6AAD"/>
    <w:rsid w:val="006F6B84"/>
    <w:rsid w:val="006F6E22"/>
    <w:rsid w:val="00700305"/>
    <w:rsid w:val="00700E75"/>
    <w:rsid w:val="00701175"/>
    <w:rsid w:val="007016D1"/>
    <w:rsid w:val="007017F0"/>
    <w:rsid w:val="00701915"/>
    <w:rsid w:val="00702F08"/>
    <w:rsid w:val="007032B2"/>
    <w:rsid w:val="007033A1"/>
    <w:rsid w:val="00703836"/>
    <w:rsid w:val="00703C35"/>
    <w:rsid w:val="00703D37"/>
    <w:rsid w:val="007042FA"/>
    <w:rsid w:val="007055A7"/>
    <w:rsid w:val="007056F2"/>
    <w:rsid w:val="00705B00"/>
    <w:rsid w:val="00705B44"/>
    <w:rsid w:val="007060C1"/>
    <w:rsid w:val="007066F4"/>
    <w:rsid w:val="007100FB"/>
    <w:rsid w:val="00711F7D"/>
    <w:rsid w:val="0071247E"/>
    <w:rsid w:val="00712A73"/>
    <w:rsid w:val="0071313E"/>
    <w:rsid w:val="00713497"/>
    <w:rsid w:val="00713575"/>
    <w:rsid w:val="00714331"/>
    <w:rsid w:val="00714BC0"/>
    <w:rsid w:val="00714FAA"/>
    <w:rsid w:val="007159BA"/>
    <w:rsid w:val="00716BA3"/>
    <w:rsid w:val="00717906"/>
    <w:rsid w:val="007206D4"/>
    <w:rsid w:val="0072137D"/>
    <w:rsid w:val="00721384"/>
    <w:rsid w:val="007213A3"/>
    <w:rsid w:val="00721647"/>
    <w:rsid w:val="0072179D"/>
    <w:rsid w:val="00721CAE"/>
    <w:rsid w:val="007222F1"/>
    <w:rsid w:val="00722C53"/>
    <w:rsid w:val="00722CD2"/>
    <w:rsid w:val="00722FCA"/>
    <w:rsid w:val="00723EE0"/>
    <w:rsid w:val="007248E6"/>
    <w:rsid w:val="00725508"/>
    <w:rsid w:val="00725C78"/>
    <w:rsid w:val="0072692D"/>
    <w:rsid w:val="0072721B"/>
    <w:rsid w:val="007273F0"/>
    <w:rsid w:val="007275C3"/>
    <w:rsid w:val="007300B9"/>
    <w:rsid w:val="007300C3"/>
    <w:rsid w:val="007303F6"/>
    <w:rsid w:val="00730497"/>
    <w:rsid w:val="00730838"/>
    <w:rsid w:val="00730982"/>
    <w:rsid w:val="00730B63"/>
    <w:rsid w:val="00730CFE"/>
    <w:rsid w:val="00731AEA"/>
    <w:rsid w:val="00731D02"/>
    <w:rsid w:val="007320F2"/>
    <w:rsid w:val="00732D94"/>
    <w:rsid w:val="007331C7"/>
    <w:rsid w:val="00733342"/>
    <w:rsid w:val="0073374C"/>
    <w:rsid w:val="007342C5"/>
    <w:rsid w:val="0073535F"/>
    <w:rsid w:val="00735461"/>
    <w:rsid w:val="00735A95"/>
    <w:rsid w:val="00735D5D"/>
    <w:rsid w:val="00736D15"/>
    <w:rsid w:val="00737166"/>
    <w:rsid w:val="007373C4"/>
    <w:rsid w:val="00737D26"/>
    <w:rsid w:val="00740015"/>
    <w:rsid w:val="0074037C"/>
    <w:rsid w:val="007404DE"/>
    <w:rsid w:val="0074063B"/>
    <w:rsid w:val="00740F00"/>
    <w:rsid w:val="00741292"/>
    <w:rsid w:val="007418E0"/>
    <w:rsid w:val="00741936"/>
    <w:rsid w:val="00741CC4"/>
    <w:rsid w:val="00742312"/>
    <w:rsid w:val="00742349"/>
    <w:rsid w:val="0074247C"/>
    <w:rsid w:val="00742C2A"/>
    <w:rsid w:val="00742C95"/>
    <w:rsid w:val="00742CA5"/>
    <w:rsid w:val="00742DA6"/>
    <w:rsid w:val="00743846"/>
    <w:rsid w:val="00743B56"/>
    <w:rsid w:val="0074404A"/>
    <w:rsid w:val="00744075"/>
    <w:rsid w:val="0074443B"/>
    <w:rsid w:val="0074486C"/>
    <w:rsid w:val="00745EE9"/>
    <w:rsid w:val="0074646E"/>
    <w:rsid w:val="007469FE"/>
    <w:rsid w:val="00746A5F"/>
    <w:rsid w:val="00746A98"/>
    <w:rsid w:val="00746F9A"/>
    <w:rsid w:val="00747175"/>
    <w:rsid w:val="00747A0A"/>
    <w:rsid w:val="007503A7"/>
    <w:rsid w:val="007503DB"/>
    <w:rsid w:val="0075089B"/>
    <w:rsid w:val="00751D33"/>
    <w:rsid w:val="00751E14"/>
    <w:rsid w:val="00752224"/>
    <w:rsid w:val="00753393"/>
    <w:rsid w:val="007538A2"/>
    <w:rsid w:val="00753B4B"/>
    <w:rsid w:val="00754728"/>
    <w:rsid w:val="00755029"/>
    <w:rsid w:val="007555A2"/>
    <w:rsid w:val="00755D76"/>
    <w:rsid w:val="007564EE"/>
    <w:rsid w:val="00756B59"/>
    <w:rsid w:val="0075702B"/>
    <w:rsid w:val="007604F1"/>
    <w:rsid w:val="00760A9A"/>
    <w:rsid w:val="00760C00"/>
    <w:rsid w:val="00760F26"/>
    <w:rsid w:val="00761D0E"/>
    <w:rsid w:val="00762594"/>
    <w:rsid w:val="00762728"/>
    <w:rsid w:val="007627CC"/>
    <w:rsid w:val="00763262"/>
    <w:rsid w:val="00763527"/>
    <w:rsid w:val="0076370A"/>
    <w:rsid w:val="00763A6F"/>
    <w:rsid w:val="0076402B"/>
    <w:rsid w:val="00764371"/>
    <w:rsid w:val="0076491A"/>
    <w:rsid w:val="007649B9"/>
    <w:rsid w:val="00764C18"/>
    <w:rsid w:val="00764DAE"/>
    <w:rsid w:val="00764F45"/>
    <w:rsid w:val="0076520C"/>
    <w:rsid w:val="0076550C"/>
    <w:rsid w:val="0076555B"/>
    <w:rsid w:val="007662C1"/>
    <w:rsid w:val="0076644D"/>
    <w:rsid w:val="00766B12"/>
    <w:rsid w:val="00766D42"/>
    <w:rsid w:val="00767008"/>
    <w:rsid w:val="00767017"/>
    <w:rsid w:val="0076702F"/>
    <w:rsid w:val="00767210"/>
    <w:rsid w:val="0076742D"/>
    <w:rsid w:val="00767B5D"/>
    <w:rsid w:val="00770508"/>
    <w:rsid w:val="007706D4"/>
    <w:rsid w:val="007706DE"/>
    <w:rsid w:val="00770797"/>
    <w:rsid w:val="00771765"/>
    <w:rsid w:val="00771B10"/>
    <w:rsid w:val="00772673"/>
    <w:rsid w:val="00773327"/>
    <w:rsid w:val="00773A7C"/>
    <w:rsid w:val="00773BA7"/>
    <w:rsid w:val="00773F09"/>
    <w:rsid w:val="00774414"/>
    <w:rsid w:val="00774608"/>
    <w:rsid w:val="0077485B"/>
    <w:rsid w:val="00774B41"/>
    <w:rsid w:val="007750A6"/>
    <w:rsid w:val="00775AD2"/>
    <w:rsid w:val="00775E64"/>
    <w:rsid w:val="007760AE"/>
    <w:rsid w:val="00776177"/>
    <w:rsid w:val="00776576"/>
    <w:rsid w:val="00776F25"/>
    <w:rsid w:val="00776F26"/>
    <w:rsid w:val="007775DC"/>
    <w:rsid w:val="00777CDD"/>
    <w:rsid w:val="00777FA8"/>
    <w:rsid w:val="00780464"/>
    <w:rsid w:val="007804D2"/>
    <w:rsid w:val="00780F78"/>
    <w:rsid w:val="00781112"/>
    <w:rsid w:val="00781C86"/>
    <w:rsid w:val="00781DD8"/>
    <w:rsid w:val="00781E98"/>
    <w:rsid w:val="0078204D"/>
    <w:rsid w:val="00782073"/>
    <w:rsid w:val="00782208"/>
    <w:rsid w:val="007824BB"/>
    <w:rsid w:val="00782749"/>
    <w:rsid w:val="00783AA0"/>
    <w:rsid w:val="00783D81"/>
    <w:rsid w:val="007846ED"/>
    <w:rsid w:val="00784724"/>
    <w:rsid w:val="00784DA8"/>
    <w:rsid w:val="00785044"/>
    <w:rsid w:val="00785179"/>
    <w:rsid w:val="00785275"/>
    <w:rsid w:val="00785E90"/>
    <w:rsid w:val="00785EFE"/>
    <w:rsid w:val="00786364"/>
    <w:rsid w:val="00786A04"/>
    <w:rsid w:val="00786CBD"/>
    <w:rsid w:val="00786DFF"/>
    <w:rsid w:val="0078709C"/>
    <w:rsid w:val="00787968"/>
    <w:rsid w:val="00787F11"/>
    <w:rsid w:val="007900CD"/>
    <w:rsid w:val="00790A3D"/>
    <w:rsid w:val="00790AAA"/>
    <w:rsid w:val="00790B01"/>
    <w:rsid w:val="00790C4F"/>
    <w:rsid w:val="00791486"/>
    <w:rsid w:val="00791B1D"/>
    <w:rsid w:val="00791D8B"/>
    <w:rsid w:val="00791EB6"/>
    <w:rsid w:val="00792408"/>
    <w:rsid w:val="00792A4A"/>
    <w:rsid w:val="00792C62"/>
    <w:rsid w:val="0079359B"/>
    <w:rsid w:val="00793A20"/>
    <w:rsid w:val="00793CEE"/>
    <w:rsid w:val="00794197"/>
    <w:rsid w:val="00794AF5"/>
    <w:rsid w:val="00794B9C"/>
    <w:rsid w:val="00795AE0"/>
    <w:rsid w:val="007962DE"/>
    <w:rsid w:val="00796547"/>
    <w:rsid w:val="007967CB"/>
    <w:rsid w:val="007967CE"/>
    <w:rsid w:val="0079682D"/>
    <w:rsid w:val="00796CD8"/>
    <w:rsid w:val="0079708C"/>
    <w:rsid w:val="007972E1"/>
    <w:rsid w:val="00797362"/>
    <w:rsid w:val="0079799C"/>
    <w:rsid w:val="00797E37"/>
    <w:rsid w:val="007A0401"/>
    <w:rsid w:val="007A042E"/>
    <w:rsid w:val="007A0EA5"/>
    <w:rsid w:val="007A1AF2"/>
    <w:rsid w:val="007A1D44"/>
    <w:rsid w:val="007A26A2"/>
    <w:rsid w:val="007A29C6"/>
    <w:rsid w:val="007A32DB"/>
    <w:rsid w:val="007A353D"/>
    <w:rsid w:val="007A36BB"/>
    <w:rsid w:val="007A3834"/>
    <w:rsid w:val="007A3E8E"/>
    <w:rsid w:val="007A4361"/>
    <w:rsid w:val="007A4A18"/>
    <w:rsid w:val="007A4B3D"/>
    <w:rsid w:val="007A4BAD"/>
    <w:rsid w:val="007A50DC"/>
    <w:rsid w:val="007A623B"/>
    <w:rsid w:val="007A6298"/>
    <w:rsid w:val="007A645B"/>
    <w:rsid w:val="007A6AEF"/>
    <w:rsid w:val="007A7277"/>
    <w:rsid w:val="007A739F"/>
    <w:rsid w:val="007A78CA"/>
    <w:rsid w:val="007A7CD4"/>
    <w:rsid w:val="007B0061"/>
    <w:rsid w:val="007B0066"/>
    <w:rsid w:val="007B0BC4"/>
    <w:rsid w:val="007B0C68"/>
    <w:rsid w:val="007B0E89"/>
    <w:rsid w:val="007B19D0"/>
    <w:rsid w:val="007B27BF"/>
    <w:rsid w:val="007B28F1"/>
    <w:rsid w:val="007B3165"/>
    <w:rsid w:val="007B33EC"/>
    <w:rsid w:val="007B41ED"/>
    <w:rsid w:val="007B4208"/>
    <w:rsid w:val="007B4E11"/>
    <w:rsid w:val="007B4F31"/>
    <w:rsid w:val="007B5417"/>
    <w:rsid w:val="007B5686"/>
    <w:rsid w:val="007B5A71"/>
    <w:rsid w:val="007B5CF1"/>
    <w:rsid w:val="007B5F3B"/>
    <w:rsid w:val="007B68AF"/>
    <w:rsid w:val="007B68B0"/>
    <w:rsid w:val="007B6986"/>
    <w:rsid w:val="007B70E3"/>
    <w:rsid w:val="007B722B"/>
    <w:rsid w:val="007B72BD"/>
    <w:rsid w:val="007B799E"/>
    <w:rsid w:val="007C01C9"/>
    <w:rsid w:val="007C02F2"/>
    <w:rsid w:val="007C0E32"/>
    <w:rsid w:val="007C146D"/>
    <w:rsid w:val="007C147B"/>
    <w:rsid w:val="007C18A3"/>
    <w:rsid w:val="007C282E"/>
    <w:rsid w:val="007C2F75"/>
    <w:rsid w:val="007C304B"/>
    <w:rsid w:val="007C339A"/>
    <w:rsid w:val="007C3480"/>
    <w:rsid w:val="007C402D"/>
    <w:rsid w:val="007C40EA"/>
    <w:rsid w:val="007C4BD9"/>
    <w:rsid w:val="007C5545"/>
    <w:rsid w:val="007C556E"/>
    <w:rsid w:val="007C59B0"/>
    <w:rsid w:val="007C5B87"/>
    <w:rsid w:val="007C6380"/>
    <w:rsid w:val="007C659C"/>
    <w:rsid w:val="007C6A02"/>
    <w:rsid w:val="007C6B83"/>
    <w:rsid w:val="007C6C82"/>
    <w:rsid w:val="007C78C8"/>
    <w:rsid w:val="007D064B"/>
    <w:rsid w:val="007D20BA"/>
    <w:rsid w:val="007D292B"/>
    <w:rsid w:val="007D295D"/>
    <w:rsid w:val="007D2B6B"/>
    <w:rsid w:val="007D3310"/>
    <w:rsid w:val="007D485D"/>
    <w:rsid w:val="007D4FC1"/>
    <w:rsid w:val="007D5A80"/>
    <w:rsid w:val="007D64FE"/>
    <w:rsid w:val="007D6CB5"/>
    <w:rsid w:val="007D7010"/>
    <w:rsid w:val="007D7087"/>
    <w:rsid w:val="007D7F9B"/>
    <w:rsid w:val="007E035F"/>
    <w:rsid w:val="007E0613"/>
    <w:rsid w:val="007E0656"/>
    <w:rsid w:val="007E0A2E"/>
    <w:rsid w:val="007E0DD3"/>
    <w:rsid w:val="007E1420"/>
    <w:rsid w:val="007E1733"/>
    <w:rsid w:val="007E1CA4"/>
    <w:rsid w:val="007E2265"/>
    <w:rsid w:val="007E23DD"/>
    <w:rsid w:val="007E278E"/>
    <w:rsid w:val="007E27B9"/>
    <w:rsid w:val="007E2C32"/>
    <w:rsid w:val="007E2D18"/>
    <w:rsid w:val="007E34D7"/>
    <w:rsid w:val="007E3956"/>
    <w:rsid w:val="007E474D"/>
    <w:rsid w:val="007E47FC"/>
    <w:rsid w:val="007E4C1E"/>
    <w:rsid w:val="007E54DE"/>
    <w:rsid w:val="007E6587"/>
    <w:rsid w:val="007E66FB"/>
    <w:rsid w:val="007E691C"/>
    <w:rsid w:val="007F05FB"/>
    <w:rsid w:val="007F061E"/>
    <w:rsid w:val="007F39EE"/>
    <w:rsid w:val="007F3ACC"/>
    <w:rsid w:val="007F3D50"/>
    <w:rsid w:val="007F475F"/>
    <w:rsid w:val="007F478E"/>
    <w:rsid w:val="007F4A8D"/>
    <w:rsid w:val="007F5000"/>
    <w:rsid w:val="007F5A28"/>
    <w:rsid w:val="007F5E60"/>
    <w:rsid w:val="007F795A"/>
    <w:rsid w:val="007F79CE"/>
    <w:rsid w:val="0080084F"/>
    <w:rsid w:val="00801A48"/>
    <w:rsid w:val="00801DEB"/>
    <w:rsid w:val="0080308C"/>
    <w:rsid w:val="00803256"/>
    <w:rsid w:val="00803479"/>
    <w:rsid w:val="0080364D"/>
    <w:rsid w:val="008039AD"/>
    <w:rsid w:val="00803FC2"/>
    <w:rsid w:val="008048FE"/>
    <w:rsid w:val="0080511F"/>
    <w:rsid w:val="0080593A"/>
    <w:rsid w:val="00806641"/>
    <w:rsid w:val="008068C9"/>
    <w:rsid w:val="0080690E"/>
    <w:rsid w:val="00807837"/>
    <w:rsid w:val="00807908"/>
    <w:rsid w:val="00807C1A"/>
    <w:rsid w:val="00807DC4"/>
    <w:rsid w:val="0081001D"/>
    <w:rsid w:val="00811055"/>
    <w:rsid w:val="0081112E"/>
    <w:rsid w:val="0081113F"/>
    <w:rsid w:val="00811C0E"/>
    <w:rsid w:val="00811CEF"/>
    <w:rsid w:val="008123C0"/>
    <w:rsid w:val="008127E4"/>
    <w:rsid w:val="0081287C"/>
    <w:rsid w:val="00813679"/>
    <w:rsid w:val="008147CE"/>
    <w:rsid w:val="008148E1"/>
    <w:rsid w:val="0081494C"/>
    <w:rsid w:val="00814C26"/>
    <w:rsid w:val="00814CCD"/>
    <w:rsid w:val="00814E0C"/>
    <w:rsid w:val="00814F96"/>
    <w:rsid w:val="00816377"/>
    <w:rsid w:val="00816740"/>
    <w:rsid w:val="0081695C"/>
    <w:rsid w:val="008169DF"/>
    <w:rsid w:val="00817695"/>
    <w:rsid w:val="00817905"/>
    <w:rsid w:val="00817D3A"/>
    <w:rsid w:val="00817FFD"/>
    <w:rsid w:val="00820F53"/>
    <w:rsid w:val="00821A5B"/>
    <w:rsid w:val="00821E69"/>
    <w:rsid w:val="0082237F"/>
    <w:rsid w:val="00822386"/>
    <w:rsid w:val="0082247A"/>
    <w:rsid w:val="00823FFD"/>
    <w:rsid w:val="0082437F"/>
    <w:rsid w:val="00824B3B"/>
    <w:rsid w:val="00825039"/>
    <w:rsid w:val="0082570F"/>
    <w:rsid w:val="00825885"/>
    <w:rsid w:val="00825B71"/>
    <w:rsid w:val="00825EED"/>
    <w:rsid w:val="0082660C"/>
    <w:rsid w:val="00826C7C"/>
    <w:rsid w:val="00827337"/>
    <w:rsid w:val="008275B6"/>
    <w:rsid w:val="00827BE1"/>
    <w:rsid w:val="00827FC2"/>
    <w:rsid w:val="00831290"/>
    <w:rsid w:val="00831629"/>
    <w:rsid w:val="00831F27"/>
    <w:rsid w:val="00832695"/>
    <w:rsid w:val="008328CD"/>
    <w:rsid w:val="0083531B"/>
    <w:rsid w:val="00835853"/>
    <w:rsid w:val="008359E9"/>
    <w:rsid w:val="00835B52"/>
    <w:rsid w:val="00835DAE"/>
    <w:rsid w:val="0083660E"/>
    <w:rsid w:val="00836C38"/>
    <w:rsid w:val="00837218"/>
    <w:rsid w:val="008373A3"/>
    <w:rsid w:val="008373FA"/>
    <w:rsid w:val="0083768E"/>
    <w:rsid w:val="008379F0"/>
    <w:rsid w:val="00837A42"/>
    <w:rsid w:val="00837AA7"/>
    <w:rsid w:val="00837C17"/>
    <w:rsid w:val="00837D9D"/>
    <w:rsid w:val="00840DC5"/>
    <w:rsid w:val="008410F6"/>
    <w:rsid w:val="0084132F"/>
    <w:rsid w:val="00841576"/>
    <w:rsid w:val="0084167F"/>
    <w:rsid w:val="0084269C"/>
    <w:rsid w:val="0084387B"/>
    <w:rsid w:val="008440FA"/>
    <w:rsid w:val="0084411F"/>
    <w:rsid w:val="00844358"/>
    <w:rsid w:val="00844766"/>
    <w:rsid w:val="00844E00"/>
    <w:rsid w:val="00845CE7"/>
    <w:rsid w:val="00846DB2"/>
    <w:rsid w:val="008473BB"/>
    <w:rsid w:val="00847455"/>
    <w:rsid w:val="00847A13"/>
    <w:rsid w:val="00847DF4"/>
    <w:rsid w:val="008523F8"/>
    <w:rsid w:val="00852402"/>
    <w:rsid w:val="008525AC"/>
    <w:rsid w:val="0085297B"/>
    <w:rsid w:val="00852D31"/>
    <w:rsid w:val="0085331E"/>
    <w:rsid w:val="0085351A"/>
    <w:rsid w:val="00853928"/>
    <w:rsid w:val="00853DE4"/>
    <w:rsid w:val="00854343"/>
    <w:rsid w:val="00854E80"/>
    <w:rsid w:val="008551B4"/>
    <w:rsid w:val="00855313"/>
    <w:rsid w:val="00856F45"/>
    <w:rsid w:val="008572C1"/>
    <w:rsid w:val="00857C77"/>
    <w:rsid w:val="00857E5F"/>
    <w:rsid w:val="00857F55"/>
    <w:rsid w:val="0086177A"/>
    <w:rsid w:val="00861786"/>
    <w:rsid w:val="008618FA"/>
    <w:rsid w:val="008624FA"/>
    <w:rsid w:val="008627D1"/>
    <w:rsid w:val="00863290"/>
    <w:rsid w:val="00863ED8"/>
    <w:rsid w:val="008649A0"/>
    <w:rsid w:val="00866410"/>
    <w:rsid w:val="008669B3"/>
    <w:rsid w:val="00866B44"/>
    <w:rsid w:val="00866E62"/>
    <w:rsid w:val="00867A30"/>
    <w:rsid w:val="00867ABD"/>
    <w:rsid w:val="00867F82"/>
    <w:rsid w:val="00870033"/>
    <w:rsid w:val="0087042E"/>
    <w:rsid w:val="008705DA"/>
    <w:rsid w:val="0087094D"/>
    <w:rsid w:val="008712A1"/>
    <w:rsid w:val="00871355"/>
    <w:rsid w:val="008716B8"/>
    <w:rsid w:val="00871B7F"/>
    <w:rsid w:val="008721FB"/>
    <w:rsid w:val="0087282F"/>
    <w:rsid w:val="00872A19"/>
    <w:rsid w:val="00872BB0"/>
    <w:rsid w:val="0087314A"/>
    <w:rsid w:val="00873491"/>
    <w:rsid w:val="0087361F"/>
    <w:rsid w:val="008738CC"/>
    <w:rsid w:val="00873F28"/>
    <w:rsid w:val="00873F8C"/>
    <w:rsid w:val="0087409F"/>
    <w:rsid w:val="00874325"/>
    <w:rsid w:val="0087466E"/>
    <w:rsid w:val="0087498C"/>
    <w:rsid w:val="008749AE"/>
    <w:rsid w:val="00874AFE"/>
    <w:rsid w:val="00874CC7"/>
    <w:rsid w:val="00875217"/>
    <w:rsid w:val="008753B1"/>
    <w:rsid w:val="0087551F"/>
    <w:rsid w:val="0087623D"/>
    <w:rsid w:val="008763DC"/>
    <w:rsid w:val="00876419"/>
    <w:rsid w:val="00876F64"/>
    <w:rsid w:val="00876FCC"/>
    <w:rsid w:val="008772ED"/>
    <w:rsid w:val="00877951"/>
    <w:rsid w:val="00877A6C"/>
    <w:rsid w:val="00877E3C"/>
    <w:rsid w:val="0088015C"/>
    <w:rsid w:val="0088110C"/>
    <w:rsid w:val="00881D65"/>
    <w:rsid w:val="00882556"/>
    <w:rsid w:val="00883300"/>
    <w:rsid w:val="0088425B"/>
    <w:rsid w:val="0088425D"/>
    <w:rsid w:val="00884A8F"/>
    <w:rsid w:val="00884BC0"/>
    <w:rsid w:val="00884C20"/>
    <w:rsid w:val="00885516"/>
    <w:rsid w:val="008857D5"/>
    <w:rsid w:val="00885BBB"/>
    <w:rsid w:val="00885D94"/>
    <w:rsid w:val="008860B7"/>
    <w:rsid w:val="00886A65"/>
    <w:rsid w:val="008874E8"/>
    <w:rsid w:val="008875D8"/>
    <w:rsid w:val="00887B0B"/>
    <w:rsid w:val="008901EA"/>
    <w:rsid w:val="00890499"/>
    <w:rsid w:val="0089178E"/>
    <w:rsid w:val="00891B62"/>
    <w:rsid w:val="00892DC6"/>
    <w:rsid w:val="00893205"/>
    <w:rsid w:val="0089356E"/>
    <w:rsid w:val="00893834"/>
    <w:rsid w:val="008938AA"/>
    <w:rsid w:val="00893B46"/>
    <w:rsid w:val="0089451B"/>
    <w:rsid w:val="008946E5"/>
    <w:rsid w:val="00894A15"/>
    <w:rsid w:val="00894C3A"/>
    <w:rsid w:val="00894CDD"/>
    <w:rsid w:val="008951BF"/>
    <w:rsid w:val="00895366"/>
    <w:rsid w:val="0089562E"/>
    <w:rsid w:val="008964D1"/>
    <w:rsid w:val="008970CF"/>
    <w:rsid w:val="008977ED"/>
    <w:rsid w:val="008A0284"/>
    <w:rsid w:val="008A2878"/>
    <w:rsid w:val="008A28DB"/>
    <w:rsid w:val="008A2B99"/>
    <w:rsid w:val="008A2CAA"/>
    <w:rsid w:val="008A308B"/>
    <w:rsid w:val="008A3E10"/>
    <w:rsid w:val="008A4459"/>
    <w:rsid w:val="008A452F"/>
    <w:rsid w:val="008A4CF7"/>
    <w:rsid w:val="008A57FE"/>
    <w:rsid w:val="008A58D7"/>
    <w:rsid w:val="008A5967"/>
    <w:rsid w:val="008A6877"/>
    <w:rsid w:val="008A69D1"/>
    <w:rsid w:val="008A6A9C"/>
    <w:rsid w:val="008A74E0"/>
    <w:rsid w:val="008A76D1"/>
    <w:rsid w:val="008B0EE2"/>
    <w:rsid w:val="008B2234"/>
    <w:rsid w:val="008B2CB8"/>
    <w:rsid w:val="008B3036"/>
    <w:rsid w:val="008B313C"/>
    <w:rsid w:val="008B32BE"/>
    <w:rsid w:val="008B32CA"/>
    <w:rsid w:val="008B3B40"/>
    <w:rsid w:val="008B574F"/>
    <w:rsid w:val="008B61F8"/>
    <w:rsid w:val="008B6643"/>
    <w:rsid w:val="008B6B6B"/>
    <w:rsid w:val="008B75F4"/>
    <w:rsid w:val="008B7AA2"/>
    <w:rsid w:val="008B7EB0"/>
    <w:rsid w:val="008C0193"/>
    <w:rsid w:val="008C05D6"/>
    <w:rsid w:val="008C0A74"/>
    <w:rsid w:val="008C0B49"/>
    <w:rsid w:val="008C0CED"/>
    <w:rsid w:val="008C0DF1"/>
    <w:rsid w:val="008C0EEE"/>
    <w:rsid w:val="008C11B5"/>
    <w:rsid w:val="008C128A"/>
    <w:rsid w:val="008C14D7"/>
    <w:rsid w:val="008C1989"/>
    <w:rsid w:val="008C22BF"/>
    <w:rsid w:val="008C247E"/>
    <w:rsid w:val="008C2B4C"/>
    <w:rsid w:val="008C2C3C"/>
    <w:rsid w:val="008C317D"/>
    <w:rsid w:val="008C364D"/>
    <w:rsid w:val="008C3CB5"/>
    <w:rsid w:val="008C4E81"/>
    <w:rsid w:val="008C6340"/>
    <w:rsid w:val="008C6ACF"/>
    <w:rsid w:val="008C6B42"/>
    <w:rsid w:val="008C72D1"/>
    <w:rsid w:val="008C79BB"/>
    <w:rsid w:val="008C7EB5"/>
    <w:rsid w:val="008C7FB1"/>
    <w:rsid w:val="008C7FC5"/>
    <w:rsid w:val="008D00EB"/>
    <w:rsid w:val="008D0C14"/>
    <w:rsid w:val="008D0E4F"/>
    <w:rsid w:val="008D0FBC"/>
    <w:rsid w:val="008D1B92"/>
    <w:rsid w:val="008D1ED5"/>
    <w:rsid w:val="008D25F8"/>
    <w:rsid w:val="008D2BB8"/>
    <w:rsid w:val="008D36E3"/>
    <w:rsid w:val="008D38D9"/>
    <w:rsid w:val="008D3C8F"/>
    <w:rsid w:val="008D3EFF"/>
    <w:rsid w:val="008D4263"/>
    <w:rsid w:val="008D49EC"/>
    <w:rsid w:val="008D5334"/>
    <w:rsid w:val="008D5342"/>
    <w:rsid w:val="008D635B"/>
    <w:rsid w:val="008D674C"/>
    <w:rsid w:val="008D767F"/>
    <w:rsid w:val="008D7681"/>
    <w:rsid w:val="008E28F1"/>
    <w:rsid w:val="008E2BD5"/>
    <w:rsid w:val="008E34A8"/>
    <w:rsid w:val="008E3724"/>
    <w:rsid w:val="008E3A13"/>
    <w:rsid w:val="008E4143"/>
    <w:rsid w:val="008E42E5"/>
    <w:rsid w:val="008E5564"/>
    <w:rsid w:val="008E5603"/>
    <w:rsid w:val="008E57C2"/>
    <w:rsid w:val="008E5F18"/>
    <w:rsid w:val="008E6723"/>
    <w:rsid w:val="008E7660"/>
    <w:rsid w:val="008E79C3"/>
    <w:rsid w:val="008E79F1"/>
    <w:rsid w:val="008F04B1"/>
    <w:rsid w:val="008F0775"/>
    <w:rsid w:val="008F097F"/>
    <w:rsid w:val="008F2136"/>
    <w:rsid w:val="008F2340"/>
    <w:rsid w:val="008F2557"/>
    <w:rsid w:val="008F3700"/>
    <w:rsid w:val="008F3BD3"/>
    <w:rsid w:val="008F40E0"/>
    <w:rsid w:val="008F416D"/>
    <w:rsid w:val="008F43C3"/>
    <w:rsid w:val="008F4B6B"/>
    <w:rsid w:val="008F4D21"/>
    <w:rsid w:val="008F5114"/>
    <w:rsid w:val="008F5900"/>
    <w:rsid w:val="008F612A"/>
    <w:rsid w:val="008F67BB"/>
    <w:rsid w:val="008F6A99"/>
    <w:rsid w:val="008F6AC1"/>
    <w:rsid w:val="008F6D54"/>
    <w:rsid w:val="008F6FAE"/>
    <w:rsid w:val="008F740B"/>
    <w:rsid w:val="008F7807"/>
    <w:rsid w:val="008F7B75"/>
    <w:rsid w:val="008F7C00"/>
    <w:rsid w:val="008F7D89"/>
    <w:rsid w:val="00900744"/>
    <w:rsid w:val="00900B2E"/>
    <w:rsid w:val="0090207E"/>
    <w:rsid w:val="0090211E"/>
    <w:rsid w:val="009021E7"/>
    <w:rsid w:val="0090232C"/>
    <w:rsid w:val="0090246C"/>
    <w:rsid w:val="009025B4"/>
    <w:rsid w:val="00903E88"/>
    <w:rsid w:val="00904F7F"/>
    <w:rsid w:val="0090577B"/>
    <w:rsid w:val="00905B2B"/>
    <w:rsid w:val="00905CE4"/>
    <w:rsid w:val="00906159"/>
    <w:rsid w:val="00906472"/>
    <w:rsid w:val="009068B4"/>
    <w:rsid w:val="00906D22"/>
    <w:rsid w:val="009079A0"/>
    <w:rsid w:val="00910044"/>
    <w:rsid w:val="00910184"/>
    <w:rsid w:val="0091058F"/>
    <w:rsid w:val="0091059B"/>
    <w:rsid w:val="00910B40"/>
    <w:rsid w:val="009112B8"/>
    <w:rsid w:val="009122EC"/>
    <w:rsid w:val="00912B94"/>
    <w:rsid w:val="00912BDB"/>
    <w:rsid w:val="009134F9"/>
    <w:rsid w:val="00913532"/>
    <w:rsid w:val="00913585"/>
    <w:rsid w:val="0091387C"/>
    <w:rsid w:val="00913DEB"/>
    <w:rsid w:val="009148F7"/>
    <w:rsid w:val="009149E4"/>
    <w:rsid w:val="00914FF7"/>
    <w:rsid w:val="009150FD"/>
    <w:rsid w:val="00915B8E"/>
    <w:rsid w:val="00916038"/>
    <w:rsid w:val="00916343"/>
    <w:rsid w:val="00916AF4"/>
    <w:rsid w:val="00917528"/>
    <w:rsid w:val="00920F94"/>
    <w:rsid w:val="009211FB"/>
    <w:rsid w:val="00921818"/>
    <w:rsid w:val="00921DAA"/>
    <w:rsid w:val="0092254A"/>
    <w:rsid w:val="00923174"/>
    <w:rsid w:val="00923232"/>
    <w:rsid w:val="0092366B"/>
    <w:rsid w:val="009243E6"/>
    <w:rsid w:val="009249D8"/>
    <w:rsid w:val="00924F00"/>
    <w:rsid w:val="00925211"/>
    <w:rsid w:val="0092524A"/>
    <w:rsid w:val="00926A0D"/>
    <w:rsid w:val="00926B15"/>
    <w:rsid w:val="00926C85"/>
    <w:rsid w:val="00926E7C"/>
    <w:rsid w:val="00927429"/>
    <w:rsid w:val="0092763C"/>
    <w:rsid w:val="00927ED3"/>
    <w:rsid w:val="0093023E"/>
    <w:rsid w:val="0093027B"/>
    <w:rsid w:val="00930BC1"/>
    <w:rsid w:val="00931126"/>
    <w:rsid w:val="009317A2"/>
    <w:rsid w:val="00931B33"/>
    <w:rsid w:val="00931CFC"/>
    <w:rsid w:val="00931D5D"/>
    <w:rsid w:val="00931FA7"/>
    <w:rsid w:val="009324B4"/>
    <w:rsid w:val="00932A97"/>
    <w:rsid w:val="00933005"/>
    <w:rsid w:val="009338E5"/>
    <w:rsid w:val="009339D1"/>
    <w:rsid w:val="009339FE"/>
    <w:rsid w:val="00933CBA"/>
    <w:rsid w:val="00933E15"/>
    <w:rsid w:val="00934B1D"/>
    <w:rsid w:val="00934F3D"/>
    <w:rsid w:val="00935104"/>
    <w:rsid w:val="00935419"/>
    <w:rsid w:val="00935DBB"/>
    <w:rsid w:val="009363AB"/>
    <w:rsid w:val="009367A5"/>
    <w:rsid w:val="0093719F"/>
    <w:rsid w:val="00937937"/>
    <w:rsid w:val="00937BE7"/>
    <w:rsid w:val="00937E8B"/>
    <w:rsid w:val="00940E3E"/>
    <w:rsid w:val="00941A72"/>
    <w:rsid w:val="00943A91"/>
    <w:rsid w:val="00943DE8"/>
    <w:rsid w:val="00944B4F"/>
    <w:rsid w:val="00944B57"/>
    <w:rsid w:val="009450A9"/>
    <w:rsid w:val="00945844"/>
    <w:rsid w:val="00945ACF"/>
    <w:rsid w:val="00945E96"/>
    <w:rsid w:val="00946382"/>
    <w:rsid w:val="00946B1C"/>
    <w:rsid w:val="00947630"/>
    <w:rsid w:val="009478FD"/>
    <w:rsid w:val="00950A09"/>
    <w:rsid w:val="00950C4E"/>
    <w:rsid w:val="00950C9F"/>
    <w:rsid w:val="0095153B"/>
    <w:rsid w:val="00951C62"/>
    <w:rsid w:val="0095204B"/>
    <w:rsid w:val="009522EE"/>
    <w:rsid w:val="00952799"/>
    <w:rsid w:val="00952E01"/>
    <w:rsid w:val="00952FF8"/>
    <w:rsid w:val="009531F3"/>
    <w:rsid w:val="00953434"/>
    <w:rsid w:val="00953DB4"/>
    <w:rsid w:val="00954708"/>
    <w:rsid w:val="00955204"/>
    <w:rsid w:val="0095527C"/>
    <w:rsid w:val="00955806"/>
    <w:rsid w:val="00955975"/>
    <w:rsid w:val="009561B0"/>
    <w:rsid w:val="0095620F"/>
    <w:rsid w:val="00956540"/>
    <w:rsid w:val="00956A6C"/>
    <w:rsid w:val="0095711B"/>
    <w:rsid w:val="00957410"/>
    <w:rsid w:val="009575A1"/>
    <w:rsid w:val="00957AFE"/>
    <w:rsid w:val="00960090"/>
    <w:rsid w:val="00960472"/>
    <w:rsid w:val="00960BE1"/>
    <w:rsid w:val="00960C53"/>
    <w:rsid w:val="00961216"/>
    <w:rsid w:val="00961BB0"/>
    <w:rsid w:val="0096234E"/>
    <w:rsid w:val="009623CD"/>
    <w:rsid w:val="009625B1"/>
    <w:rsid w:val="00962F33"/>
    <w:rsid w:val="00963CDD"/>
    <w:rsid w:val="00964CAB"/>
    <w:rsid w:val="00965092"/>
    <w:rsid w:val="00965163"/>
    <w:rsid w:val="0096540B"/>
    <w:rsid w:val="0096590C"/>
    <w:rsid w:val="00966695"/>
    <w:rsid w:val="00966846"/>
    <w:rsid w:val="00966D90"/>
    <w:rsid w:val="00966E3C"/>
    <w:rsid w:val="009670BB"/>
    <w:rsid w:val="009672CB"/>
    <w:rsid w:val="009700AD"/>
    <w:rsid w:val="00970294"/>
    <w:rsid w:val="00970303"/>
    <w:rsid w:val="00970396"/>
    <w:rsid w:val="00970460"/>
    <w:rsid w:val="009707FE"/>
    <w:rsid w:val="009715A4"/>
    <w:rsid w:val="00971EB3"/>
    <w:rsid w:val="0097238A"/>
    <w:rsid w:val="009724D2"/>
    <w:rsid w:val="009727B9"/>
    <w:rsid w:val="00972845"/>
    <w:rsid w:val="009731EC"/>
    <w:rsid w:val="009738E5"/>
    <w:rsid w:val="00973AF0"/>
    <w:rsid w:val="00973B5C"/>
    <w:rsid w:val="00974017"/>
    <w:rsid w:val="009741FD"/>
    <w:rsid w:val="00974B79"/>
    <w:rsid w:val="0097500A"/>
    <w:rsid w:val="009750B7"/>
    <w:rsid w:val="0097514D"/>
    <w:rsid w:val="00975569"/>
    <w:rsid w:val="0097593E"/>
    <w:rsid w:val="00976BC8"/>
    <w:rsid w:val="00976C10"/>
    <w:rsid w:val="009774F2"/>
    <w:rsid w:val="0097770E"/>
    <w:rsid w:val="00977BAC"/>
    <w:rsid w:val="00980122"/>
    <w:rsid w:val="009801E4"/>
    <w:rsid w:val="009802FA"/>
    <w:rsid w:val="00980862"/>
    <w:rsid w:val="00980992"/>
    <w:rsid w:val="00980BBE"/>
    <w:rsid w:val="00981A52"/>
    <w:rsid w:val="00981DEF"/>
    <w:rsid w:val="0098217D"/>
    <w:rsid w:val="00982368"/>
    <w:rsid w:val="00982B41"/>
    <w:rsid w:val="00982FE8"/>
    <w:rsid w:val="00984042"/>
    <w:rsid w:val="00984091"/>
    <w:rsid w:val="00984371"/>
    <w:rsid w:val="0098446A"/>
    <w:rsid w:val="00984714"/>
    <w:rsid w:val="00984C53"/>
    <w:rsid w:val="009858DF"/>
    <w:rsid w:val="00986187"/>
    <w:rsid w:val="0098630C"/>
    <w:rsid w:val="009871A3"/>
    <w:rsid w:val="00987408"/>
    <w:rsid w:val="0099042F"/>
    <w:rsid w:val="009904CA"/>
    <w:rsid w:val="00990C6F"/>
    <w:rsid w:val="0099141D"/>
    <w:rsid w:val="009914DB"/>
    <w:rsid w:val="00991769"/>
    <w:rsid w:val="009930E8"/>
    <w:rsid w:val="00993BDB"/>
    <w:rsid w:val="00994680"/>
    <w:rsid w:val="009949E2"/>
    <w:rsid w:val="00994E8D"/>
    <w:rsid w:val="009953AB"/>
    <w:rsid w:val="009953B7"/>
    <w:rsid w:val="00995F17"/>
    <w:rsid w:val="0099605F"/>
    <w:rsid w:val="009965BD"/>
    <w:rsid w:val="00996AA9"/>
    <w:rsid w:val="00996F92"/>
    <w:rsid w:val="00996FF8"/>
    <w:rsid w:val="00997349"/>
    <w:rsid w:val="009973FD"/>
    <w:rsid w:val="00997B3B"/>
    <w:rsid w:val="00997C60"/>
    <w:rsid w:val="009A032A"/>
    <w:rsid w:val="009A0F1A"/>
    <w:rsid w:val="009A1887"/>
    <w:rsid w:val="009A205F"/>
    <w:rsid w:val="009A28DF"/>
    <w:rsid w:val="009A2F32"/>
    <w:rsid w:val="009A374A"/>
    <w:rsid w:val="009A3A8A"/>
    <w:rsid w:val="009A3FD6"/>
    <w:rsid w:val="009A3FF2"/>
    <w:rsid w:val="009A4A80"/>
    <w:rsid w:val="009A512F"/>
    <w:rsid w:val="009A54CC"/>
    <w:rsid w:val="009A56B6"/>
    <w:rsid w:val="009A59AB"/>
    <w:rsid w:val="009A5A93"/>
    <w:rsid w:val="009A5DC0"/>
    <w:rsid w:val="009A680E"/>
    <w:rsid w:val="009A70D9"/>
    <w:rsid w:val="009A72D2"/>
    <w:rsid w:val="009A7647"/>
    <w:rsid w:val="009B0067"/>
    <w:rsid w:val="009B0212"/>
    <w:rsid w:val="009B0384"/>
    <w:rsid w:val="009B0FBF"/>
    <w:rsid w:val="009B1263"/>
    <w:rsid w:val="009B1B97"/>
    <w:rsid w:val="009B1C97"/>
    <w:rsid w:val="009B1EBA"/>
    <w:rsid w:val="009B2251"/>
    <w:rsid w:val="009B2288"/>
    <w:rsid w:val="009B24B8"/>
    <w:rsid w:val="009B27D8"/>
    <w:rsid w:val="009B29DB"/>
    <w:rsid w:val="009B2B2B"/>
    <w:rsid w:val="009B2F6F"/>
    <w:rsid w:val="009B4A8E"/>
    <w:rsid w:val="009B4DB9"/>
    <w:rsid w:val="009B5040"/>
    <w:rsid w:val="009B5A36"/>
    <w:rsid w:val="009B5E94"/>
    <w:rsid w:val="009B73A5"/>
    <w:rsid w:val="009B7C96"/>
    <w:rsid w:val="009C0244"/>
    <w:rsid w:val="009C02E6"/>
    <w:rsid w:val="009C06B6"/>
    <w:rsid w:val="009C0882"/>
    <w:rsid w:val="009C0E61"/>
    <w:rsid w:val="009C33C1"/>
    <w:rsid w:val="009C440C"/>
    <w:rsid w:val="009C446B"/>
    <w:rsid w:val="009C5E9E"/>
    <w:rsid w:val="009C605C"/>
    <w:rsid w:val="009C665E"/>
    <w:rsid w:val="009C7A30"/>
    <w:rsid w:val="009C7B37"/>
    <w:rsid w:val="009D0198"/>
    <w:rsid w:val="009D0EEB"/>
    <w:rsid w:val="009D133A"/>
    <w:rsid w:val="009D1391"/>
    <w:rsid w:val="009D1867"/>
    <w:rsid w:val="009D18F9"/>
    <w:rsid w:val="009D1F23"/>
    <w:rsid w:val="009D20E0"/>
    <w:rsid w:val="009D2882"/>
    <w:rsid w:val="009D2DDB"/>
    <w:rsid w:val="009D3286"/>
    <w:rsid w:val="009D32E4"/>
    <w:rsid w:val="009D3BE2"/>
    <w:rsid w:val="009D3D1E"/>
    <w:rsid w:val="009D3F74"/>
    <w:rsid w:val="009D4C0D"/>
    <w:rsid w:val="009D5103"/>
    <w:rsid w:val="009D5118"/>
    <w:rsid w:val="009D53B9"/>
    <w:rsid w:val="009D564B"/>
    <w:rsid w:val="009D5876"/>
    <w:rsid w:val="009D6397"/>
    <w:rsid w:val="009D65FB"/>
    <w:rsid w:val="009D664A"/>
    <w:rsid w:val="009D6B76"/>
    <w:rsid w:val="009D77BD"/>
    <w:rsid w:val="009D77FD"/>
    <w:rsid w:val="009D7818"/>
    <w:rsid w:val="009D7A01"/>
    <w:rsid w:val="009D7CF6"/>
    <w:rsid w:val="009D7DED"/>
    <w:rsid w:val="009D7E14"/>
    <w:rsid w:val="009E0E39"/>
    <w:rsid w:val="009E0F63"/>
    <w:rsid w:val="009E13B8"/>
    <w:rsid w:val="009E1925"/>
    <w:rsid w:val="009E19AC"/>
    <w:rsid w:val="009E2E74"/>
    <w:rsid w:val="009E30D8"/>
    <w:rsid w:val="009E3200"/>
    <w:rsid w:val="009E3665"/>
    <w:rsid w:val="009E3EA8"/>
    <w:rsid w:val="009E4032"/>
    <w:rsid w:val="009E459B"/>
    <w:rsid w:val="009E497A"/>
    <w:rsid w:val="009E4ACE"/>
    <w:rsid w:val="009E4BD5"/>
    <w:rsid w:val="009E4BF9"/>
    <w:rsid w:val="009E4D54"/>
    <w:rsid w:val="009E4F15"/>
    <w:rsid w:val="009E5221"/>
    <w:rsid w:val="009E5B6B"/>
    <w:rsid w:val="009E5FD1"/>
    <w:rsid w:val="009E6F7A"/>
    <w:rsid w:val="009E76B8"/>
    <w:rsid w:val="009E791E"/>
    <w:rsid w:val="009E7C7D"/>
    <w:rsid w:val="009F0008"/>
    <w:rsid w:val="009F0B4F"/>
    <w:rsid w:val="009F1440"/>
    <w:rsid w:val="009F14D3"/>
    <w:rsid w:val="009F179F"/>
    <w:rsid w:val="009F2222"/>
    <w:rsid w:val="009F231A"/>
    <w:rsid w:val="009F2709"/>
    <w:rsid w:val="009F3157"/>
    <w:rsid w:val="009F4274"/>
    <w:rsid w:val="009F427D"/>
    <w:rsid w:val="009F4A78"/>
    <w:rsid w:val="009F4E84"/>
    <w:rsid w:val="009F52BE"/>
    <w:rsid w:val="009F5840"/>
    <w:rsid w:val="009F5937"/>
    <w:rsid w:val="009F594B"/>
    <w:rsid w:val="009F63E6"/>
    <w:rsid w:val="009F649D"/>
    <w:rsid w:val="009F6B6D"/>
    <w:rsid w:val="009F72A4"/>
    <w:rsid w:val="009F7731"/>
    <w:rsid w:val="009F7A71"/>
    <w:rsid w:val="009F7CAA"/>
    <w:rsid w:val="009F7D31"/>
    <w:rsid w:val="00A001A3"/>
    <w:rsid w:val="00A003D5"/>
    <w:rsid w:val="00A009F9"/>
    <w:rsid w:val="00A00C10"/>
    <w:rsid w:val="00A028B9"/>
    <w:rsid w:val="00A03537"/>
    <w:rsid w:val="00A0370E"/>
    <w:rsid w:val="00A03BBB"/>
    <w:rsid w:val="00A043D2"/>
    <w:rsid w:val="00A050A2"/>
    <w:rsid w:val="00A05B34"/>
    <w:rsid w:val="00A064DA"/>
    <w:rsid w:val="00A06644"/>
    <w:rsid w:val="00A06843"/>
    <w:rsid w:val="00A06BCD"/>
    <w:rsid w:val="00A06F06"/>
    <w:rsid w:val="00A07B72"/>
    <w:rsid w:val="00A07E32"/>
    <w:rsid w:val="00A104DF"/>
    <w:rsid w:val="00A10E11"/>
    <w:rsid w:val="00A11972"/>
    <w:rsid w:val="00A11B47"/>
    <w:rsid w:val="00A124D3"/>
    <w:rsid w:val="00A1281B"/>
    <w:rsid w:val="00A12C08"/>
    <w:rsid w:val="00A12EF3"/>
    <w:rsid w:val="00A130C7"/>
    <w:rsid w:val="00A13CE9"/>
    <w:rsid w:val="00A140FA"/>
    <w:rsid w:val="00A141D0"/>
    <w:rsid w:val="00A1423C"/>
    <w:rsid w:val="00A14252"/>
    <w:rsid w:val="00A145C7"/>
    <w:rsid w:val="00A14604"/>
    <w:rsid w:val="00A1491A"/>
    <w:rsid w:val="00A14EC1"/>
    <w:rsid w:val="00A151C8"/>
    <w:rsid w:val="00A16299"/>
    <w:rsid w:val="00A165EA"/>
    <w:rsid w:val="00A1671D"/>
    <w:rsid w:val="00A16DEC"/>
    <w:rsid w:val="00A17294"/>
    <w:rsid w:val="00A172DC"/>
    <w:rsid w:val="00A17CEA"/>
    <w:rsid w:val="00A17DC7"/>
    <w:rsid w:val="00A2045C"/>
    <w:rsid w:val="00A20F08"/>
    <w:rsid w:val="00A22283"/>
    <w:rsid w:val="00A225E1"/>
    <w:rsid w:val="00A24009"/>
    <w:rsid w:val="00A24F04"/>
    <w:rsid w:val="00A24F87"/>
    <w:rsid w:val="00A250DB"/>
    <w:rsid w:val="00A2526E"/>
    <w:rsid w:val="00A2546D"/>
    <w:rsid w:val="00A25FE3"/>
    <w:rsid w:val="00A2658E"/>
    <w:rsid w:val="00A26781"/>
    <w:rsid w:val="00A26C01"/>
    <w:rsid w:val="00A26D97"/>
    <w:rsid w:val="00A27103"/>
    <w:rsid w:val="00A273D8"/>
    <w:rsid w:val="00A27F33"/>
    <w:rsid w:val="00A3037C"/>
    <w:rsid w:val="00A30514"/>
    <w:rsid w:val="00A31379"/>
    <w:rsid w:val="00A31479"/>
    <w:rsid w:val="00A31C18"/>
    <w:rsid w:val="00A3223F"/>
    <w:rsid w:val="00A322D1"/>
    <w:rsid w:val="00A322FF"/>
    <w:rsid w:val="00A32529"/>
    <w:rsid w:val="00A32949"/>
    <w:rsid w:val="00A33577"/>
    <w:rsid w:val="00A33AF2"/>
    <w:rsid w:val="00A340F3"/>
    <w:rsid w:val="00A3434A"/>
    <w:rsid w:val="00A34B80"/>
    <w:rsid w:val="00A35027"/>
    <w:rsid w:val="00A3515A"/>
    <w:rsid w:val="00A35182"/>
    <w:rsid w:val="00A35C04"/>
    <w:rsid w:val="00A3612C"/>
    <w:rsid w:val="00A366E3"/>
    <w:rsid w:val="00A368EB"/>
    <w:rsid w:val="00A36E13"/>
    <w:rsid w:val="00A37327"/>
    <w:rsid w:val="00A37370"/>
    <w:rsid w:val="00A374D4"/>
    <w:rsid w:val="00A378D4"/>
    <w:rsid w:val="00A37E02"/>
    <w:rsid w:val="00A37E64"/>
    <w:rsid w:val="00A37F6C"/>
    <w:rsid w:val="00A37F6E"/>
    <w:rsid w:val="00A40612"/>
    <w:rsid w:val="00A412CB"/>
    <w:rsid w:val="00A41F8A"/>
    <w:rsid w:val="00A41FD5"/>
    <w:rsid w:val="00A42948"/>
    <w:rsid w:val="00A430DE"/>
    <w:rsid w:val="00A4367A"/>
    <w:rsid w:val="00A44098"/>
    <w:rsid w:val="00A443BB"/>
    <w:rsid w:val="00A44584"/>
    <w:rsid w:val="00A44D77"/>
    <w:rsid w:val="00A46788"/>
    <w:rsid w:val="00A4709A"/>
    <w:rsid w:val="00A504D3"/>
    <w:rsid w:val="00A505C4"/>
    <w:rsid w:val="00A517F5"/>
    <w:rsid w:val="00A518BC"/>
    <w:rsid w:val="00A51EF8"/>
    <w:rsid w:val="00A5235C"/>
    <w:rsid w:val="00A52B6A"/>
    <w:rsid w:val="00A52FB0"/>
    <w:rsid w:val="00A530D9"/>
    <w:rsid w:val="00A54073"/>
    <w:rsid w:val="00A543FE"/>
    <w:rsid w:val="00A544E0"/>
    <w:rsid w:val="00A5496C"/>
    <w:rsid w:val="00A54B2F"/>
    <w:rsid w:val="00A5511E"/>
    <w:rsid w:val="00A55770"/>
    <w:rsid w:val="00A56246"/>
    <w:rsid w:val="00A57A1D"/>
    <w:rsid w:val="00A608D2"/>
    <w:rsid w:val="00A60E89"/>
    <w:rsid w:val="00A60EAC"/>
    <w:rsid w:val="00A610E0"/>
    <w:rsid w:val="00A61440"/>
    <w:rsid w:val="00A614AC"/>
    <w:rsid w:val="00A6210F"/>
    <w:rsid w:val="00A62DD4"/>
    <w:rsid w:val="00A62F6B"/>
    <w:rsid w:val="00A63F50"/>
    <w:rsid w:val="00A643DA"/>
    <w:rsid w:val="00A64C36"/>
    <w:rsid w:val="00A654F4"/>
    <w:rsid w:val="00A65A35"/>
    <w:rsid w:val="00A65A3C"/>
    <w:rsid w:val="00A65F6C"/>
    <w:rsid w:val="00A66289"/>
    <w:rsid w:val="00A66350"/>
    <w:rsid w:val="00A6665F"/>
    <w:rsid w:val="00A66B5D"/>
    <w:rsid w:val="00A67771"/>
    <w:rsid w:val="00A67950"/>
    <w:rsid w:val="00A67AE3"/>
    <w:rsid w:val="00A67E7D"/>
    <w:rsid w:val="00A7059D"/>
    <w:rsid w:val="00A7067D"/>
    <w:rsid w:val="00A7087C"/>
    <w:rsid w:val="00A708F1"/>
    <w:rsid w:val="00A709D8"/>
    <w:rsid w:val="00A70FE9"/>
    <w:rsid w:val="00A70FEB"/>
    <w:rsid w:val="00A71F2D"/>
    <w:rsid w:val="00A72D03"/>
    <w:rsid w:val="00A73280"/>
    <w:rsid w:val="00A73847"/>
    <w:rsid w:val="00A7488D"/>
    <w:rsid w:val="00A74A2D"/>
    <w:rsid w:val="00A74BBA"/>
    <w:rsid w:val="00A74F2D"/>
    <w:rsid w:val="00A7526F"/>
    <w:rsid w:val="00A752DA"/>
    <w:rsid w:val="00A75CAA"/>
    <w:rsid w:val="00A75CC4"/>
    <w:rsid w:val="00A765B0"/>
    <w:rsid w:val="00A7666D"/>
    <w:rsid w:val="00A767EE"/>
    <w:rsid w:val="00A76AEE"/>
    <w:rsid w:val="00A76B9F"/>
    <w:rsid w:val="00A76E4B"/>
    <w:rsid w:val="00A76F8C"/>
    <w:rsid w:val="00A7758A"/>
    <w:rsid w:val="00A77A29"/>
    <w:rsid w:val="00A77DEF"/>
    <w:rsid w:val="00A80486"/>
    <w:rsid w:val="00A80931"/>
    <w:rsid w:val="00A81438"/>
    <w:rsid w:val="00A8163B"/>
    <w:rsid w:val="00A8189B"/>
    <w:rsid w:val="00A8195B"/>
    <w:rsid w:val="00A81AAE"/>
    <w:rsid w:val="00A821C4"/>
    <w:rsid w:val="00A825CA"/>
    <w:rsid w:val="00A82691"/>
    <w:rsid w:val="00A82A83"/>
    <w:rsid w:val="00A82AFC"/>
    <w:rsid w:val="00A82B64"/>
    <w:rsid w:val="00A8308B"/>
    <w:rsid w:val="00A834E9"/>
    <w:rsid w:val="00A84AD5"/>
    <w:rsid w:val="00A84F26"/>
    <w:rsid w:val="00A8581E"/>
    <w:rsid w:val="00A85D7B"/>
    <w:rsid w:val="00A86236"/>
    <w:rsid w:val="00A862A3"/>
    <w:rsid w:val="00A86B53"/>
    <w:rsid w:val="00A86F50"/>
    <w:rsid w:val="00A872BB"/>
    <w:rsid w:val="00A8775D"/>
    <w:rsid w:val="00A87B84"/>
    <w:rsid w:val="00A90014"/>
    <w:rsid w:val="00A9058A"/>
    <w:rsid w:val="00A9075A"/>
    <w:rsid w:val="00A90F07"/>
    <w:rsid w:val="00A90F91"/>
    <w:rsid w:val="00A9109C"/>
    <w:rsid w:val="00A9152E"/>
    <w:rsid w:val="00A92A92"/>
    <w:rsid w:val="00A932F3"/>
    <w:rsid w:val="00A9361E"/>
    <w:rsid w:val="00A9400A"/>
    <w:rsid w:val="00A94262"/>
    <w:rsid w:val="00A9431F"/>
    <w:rsid w:val="00A949DC"/>
    <w:rsid w:val="00A94B9F"/>
    <w:rsid w:val="00A94F47"/>
    <w:rsid w:val="00A9527A"/>
    <w:rsid w:val="00A95637"/>
    <w:rsid w:val="00A95917"/>
    <w:rsid w:val="00A95A05"/>
    <w:rsid w:val="00A96016"/>
    <w:rsid w:val="00A96922"/>
    <w:rsid w:val="00A97364"/>
    <w:rsid w:val="00A9751B"/>
    <w:rsid w:val="00A976EB"/>
    <w:rsid w:val="00A97774"/>
    <w:rsid w:val="00AA0CA6"/>
    <w:rsid w:val="00AA152B"/>
    <w:rsid w:val="00AA186D"/>
    <w:rsid w:val="00AA3221"/>
    <w:rsid w:val="00AA355C"/>
    <w:rsid w:val="00AA39AB"/>
    <w:rsid w:val="00AA3E6A"/>
    <w:rsid w:val="00AA46C6"/>
    <w:rsid w:val="00AA47A8"/>
    <w:rsid w:val="00AA48F7"/>
    <w:rsid w:val="00AA4C64"/>
    <w:rsid w:val="00AA5E79"/>
    <w:rsid w:val="00AA64B6"/>
    <w:rsid w:val="00AA65C3"/>
    <w:rsid w:val="00AA68CB"/>
    <w:rsid w:val="00AA70C8"/>
    <w:rsid w:val="00AA71E0"/>
    <w:rsid w:val="00AA723E"/>
    <w:rsid w:val="00AA747F"/>
    <w:rsid w:val="00AB0953"/>
    <w:rsid w:val="00AB12B8"/>
    <w:rsid w:val="00AB15CA"/>
    <w:rsid w:val="00AB16AA"/>
    <w:rsid w:val="00AB19DD"/>
    <w:rsid w:val="00AB1A2A"/>
    <w:rsid w:val="00AB1C13"/>
    <w:rsid w:val="00AB1F28"/>
    <w:rsid w:val="00AB1FCD"/>
    <w:rsid w:val="00AB2336"/>
    <w:rsid w:val="00AB2720"/>
    <w:rsid w:val="00AB2C2B"/>
    <w:rsid w:val="00AB3043"/>
    <w:rsid w:val="00AB32C3"/>
    <w:rsid w:val="00AB33B9"/>
    <w:rsid w:val="00AB3660"/>
    <w:rsid w:val="00AB3C7E"/>
    <w:rsid w:val="00AB4110"/>
    <w:rsid w:val="00AB4339"/>
    <w:rsid w:val="00AB4A34"/>
    <w:rsid w:val="00AB4E07"/>
    <w:rsid w:val="00AB4E19"/>
    <w:rsid w:val="00AB4E34"/>
    <w:rsid w:val="00AB4FCE"/>
    <w:rsid w:val="00AB5291"/>
    <w:rsid w:val="00AB582D"/>
    <w:rsid w:val="00AB620A"/>
    <w:rsid w:val="00AB6A95"/>
    <w:rsid w:val="00AB72C2"/>
    <w:rsid w:val="00AB78D7"/>
    <w:rsid w:val="00AB7CFD"/>
    <w:rsid w:val="00AC000D"/>
    <w:rsid w:val="00AC0558"/>
    <w:rsid w:val="00AC09CB"/>
    <w:rsid w:val="00AC14A7"/>
    <w:rsid w:val="00AC1564"/>
    <w:rsid w:val="00AC1651"/>
    <w:rsid w:val="00AC198C"/>
    <w:rsid w:val="00AC30E4"/>
    <w:rsid w:val="00AC3133"/>
    <w:rsid w:val="00AC3ED3"/>
    <w:rsid w:val="00AC3EF4"/>
    <w:rsid w:val="00AC44F5"/>
    <w:rsid w:val="00AC4F83"/>
    <w:rsid w:val="00AC5717"/>
    <w:rsid w:val="00AC5A68"/>
    <w:rsid w:val="00AC5B9D"/>
    <w:rsid w:val="00AC7306"/>
    <w:rsid w:val="00AC7ADA"/>
    <w:rsid w:val="00AD04A7"/>
    <w:rsid w:val="00AD2369"/>
    <w:rsid w:val="00AD2946"/>
    <w:rsid w:val="00AD2B11"/>
    <w:rsid w:val="00AD2CF0"/>
    <w:rsid w:val="00AD34B5"/>
    <w:rsid w:val="00AD3FE4"/>
    <w:rsid w:val="00AD4646"/>
    <w:rsid w:val="00AD4BCD"/>
    <w:rsid w:val="00AD4D58"/>
    <w:rsid w:val="00AD533D"/>
    <w:rsid w:val="00AD53C3"/>
    <w:rsid w:val="00AD67C0"/>
    <w:rsid w:val="00AD6A05"/>
    <w:rsid w:val="00AD6DC7"/>
    <w:rsid w:val="00AD730D"/>
    <w:rsid w:val="00AD78C6"/>
    <w:rsid w:val="00AD7B02"/>
    <w:rsid w:val="00AD7BD5"/>
    <w:rsid w:val="00AD7BD7"/>
    <w:rsid w:val="00AD7D28"/>
    <w:rsid w:val="00AD7DDC"/>
    <w:rsid w:val="00AE0197"/>
    <w:rsid w:val="00AE0310"/>
    <w:rsid w:val="00AE05A7"/>
    <w:rsid w:val="00AE111A"/>
    <w:rsid w:val="00AE138A"/>
    <w:rsid w:val="00AE28FF"/>
    <w:rsid w:val="00AE30BE"/>
    <w:rsid w:val="00AE31CF"/>
    <w:rsid w:val="00AE40F8"/>
    <w:rsid w:val="00AE4320"/>
    <w:rsid w:val="00AE44C7"/>
    <w:rsid w:val="00AE5C67"/>
    <w:rsid w:val="00AE5D87"/>
    <w:rsid w:val="00AE61E0"/>
    <w:rsid w:val="00AE6F67"/>
    <w:rsid w:val="00AE7DCF"/>
    <w:rsid w:val="00AF01A8"/>
    <w:rsid w:val="00AF04BB"/>
    <w:rsid w:val="00AF05F1"/>
    <w:rsid w:val="00AF1935"/>
    <w:rsid w:val="00AF20E0"/>
    <w:rsid w:val="00AF20FC"/>
    <w:rsid w:val="00AF2C35"/>
    <w:rsid w:val="00AF2E10"/>
    <w:rsid w:val="00AF2E17"/>
    <w:rsid w:val="00AF3197"/>
    <w:rsid w:val="00AF32D1"/>
    <w:rsid w:val="00AF3ED6"/>
    <w:rsid w:val="00AF41C9"/>
    <w:rsid w:val="00AF442C"/>
    <w:rsid w:val="00AF46FA"/>
    <w:rsid w:val="00AF4C0F"/>
    <w:rsid w:val="00AF4C42"/>
    <w:rsid w:val="00AF4C74"/>
    <w:rsid w:val="00AF5415"/>
    <w:rsid w:val="00AF5C86"/>
    <w:rsid w:val="00AF5DB1"/>
    <w:rsid w:val="00AF6440"/>
    <w:rsid w:val="00AF6A18"/>
    <w:rsid w:val="00AF6CF5"/>
    <w:rsid w:val="00AF700E"/>
    <w:rsid w:val="00AF70D9"/>
    <w:rsid w:val="00AF74CA"/>
    <w:rsid w:val="00B006AE"/>
    <w:rsid w:val="00B006F4"/>
    <w:rsid w:val="00B01060"/>
    <w:rsid w:val="00B01F0D"/>
    <w:rsid w:val="00B020BF"/>
    <w:rsid w:val="00B029CB"/>
    <w:rsid w:val="00B02D65"/>
    <w:rsid w:val="00B02D72"/>
    <w:rsid w:val="00B02E2D"/>
    <w:rsid w:val="00B02FA5"/>
    <w:rsid w:val="00B0328B"/>
    <w:rsid w:val="00B0377B"/>
    <w:rsid w:val="00B03879"/>
    <w:rsid w:val="00B03CB8"/>
    <w:rsid w:val="00B03D75"/>
    <w:rsid w:val="00B04194"/>
    <w:rsid w:val="00B043FD"/>
    <w:rsid w:val="00B0486D"/>
    <w:rsid w:val="00B0507E"/>
    <w:rsid w:val="00B0550E"/>
    <w:rsid w:val="00B05BFC"/>
    <w:rsid w:val="00B05DF5"/>
    <w:rsid w:val="00B05F63"/>
    <w:rsid w:val="00B064FD"/>
    <w:rsid w:val="00B06578"/>
    <w:rsid w:val="00B065DA"/>
    <w:rsid w:val="00B066D4"/>
    <w:rsid w:val="00B0691A"/>
    <w:rsid w:val="00B0691D"/>
    <w:rsid w:val="00B06BAB"/>
    <w:rsid w:val="00B07046"/>
    <w:rsid w:val="00B07808"/>
    <w:rsid w:val="00B07ED4"/>
    <w:rsid w:val="00B101C1"/>
    <w:rsid w:val="00B10250"/>
    <w:rsid w:val="00B10E05"/>
    <w:rsid w:val="00B115F5"/>
    <w:rsid w:val="00B11F8D"/>
    <w:rsid w:val="00B12082"/>
    <w:rsid w:val="00B12783"/>
    <w:rsid w:val="00B12E19"/>
    <w:rsid w:val="00B12FAC"/>
    <w:rsid w:val="00B13438"/>
    <w:rsid w:val="00B146DE"/>
    <w:rsid w:val="00B148CE"/>
    <w:rsid w:val="00B14A2B"/>
    <w:rsid w:val="00B14FFD"/>
    <w:rsid w:val="00B15566"/>
    <w:rsid w:val="00B15EC2"/>
    <w:rsid w:val="00B15FD7"/>
    <w:rsid w:val="00B16AFB"/>
    <w:rsid w:val="00B17256"/>
    <w:rsid w:val="00B177D7"/>
    <w:rsid w:val="00B17DF2"/>
    <w:rsid w:val="00B17E09"/>
    <w:rsid w:val="00B17E98"/>
    <w:rsid w:val="00B20A18"/>
    <w:rsid w:val="00B20BD1"/>
    <w:rsid w:val="00B21272"/>
    <w:rsid w:val="00B2137E"/>
    <w:rsid w:val="00B21F76"/>
    <w:rsid w:val="00B226CB"/>
    <w:rsid w:val="00B237C2"/>
    <w:rsid w:val="00B247B4"/>
    <w:rsid w:val="00B2495B"/>
    <w:rsid w:val="00B24A65"/>
    <w:rsid w:val="00B24FE8"/>
    <w:rsid w:val="00B25040"/>
    <w:rsid w:val="00B259E3"/>
    <w:rsid w:val="00B263CF"/>
    <w:rsid w:val="00B264A9"/>
    <w:rsid w:val="00B26676"/>
    <w:rsid w:val="00B26B96"/>
    <w:rsid w:val="00B26D6F"/>
    <w:rsid w:val="00B2723A"/>
    <w:rsid w:val="00B278DF"/>
    <w:rsid w:val="00B3027A"/>
    <w:rsid w:val="00B306B2"/>
    <w:rsid w:val="00B30962"/>
    <w:rsid w:val="00B30BD5"/>
    <w:rsid w:val="00B30DF6"/>
    <w:rsid w:val="00B31022"/>
    <w:rsid w:val="00B316FF"/>
    <w:rsid w:val="00B317EB"/>
    <w:rsid w:val="00B31D24"/>
    <w:rsid w:val="00B31E9B"/>
    <w:rsid w:val="00B3215F"/>
    <w:rsid w:val="00B32835"/>
    <w:rsid w:val="00B329F5"/>
    <w:rsid w:val="00B32C33"/>
    <w:rsid w:val="00B3382F"/>
    <w:rsid w:val="00B3418E"/>
    <w:rsid w:val="00B3432C"/>
    <w:rsid w:val="00B345B7"/>
    <w:rsid w:val="00B34BF5"/>
    <w:rsid w:val="00B34C56"/>
    <w:rsid w:val="00B34CF8"/>
    <w:rsid w:val="00B350D0"/>
    <w:rsid w:val="00B358FC"/>
    <w:rsid w:val="00B35983"/>
    <w:rsid w:val="00B35A48"/>
    <w:rsid w:val="00B35F68"/>
    <w:rsid w:val="00B363CD"/>
    <w:rsid w:val="00B36D7B"/>
    <w:rsid w:val="00B36DB6"/>
    <w:rsid w:val="00B36F81"/>
    <w:rsid w:val="00B372D0"/>
    <w:rsid w:val="00B37459"/>
    <w:rsid w:val="00B3766B"/>
    <w:rsid w:val="00B37707"/>
    <w:rsid w:val="00B377D6"/>
    <w:rsid w:val="00B3783F"/>
    <w:rsid w:val="00B4007A"/>
    <w:rsid w:val="00B4045A"/>
    <w:rsid w:val="00B408CC"/>
    <w:rsid w:val="00B4097A"/>
    <w:rsid w:val="00B4148E"/>
    <w:rsid w:val="00B417BE"/>
    <w:rsid w:val="00B41948"/>
    <w:rsid w:val="00B41E3D"/>
    <w:rsid w:val="00B4235F"/>
    <w:rsid w:val="00B42470"/>
    <w:rsid w:val="00B4254C"/>
    <w:rsid w:val="00B42F0C"/>
    <w:rsid w:val="00B42FAE"/>
    <w:rsid w:val="00B43C5F"/>
    <w:rsid w:val="00B43FE2"/>
    <w:rsid w:val="00B44501"/>
    <w:rsid w:val="00B4473D"/>
    <w:rsid w:val="00B453CF"/>
    <w:rsid w:val="00B4570C"/>
    <w:rsid w:val="00B46520"/>
    <w:rsid w:val="00B476C7"/>
    <w:rsid w:val="00B47EB5"/>
    <w:rsid w:val="00B47FC7"/>
    <w:rsid w:val="00B50BDA"/>
    <w:rsid w:val="00B50E75"/>
    <w:rsid w:val="00B5167D"/>
    <w:rsid w:val="00B5173B"/>
    <w:rsid w:val="00B51919"/>
    <w:rsid w:val="00B52C89"/>
    <w:rsid w:val="00B5364E"/>
    <w:rsid w:val="00B537D4"/>
    <w:rsid w:val="00B53811"/>
    <w:rsid w:val="00B5395E"/>
    <w:rsid w:val="00B53C58"/>
    <w:rsid w:val="00B53E99"/>
    <w:rsid w:val="00B54229"/>
    <w:rsid w:val="00B5463D"/>
    <w:rsid w:val="00B55737"/>
    <w:rsid w:val="00B5589F"/>
    <w:rsid w:val="00B55FC1"/>
    <w:rsid w:val="00B56261"/>
    <w:rsid w:val="00B56F2F"/>
    <w:rsid w:val="00B57644"/>
    <w:rsid w:val="00B601CE"/>
    <w:rsid w:val="00B6035E"/>
    <w:rsid w:val="00B607B2"/>
    <w:rsid w:val="00B60E17"/>
    <w:rsid w:val="00B610BA"/>
    <w:rsid w:val="00B61910"/>
    <w:rsid w:val="00B61AF3"/>
    <w:rsid w:val="00B62EC5"/>
    <w:rsid w:val="00B62ED5"/>
    <w:rsid w:val="00B62F94"/>
    <w:rsid w:val="00B643DC"/>
    <w:rsid w:val="00B64732"/>
    <w:rsid w:val="00B6482C"/>
    <w:rsid w:val="00B64F93"/>
    <w:rsid w:val="00B6516A"/>
    <w:rsid w:val="00B65B60"/>
    <w:rsid w:val="00B663D0"/>
    <w:rsid w:val="00B663E3"/>
    <w:rsid w:val="00B66FB4"/>
    <w:rsid w:val="00B673C2"/>
    <w:rsid w:val="00B674E5"/>
    <w:rsid w:val="00B678FE"/>
    <w:rsid w:val="00B70238"/>
    <w:rsid w:val="00B705A0"/>
    <w:rsid w:val="00B70CE7"/>
    <w:rsid w:val="00B70EBB"/>
    <w:rsid w:val="00B7142B"/>
    <w:rsid w:val="00B71747"/>
    <w:rsid w:val="00B719F9"/>
    <w:rsid w:val="00B71DE4"/>
    <w:rsid w:val="00B7200D"/>
    <w:rsid w:val="00B730BF"/>
    <w:rsid w:val="00B7319F"/>
    <w:rsid w:val="00B73205"/>
    <w:rsid w:val="00B7326B"/>
    <w:rsid w:val="00B7387C"/>
    <w:rsid w:val="00B7393A"/>
    <w:rsid w:val="00B7412A"/>
    <w:rsid w:val="00B74A9F"/>
    <w:rsid w:val="00B7568C"/>
    <w:rsid w:val="00B7681C"/>
    <w:rsid w:val="00B7698B"/>
    <w:rsid w:val="00B769F0"/>
    <w:rsid w:val="00B76B20"/>
    <w:rsid w:val="00B76BF4"/>
    <w:rsid w:val="00B76D6C"/>
    <w:rsid w:val="00B77BBD"/>
    <w:rsid w:val="00B77C1D"/>
    <w:rsid w:val="00B77FA2"/>
    <w:rsid w:val="00B800D1"/>
    <w:rsid w:val="00B8069D"/>
    <w:rsid w:val="00B807D2"/>
    <w:rsid w:val="00B80BF3"/>
    <w:rsid w:val="00B80FCF"/>
    <w:rsid w:val="00B81379"/>
    <w:rsid w:val="00B81740"/>
    <w:rsid w:val="00B82378"/>
    <w:rsid w:val="00B825B1"/>
    <w:rsid w:val="00B82BC7"/>
    <w:rsid w:val="00B830C7"/>
    <w:rsid w:val="00B83D55"/>
    <w:rsid w:val="00B83D98"/>
    <w:rsid w:val="00B84099"/>
    <w:rsid w:val="00B8450C"/>
    <w:rsid w:val="00B84534"/>
    <w:rsid w:val="00B8462E"/>
    <w:rsid w:val="00B848BA"/>
    <w:rsid w:val="00B84D1B"/>
    <w:rsid w:val="00B85090"/>
    <w:rsid w:val="00B85356"/>
    <w:rsid w:val="00B855EA"/>
    <w:rsid w:val="00B8692F"/>
    <w:rsid w:val="00B86CF5"/>
    <w:rsid w:val="00B8754B"/>
    <w:rsid w:val="00B87D92"/>
    <w:rsid w:val="00B9087D"/>
    <w:rsid w:val="00B910FC"/>
    <w:rsid w:val="00B918FD"/>
    <w:rsid w:val="00B91CCA"/>
    <w:rsid w:val="00B92E43"/>
    <w:rsid w:val="00B92FF0"/>
    <w:rsid w:val="00B937A6"/>
    <w:rsid w:val="00B93A6C"/>
    <w:rsid w:val="00B93BB4"/>
    <w:rsid w:val="00B94055"/>
    <w:rsid w:val="00B9409D"/>
    <w:rsid w:val="00B94413"/>
    <w:rsid w:val="00B9479E"/>
    <w:rsid w:val="00B94F06"/>
    <w:rsid w:val="00B959A3"/>
    <w:rsid w:val="00B96A21"/>
    <w:rsid w:val="00B9775E"/>
    <w:rsid w:val="00B979B2"/>
    <w:rsid w:val="00BA06B8"/>
    <w:rsid w:val="00BA2354"/>
    <w:rsid w:val="00BA28C6"/>
    <w:rsid w:val="00BA2C67"/>
    <w:rsid w:val="00BA3A12"/>
    <w:rsid w:val="00BA3A2F"/>
    <w:rsid w:val="00BA3B13"/>
    <w:rsid w:val="00BA415E"/>
    <w:rsid w:val="00BA4409"/>
    <w:rsid w:val="00BA45BE"/>
    <w:rsid w:val="00BA48FE"/>
    <w:rsid w:val="00BA5318"/>
    <w:rsid w:val="00BA56A5"/>
    <w:rsid w:val="00BA56AF"/>
    <w:rsid w:val="00BA571C"/>
    <w:rsid w:val="00BA5D08"/>
    <w:rsid w:val="00BA5F9D"/>
    <w:rsid w:val="00BA7B91"/>
    <w:rsid w:val="00BA7EE2"/>
    <w:rsid w:val="00BB054C"/>
    <w:rsid w:val="00BB0A9C"/>
    <w:rsid w:val="00BB0AFF"/>
    <w:rsid w:val="00BB0B61"/>
    <w:rsid w:val="00BB1783"/>
    <w:rsid w:val="00BB17F8"/>
    <w:rsid w:val="00BB20EE"/>
    <w:rsid w:val="00BB27CA"/>
    <w:rsid w:val="00BB2BCF"/>
    <w:rsid w:val="00BB3AB1"/>
    <w:rsid w:val="00BB3C89"/>
    <w:rsid w:val="00BB4980"/>
    <w:rsid w:val="00BB5E91"/>
    <w:rsid w:val="00BB5EB6"/>
    <w:rsid w:val="00BB682A"/>
    <w:rsid w:val="00BB6F89"/>
    <w:rsid w:val="00BC0350"/>
    <w:rsid w:val="00BC0430"/>
    <w:rsid w:val="00BC10C2"/>
    <w:rsid w:val="00BC1A3B"/>
    <w:rsid w:val="00BC2D38"/>
    <w:rsid w:val="00BC2E39"/>
    <w:rsid w:val="00BC2EE7"/>
    <w:rsid w:val="00BC30C1"/>
    <w:rsid w:val="00BC30ED"/>
    <w:rsid w:val="00BC32BD"/>
    <w:rsid w:val="00BC3304"/>
    <w:rsid w:val="00BC372D"/>
    <w:rsid w:val="00BC3BC9"/>
    <w:rsid w:val="00BC3CBE"/>
    <w:rsid w:val="00BC3E25"/>
    <w:rsid w:val="00BC42EB"/>
    <w:rsid w:val="00BC481F"/>
    <w:rsid w:val="00BC49B4"/>
    <w:rsid w:val="00BC4DFD"/>
    <w:rsid w:val="00BC5DD5"/>
    <w:rsid w:val="00BC5E4C"/>
    <w:rsid w:val="00BC65C0"/>
    <w:rsid w:val="00BC69D1"/>
    <w:rsid w:val="00BC6BE9"/>
    <w:rsid w:val="00BC6E6E"/>
    <w:rsid w:val="00BC7094"/>
    <w:rsid w:val="00BC70AF"/>
    <w:rsid w:val="00BD0435"/>
    <w:rsid w:val="00BD05AA"/>
    <w:rsid w:val="00BD0640"/>
    <w:rsid w:val="00BD0CBE"/>
    <w:rsid w:val="00BD1588"/>
    <w:rsid w:val="00BD18CE"/>
    <w:rsid w:val="00BD2022"/>
    <w:rsid w:val="00BD25EA"/>
    <w:rsid w:val="00BD2D56"/>
    <w:rsid w:val="00BD2FA7"/>
    <w:rsid w:val="00BD2FE9"/>
    <w:rsid w:val="00BD3618"/>
    <w:rsid w:val="00BD3B07"/>
    <w:rsid w:val="00BD3DC9"/>
    <w:rsid w:val="00BD41A8"/>
    <w:rsid w:val="00BD4B68"/>
    <w:rsid w:val="00BD58F4"/>
    <w:rsid w:val="00BD6040"/>
    <w:rsid w:val="00BD611F"/>
    <w:rsid w:val="00BD6514"/>
    <w:rsid w:val="00BD658B"/>
    <w:rsid w:val="00BD677D"/>
    <w:rsid w:val="00BD68A9"/>
    <w:rsid w:val="00BD6A9B"/>
    <w:rsid w:val="00BD6F1B"/>
    <w:rsid w:val="00BD73D7"/>
    <w:rsid w:val="00BD7B29"/>
    <w:rsid w:val="00BE0534"/>
    <w:rsid w:val="00BE0DAA"/>
    <w:rsid w:val="00BE12C8"/>
    <w:rsid w:val="00BE1B5A"/>
    <w:rsid w:val="00BE1C12"/>
    <w:rsid w:val="00BE218B"/>
    <w:rsid w:val="00BE379E"/>
    <w:rsid w:val="00BE4908"/>
    <w:rsid w:val="00BE4CB0"/>
    <w:rsid w:val="00BE4DAF"/>
    <w:rsid w:val="00BE5301"/>
    <w:rsid w:val="00BE53D6"/>
    <w:rsid w:val="00BE5EF9"/>
    <w:rsid w:val="00BE62D5"/>
    <w:rsid w:val="00BE748F"/>
    <w:rsid w:val="00BE7A8A"/>
    <w:rsid w:val="00BE7E58"/>
    <w:rsid w:val="00BF001F"/>
    <w:rsid w:val="00BF00D5"/>
    <w:rsid w:val="00BF0587"/>
    <w:rsid w:val="00BF05A2"/>
    <w:rsid w:val="00BF112B"/>
    <w:rsid w:val="00BF17BA"/>
    <w:rsid w:val="00BF20F8"/>
    <w:rsid w:val="00BF2AAD"/>
    <w:rsid w:val="00BF3218"/>
    <w:rsid w:val="00BF4A8F"/>
    <w:rsid w:val="00BF52F0"/>
    <w:rsid w:val="00BF54E6"/>
    <w:rsid w:val="00BF58D8"/>
    <w:rsid w:val="00BF6468"/>
    <w:rsid w:val="00BF6541"/>
    <w:rsid w:val="00BF6A3F"/>
    <w:rsid w:val="00BF758A"/>
    <w:rsid w:val="00BF7B43"/>
    <w:rsid w:val="00C005F2"/>
    <w:rsid w:val="00C008F0"/>
    <w:rsid w:val="00C00F89"/>
    <w:rsid w:val="00C02084"/>
    <w:rsid w:val="00C02288"/>
    <w:rsid w:val="00C026CC"/>
    <w:rsid w:val="00C02872"/>
    <w:rsid w:val="00C02BDF"/>
    <w:rsid w:val="00C035B6"/>
    <w:rsid w:val="00C037CF"/>
    <w:rsid w:val="00C03E14"/>
    <w:rsid w:val="00C03EC8"/>
    <w:rsid w:val="00C03ECD"/>
    <w:rsid w:val="00C0419C"/>
    <w:rsid w:val="00C0422A"/>
    <w:rsid w:val="00C04377"/>
    <w:rsid w:val="00C04857"/>
    <w:rsid w:val="00C04C8F"/>
    <w:rsid w:val="00C051F2"/>
    <w:rsid w:val="00C06E56"/>
    <w:rsid w:val="00C072DA"/>
    <w:rsid w:val="00C07A9D"/>
    <w:rsid w:val="00C10294"/>
    <w:rsid w:val="00C10731"/>
    <w:rsid w:val="00C10807"/>
    <w:rsid w:val="00C10BA1"/>
    <w:rsid w:val="00C115E7"/>
    <w:rsid w:val="00C1189E"/>
    <w:rsid w:val="00C11B3A"/>
    <w:rsid w:val="00C12433"/>
    <w:rsid w:val="00C1280E"/>
    <w:rsid w:val="00C1350F"/>
    <w:rsid w:val="00C13951"/>
    <w:rsid w:val="00C13C1D"/>
    <w:rsid w:val="00C1406E"/>
    <w:rsid w:val="00C141A1"/>
    <w:rsid w:val="00C14226"/>
    <w:rsid w:val="00C147DD"/>
    <w:rsid w:val="00C14DCE"/>
    <w:rsid w:val="00C15017"/>
    <w:rsid w:val="00C15156"/>
    <w:rsid w:val="00C15313"/>
    <w:rsid w:val="00C154A2"/>
    <w:rsid w:val="00C16D3B"/>
    <w:rsid w:val="00C170B9"/>
    <w:rsid w:val="00C17586"/>
    <w:rsid w:val="00C17DEC"/>
    <w:rsid w:val="00C2072D"/>
    <w:rsid w:val="00C2096F"/>
    <w:rsid w:val="00C21599"/>
    <w:rsid w:val="00C215E1"/>
    <w:rsid w:val="00C22F8C"/>
    <w:rsid w:val="00C23450"/>
    <w:rsid w:val="00C23900"/>
    <w:rsid w:val="00C24420"/>
    <w:rsid w:val="00C244E9"/>
    <w:rsid w:val="00C245BE"/>
    <w:rsid w:val="00C249C0"/>
    <w:rsid w:val="00C24B4F"/>
    <w:rsid w:val="00C25064"/>
    <w:rsid w:val="00C25301"/>
    <w:rsid w:val="00C25A02"/>
    <w:rsid w:val="00C25D09"/>
    <w:rsid w:val="00C26145"/>
    <w:rsid w:val="00C269C3"/>
    <w:rsid w:val="00C27362"/>
    <w:rsid w:val="00C30014"/>
    <w:rsid w:val="00C30900"/>
    <w:rsid w:val="00C30E11"/>
    <w:rsid w:val="00C31290"/>
    <w:rsid w:val="00C316AE"/>
    <w:rsid w:val="00C31B7A"/>
    <w:rsid w:val="00C31EF5"/>
    <w:rsid w:val="00C3256B"/>
    <w:rsid w:val="00C325CB"/>
    <w:rsid w:val="00C3289B"/>
    <w:rsid w:val="00C33FAC"/>
    <w:rsid w:val="00C3457F"/>
    <w:rsid w:val="00C34B8C"/>
    <w:rsid w:val="00C34B9C"/>
    <w:rsid w:val="00C35696"/>
    <w:rsid w:val="00C35CE9"/>
    <w:rsid w:val="00C35F2F"/>
    <w:rsid w:val="00C36299"/>
    <w:rsid w:val="00C36349"/>
    <w:rsid w:val="00C36CAE"/>
    <w:rsid w:val="00C36D15"/>
    <w:rsid w:val="00C36DEE"/>
    <w:rsid w:val="00C37E49"/>
    <w:rsid w:val="00C37E53"/>
    <w:rsid w:val="00C402EA"/>
    <w:rsid w:val="00C40466"/>
    <w:rsid w:val="00C4073D"/>
    <w:rsid w:val="00C41A54"/>
    <w:rsid w:val="00C423DD"/>
    <w:rsid w:val="00C42763"/>
    <w:rsid w:val="00C42C27"/>
    <w:rsid w:val="00C42FF9"/>
    <w:rsid w:val="00C43AEC"/>
    <w:rsid w:val="00C43B56"/>
    <w:rsid w:val="00C44510"/>
    <w:rsid w:val="00C44661"/>
    <w:rsid w:val="00C455CF"/>
    <w:rsid w:val="00C45986"/>
    <w:rsid w:val="00C45E08"/>
    <w:rsid w:val="00C4608A"/>
    <w:rsid w:val="00C46873"/>
    <w:rsid w:val="00C47A99"/>
    <w:rsid w:val="00C47C80"/>
    <w:rsid w:val="00C47E4A"/>
    <w:rsid w:val="00C500C2"/>
    <w:rsid w:val="00C50913"/>
    <w:rsid w:val="00C509B9"/>
    <w:rsid w:val="00C51000"/>
    <w:rsid w:val="00C510C4"/>
    <w:rsid w:val="00C51490"/>
    <w:rsid w:val="00C5163E"/>
    <w:rsid w:val="00C51A0B"/>
    <w:rsid w:val="00C52906"/>
    <w:rsid w:val="00C529F0"/>
    <w:rsid w:val="00C52C2C"/>
    <w:rsid w:val="00C540AD"/>
    <w:rsid w:val="00C540CB"/>
    <w:rsid w:val="00C5584A"/>
    <w:rsid w:val="00C5604A"/>
    <w:rsid w:val="00C56391"/>
    <w:rsid w:val="00C564E7"/>
    <w:rsid w:val="00C569B9"/>
    <w:rsid w:val="00C57C29"/>
    <w:rsid w:val="00C57C5C"/>
    <w:rsid w:val="00C57DE2"/>
    <w:rsid w:val="00C605BF"/>
    <w:rsid w:val="00C60971"/>
    <w:rsid w:val="00C60DC5"/>
    <w:rsid w:val="00C6155E"/>
    <w:rsid w:val="00C616F5"/>
    <w:rsid w:val="00C61B88"/>
    <w:rsid w:val="00C61BBC"/>
    <w:rsid w:val="00C6241F"/>
    <w:rsid w:val="00C62563"/>
    <w:rsid w:val="00C628D3"/>
    <w:rsid w:val="00C6311F"/>
    <w:rsid w:val="00C63F03"/>
    <w:rsid w:val="00C64402"/>
    <w:rsid w:val="00C64429"/>
    <w:rsid w:val="00C64BA3"/>
    <w:rsid w:val="00C64E5C"/>
    <w:rsid w:val="00C654AB"/>
    <w:rsid w:val="00C659E7"/>
    <w:rsid w:val="00C66AA2"/>
    <w:rsid w:val="00C67848"/>
    <w:rsid w:val="00C70697"/>
    <w:rsid w:val="00C708B6"/>
    <w:rsid w:val="00C70971"/>
    <w:rsid w:val="00C70B2F"/>
    <w:rsid w:val="00C712F8"/>
    <w:rsid w:val="00C71389"/>
    <w:rsid w:val="00C71606"/>
    <w:rsid w:val="00C71609"/>
    <w:rsid w:val="00C71B88"/>
    <w:rsid w:val="00C71C3C"/>
    <w:rsid w:val="00C72386"/>
    <w:rsid w:val="00C72522"/>
    <w:rsid w:val="00C72D64"/>
    <w:rsid w:val="00C730B8"/>
    <w:rsid w:val="00C73B19"/>
    <w:rsid w:val="00C73D86"/>
    <w:rsid w:val="00C73EEC"/>
    <w:rsid w:val="00C73F39"/>
    <w:rsid w:val="00C74170"/>
    <w:rsid w:val="00C74774"/>
    <w:rsid w:val="00C74868"/>
    <w:rsid w:val="00C74D58"/>
    <w:rsid w:val="00C75915"/>
    <w:rsid w:val="00C76837"/>
    <w:rsid w:val="00C77AA4"/>
    <w:rsid w:val="00C81907"/>
    <w:rsid w:val="00C81B03"/>
    <w:rsid w:val="00C81B3D"/>
    <w:rsid w:val="00C81CF4"/>
    <w:rsid w:val="00C82BC5"/>
    <w:rsid w:val="00C84161"/>
    <w:rsid w:val="00C84194"/>
    <w:rsid w:val="00C84CBE"/>
    <w:rsid w:val="00C86895"/>
    <w:rsid w:val="00C8692F"/>
    <w:rsid w:val="00C86C48"/>
    <w:rsid w:val="00C87129"/>
    <w:rsid w:val="00C87470"/>
    <w:rsid w:val="00C8753F"/>
    <w:rsid w:val="00C87D3C"/>
    <w:rsid w:val="00C9002C"/>
    <w:rsid w:val="00C90294"/>
    <w:rsid w:val="00C90C69"/>
    <w:rsid w:val="00C91415"/>
    <w:rsid w:val="00C91657"/>
    <w:rsid w:val="00C9206A"/>
    <w:rsid w:val="00C92504"/>
    <w:rsid w:val="00C9298B"/>
    <w:rsid w:val="00C92B11"/>
    <w:rsid w:val="00C92E38"/>
    <w:rsid w:val="00C9303F"/>
    <w:rsid w:val="00C93A23"/>
    <w:rsid w:val="00C9464E"/>
    <w:rsid w:val="00C94AD2"/>
    <w:rsid w:val="00C94D6B"/>
    <w:rsid w:val="00C95639"/>
    <w:rsid w:val="00C95F18"/>
    <w:rsid w:val="00C95F2B"/>
    <w:rsid w:val="00C97627"/>
    <w:rsid w:val="00C976BF"/>
    <w:rsid w:val="00C97D03"/>
    <w:rsid w:val="00CA001B"/>
    <w:rsid w:val="00CA0CAB"/>
    <w:rsid w:val="00CA0D82"/>
    <w:rsid w:val="00CA1188"/>
    <w:rsid w:val="00CA12BF"/>
    <w:rsid w:val="00CA1C56"/>
    <w:rsid w:val="00CA2232"/>
    <w:rsid w:val="00CA228A"/>
    <w:rsid w:val="00CA344A"/>
    <w:rsid w:val="00CA3520"/>
    <w:rsid w:val="00CA377E"/>
    <w:rsid w:val="00CA46B4"/>
    <w:rsid w:val="00CA4DA3"/>
    <w:rsid w:val="00CA5AF0"/>
    <w:rsid w:val="00CA6F30"/>
    <w:rsid w:val="00CA713B"/>
    <w:rsid w:val="00CA77D5"/>
    <w:rsid w:val="00CA78E3"/>
    <w:rsid w:val="00CA7C3D"/>
    <w:rsid w:val="00CB050C"/>
    <w:rsid w:val="00CB05C8"/>
    <w:rsid w:val="00CB1193"/>
    <w:rsid w:val="00CB1773"/>
    <w:rsid w:val="00CB2181"/>
    <w:rsid w:val="00CB2336"/>
    <w:rsid w:val="00CB2607"/>
    <w:rsid w:val="00CB2707"/>
    <w:rsid w:val="00CB2747"/>
    <w:rsid w:val="00CB2A56"/>
    <w:rsid w:val="00CB2BB1"/>
    <w:rsid w:val="00CB2FD4"/>
    <w:rsid w:val="00CB3675"/>
    <w:rsid w:val="00CB36CC"/>
    <w:rsid w:val="00CB3976"/>
    <w:rsid w:val="00CB3A44"/>
    <w:rsid w:val="00CB3CB7"/>
    <w:rsid w:val="00CB4084"/>
    <w:rsid w:val="00CB41B9"/>
    <w:rsid w:val="00CB41C3"/>
    <w:rsid w:val="00CB4578"/>
    <w:rsid w:val="00CB4CE8"/>
    <w:rsid w:val="00CB59C0"/>
    <w:rsid w:val="00CB5BEB"/>
    <w:rsid w:val="00CB5CCE"/>
    <w:rsid w:val="00CB5CCF"/>
    <w:rsid w:val="00CB638E"/>
    <w:rsid w:val="00CB668C"/>
    <w:rsid w:val="00CB690D"/>
    <w:rsid w:val="00CB6998"/>
    <w:rsid w:val="00CB6F97"/>
    <w:rsid w:val="00CB71C9"/>
    <w:rsid w:val="00CB7685"/>
    <w:rsid w:val="00CB7714"/>
    <w:rsid w:val="00CB7A53"/>
    <w:rsid w:val="00CC08FC"/>
    <w:rsid w:val="00CC0D94"/>
    <w:rsid w:val="00CC0DED"/>
    <w:rsid w:val="00CC1232"/>
    <w:rsid w:val="00CC13E8"/>
    <w:rsid w:val="00CC154B"/>
    <w:rsid w:val="00CC15B8"/>
    <w:rsid w:val="00CC1BA2"/>
    <w:rsid w:val="00CC1CEA"/>
    <w:rsid w:val="00CC213B"/>
    <w:rsid w:val="00CC277A"/>
    <w:rsid w:val="00CC289A"/>
    <w:rsid w:val="00CC3271"/>
    <w:rsid w:val="00CC35BA"/>
    <w:rsid w:val="00CC39F7"/>
    <w:rsid w:val="00CC3AB5"/>
    <w:rsid w:val="00CC43D4"/>
    <w:rsid w:val="00CC4590"/>
    <w:rsid w:val="00CC4810"/>
    <w:rsid w:val="00CC49C2"/>
    <w:rsid w:val="00CC50F5"/>
    <w:rsid w:val="00CC5A17"/>
    <w:rsid w:val="00CC5D38"/>
    <w:rsid w:val="00CC5F3B"/>
    <w:rsid w:val="00CC616B"/>
    <w:rsid w:val="00CC64AB"/>
    <w:rsid w:val="00CC65C4"/>
    <w:rsid w:val="00CC6C8A"/>
    <w:rsid w:val="00CC6F2C"/>
    <w:rsid w:val="00CC6FCF"/>
    <w:rsid w:val="00CC7ABE"/>
    <w:rsid w:val="00CD068D"/>
    <w:rsid w:val="00CD0C0D"/>
    <w:rsid w:val="00CD1135"/>
    <w:rsid w:val="00CD1230"/>
    <w:rsid w:val="00CD1FBB"/>
    <w:rsid w:val="00CD2608"/>
    <w:rsid w:val="00CD2ACB"/>
    <w:rsid w:val="00CD2CC7"/>
    <w:rsid w:val="00CD5333"/>
    <w:rsid w:val="00CD563F"/>
    <w:rsid w:val="00CD578D"/>
    <w:rsid w:val="00CD5E65"/>
    <w:rsid w:val="00CD6E24"/>
    <w:rsid w:val="00CD6E99"/>
    <w:rsid w:val="00CD7813"/>
    <w:rsid w:val="00CD7C5C"/>
    <w:rsid w:val="00CE04F4"/>
    <w:rsid w:val="00CE08CE"/>
    <w:rsid w:val="00CE0AA9"/>
    <w:rsid w:val="00CE1B63"/>
    <w:rsid w:val="00CE1F3A"/>
    <w:rsid w:val="00CE2240"/>
    <w:rsid w:val="00CE2F81"/>
    <w:rsid w:val="00CE2FED"/>
    <w:rsid w:val="00CE3014"/>
    <w:rsid w:val="00CE3AEA"/>
    <w:rsid w:val="00CE3C6F"/>
    <w:rsid w:val="00CE424E"/>
    <w:rsid w:val="00CE438D"/>
    <w:rsid w:val="00CE4A30"/>
    <w:rsid w:val="00CE5312"/>
    <w:rsid w:val="00CE56F8"/>
    <w:rsid w:val="00CE666D"/>
    <w:rsid w:val="00CE6CDF"/>
    <w:rsid w:val="00CE6F64"/>
    <w:rsid w:val="00CE7027"/>
    <w:rsid w:val="00CE718A"/>
    <w:rsid w:val="00CE7195"/>
    <w:rsid w:val="00CE7367"/>
    <w:rsid w:val="00CE757C"/>
    <w:rsid w:val="00CE7BB5"/>
    <w:rsid w:val="00CF05A5"/>
    <w:rsid w:val="00CF101D"/>
    <w:rsid w:val="00CF1184"/>
    <w:rsid w:val="00CF11AC"/>
    <w:rsid w:val="00CF2541"/>
    <w:rsid w:val="00CF2CFD"/>
    <w:rsid w:val="00CF2D97"/>
    <w:rsid w:val="00CF2E27"/>
    <w:rsid w:val="00CF3217"/>
    <w:rsid w:val="00CF35FF"/>
    <w:rsid w:val="00CF3669"/>
    <w:rsid w:val="00CF522D"/>
    <w:rsid w:val="00CF5996"/>
    <w:rsid w:val="00CF65C3"/>
    <w:rsid w:val="00CF71D8"/>
    <w:rsid w:val="00CF731D"/>
    <w:rsid w:val="00D00728"/>
    <w:rsid w:val="00D00B10"/>
    <w:rsid w:val="00D00CC5"/>
    <w:rsid w:val="00D00CC8"/>
    <w:rsid w:val="00D01031"/>
    <w:rsid w:val="00D01362"/>
    <w:rsid w:val="00D0141D"/>
    <w:rsid w:val="00D01D1A"/>
    <w:rsid w:val="00D026DC"/>
    <w:rsid w:val="00D02EC1"/>
    <w:rsid w:val="00D02FCA"/>
    <w:rsid w:val="00D0351E"/>
    <w:rsid w:val="00D03D68"/>
    <w:rsid w:val="00D03F38"/>
    <w:rsid w:val="00D0402F"/>
    <w:rsid w:val="00D05825"/>
    <w:rsid w:val="00D06185"/>
    <w:rsid w:val="00D06667"/>
    <w:rsid w:val="00D072F4"/>
    <w:rsid w:val="00D0781D"/>
    <w:rsid w:val="00D07982"/>
    <w:rsid w:val="00D07E75"/>
    <w:rsid w:val="00D07F90"/>
    <w:rsid w:val="00D10887"/>
    <w:rsid w:val="00D10F09"/>
    <w:rsid w:val="00D12200"/>
    <w:rsid w:val="00D12D13"/>
    <w:rsid w:val="00D12DEF"/>
    <w:rsid w:val="00D12FA1"/>
    <w:rsid w:val="00D13358"/>
    <w:rsid w:val="00D133DF"/>
    <w:rsid w:val="00D14278"/>
    <w:rsid w:val="00D1491A"/>
    <w:rsid w:val="00D14FCF"/>
    <w:rsid w:val="00D14FF9"/>
    <w:rsid w:val="00D152C8"/>
    <w:rsid w:val="00D155D2"/>
    <w:rsid w:val="00D158E0"/>
    <w:rsid w:val="00D15E0E"/>
    <w:rsid w:val="00D15EC7"/>
    <w:rsid w:val="00D16350"/>
    <w:rsid w:val="00D16B2C"/>
    <w:rsid w:val="00D16E0C"/>
    <w:rsid w:val="00D179D3"/>
    <w:rsid w:val="00D17BB8"/>
    <w:rsid w:val="00D200DC"/>
    <w:rsid w:val="00D200F3"/>
    <w:rsid w:val="00D208E7"/>
    <w:rsid w:val="00D20D3B"/>
    <w:rsid w:val="00D20F77"/>
    <w:rsid w:val="00D2111D"/>
    <w:rsid w:val="00D21C3F"/>
    <w:rsid w:val="00D22184"/>
    <w:rsid w:val="00D224CC"/>
    <w:rsid w:val="00D22999"/>
    <w:rsid w:val="00D22DE7"/>
    <w:rsid w:val="00D231E1"/>
    <w:rsid w:val="00D23770"/>
    <w:rsid w:val="00D24829"/>
    <w:rsid w:val="00D24D4A"/>
    <w:rsid w:val="00D24DA1"/>
    <w:rsid w:val="00D257E2"/>
    <w:rsid w:val="00D267B7"/>
    <w:rsid w:val="00D26EC1"/>
    <w:rsid w:val="00D27D79"/>
    <w:rsid w:val="00D3050E"/>
    <w:rsid w:val="00D30672"/>
    <w:rsid w:val="00D30B74"/>
    <w:rsid w:val="00D311E7"/>
    <w:rsid w:val="00D3131F"/>
    <w:rsid w:val="00D31350"/>
    <w:rsid w:val="00D319BF"/>
    <w:rsid w:val="00D31A68"/>
    <w:rsid w:val="00D32C97"/>
    <w:rsid w:val="00D330C0"/>
    <w:rsid w:val="00D33A2F"/>
    <w:rsid w:val="00D33E43"/>
    <w:rsid w:val="00D3405A"/>
    <w:rsid w:val="00D34F9F"/>
    <w:rsid w:val="00D35398"/>
    <w:rsid w:val="00D35F7F"/>
    <w:rsid w:val="00D361D5"/>
    <w:rsid w:val="00D36292"/>
    <w:rsid w:val="00D363F0"/>
    <w:rsid w:val="00D36CDE"/>
    <w:rsid w:val="00D36D13"/>
    <w:rsid w:val="00D36EE5"/>
    <w:rsid w:val="00D37179"/>
    <w:rsid w:val="00D37890"/>
    <w:rsid w:val="00D40608"/>
    <w:rsid w:val="00D40AE4"/>
    <w:rsid w:val="00D40F8F"/>
    <w:rsid w:val="00D4167F"/>
    <w:rsid w:val="00D41839"/>
    <w:rsid w:val="00D41993"/>
    <w:rsid w:val="00D41B19"/>
    <w:rsid w:val="00D41D23"/>
    <w:rsid w:val="00D41E9B"/>
    <w:rsid w:val="00D4250B"/>
    <w:rsid w:val="00D42840"/>
    <w:rsid w:val="00D428F0"/>
    <w:rsid w:val="00D429F5"/>
    <w:rsid w:val="00D43788"/>
    <w:rsid w:val="00D4417F"/>
    <w:rsid w:val="00D44396"/>
    <w:rsid w:val="00D44987"/>
    <w:rsid w:val="00D44B7A"/>
    <w:rsid w:val="00D450FB"/>
    <w:rsid w:val="00D45FF8"/>
    <w:rsid w:val="00D46E38"/>
    <w:rsid w:val="00D472BF"/>
    <w:rsid w:val="00D4763E"/>
    <w:rsid w:val="00D52072"/>
    <w:rsid w:val="00D52347"/>
    <w:rsid w:val="00D52A14"/>
    <w:rsid w:val="00D53167"/>
    <w:rsid w:val="00D539BE"/>
    <w:rsid w:val="00D53FD1"/>
    <w:rsid w:val="00D543F6"/>
    <w:rsid w:val="00D548B2"/>
    <w:rsid w:val="00D54A8A"/>
    <w:rsid w:val="00D54CA5"/>
    <w:rsid w:val="00D55152"/>
    <w:rsid w:val="00D554AA"/>
    <w:rsid w:val="00D55605"/>
    <w:rsid w:val="00D574F1"/>
    <w:rsid w:val="00D57770"/>
    <w:rsid w:val="00D60302"/>
    <w:rsid w:val="00D60382"/>
    <w:rsid w:val="00D6042E"/>
    <w:rsid w:val="00D6059C"/>
    <w:rsid w:val="00D608FE"/>
    <w:rsid w:val="00D60DE3"/>
    <w:rsid w:val="00D60E63"/>
    <w:rsid w:val="00D61448"/>
    <w:rsid w:val="00D6155A"/>
    <w:rsid w:val="00D6162F"/>
    <w:rsid w:val="00D6187F"/>
    <w:rsid w:val="00D619C3"/>
    <w:rsid w:val="00D621DA"/>
    <w:rsid w:val="00D62B98"/>
    <w:rsid w:val="00D62DBB"/>
    <w:rsid w:val="00D631A8"/>
    <w:rsid w:val="00D650CC"/>
    <w:rsid w:val="00D668FD"/>
    <w:rsid w:val="00D66ACA"/>
    <w:rsid w:val="00D66B66"/>
    <w:rsid w:val="00D67EA0"/>
    <w:rsid w:val="00D67EA6"/>
    <w:rsid w:val="00D70697"/>
    <w:rsid w:val="00D706CB"/>
    <w:rsid w:val="00D70E59"/>
    <w:rsid w:val="00D71288"/>
    <w:rsid w:val="00D712A2"/>
    <w:rsid w:val="00D71FF6"/>
    <w:rsid w:val="00D72040"/>
    <w:rsid w:val="00D72B41"/>
    <w:rsid w:val="00D72BA3"/>
    <w:rsid w:val="00D72CBA"/>
    <w:rsid w:val="00D72D7E"/>
    <w:rsid w:val="00D7367E"/>
    <w:rsid w:val="00D73E40"/>
    <w:rsid w:val="00D73F3A"/>
    <w:rsid w:val="00D73F3E"/>
    <w:rsid w:val="00D73F68"/>
    <w:rsid w:val="00D742ED"/>
    <w:rsid w:val="00D7458F"/>
    <w:rsid w:val="00D755C5"/>
    <w:rsid w:val="00D756E3"/>
    <w:rsid w:val="00D75918"/>
    <w:rsid w:val="00D763D0"/>
    <w:rsid w:val="00D764F6"/>
    <w:rsid w:val="00D76908"/>
    <w:rsid w:val="00D76E1F"/>
    <w:rsid w:val="00D77544"/>
    <w:rsid w:val="00D8061F"/>
    <w:rsid w:val="00D80889"/>
    <w:rsid w:val="00D80D05"/>
    <w:rsid w:val="00D80E1F"/>
    <w:rsid w:val="00D80E37"/>
    <w:rsid w:val="00D80F6F"/>
    <w:rsid w:val="00D81354"/>
    <w:rsid w:val="00D81490"/>
    <w:rsid w:val="00D818D5"/>
    <w:rsid w:val="00D820EB"/>
    <w:rsid w:val="00D82174"/>
    <w:rsid w:val="00D826C8"/>
    <w:rsid w:val="00D82990"/>
    <w:rsid w:val="00D8303A"/>
    <w:rsid w:val="00D8394C"/>
    <w:rsid w:val="00D83C6D"/>
    <w:rsid w:val="00D8417D"/>
    <w:rsid w:val="00D845B9"/>
    <w:rsid w:val="00D8465F"/>
    <w:rsid w:val="00D84838"/>
    <w:rsid w:val="00D8484A"/>
    <w:rsid w:val="00D852CF"/>
    <w:rsid w:val="00D85606"/>
    <w:rsid w:val="00D8636F"/>
    <w:rsid w:val="00D86806"/>
    <w:rsid w:val="00D869D2"/>
    <w:rsid w:val="00D86BC9"/>
    <w:rsid w:val="00D86DB1"/>
    <w:rsid w:val="00D87989"/>
    <w:rsid w:val="00D87AB3"/>
    <w:rsid w:val="00D90093"/>
    <w:rsid w:val="00D9025B"/>
    <w:rsid w:val="00D905C5"/>
    <w:rsid w:val="00D90683"/>
    <w:rsid w:val="00D9093D"/>
    <w:rsid w:val="00D91539"/>
    <w:rsid w:val="00D9159F"/>
    <w:rsid w:val="00D915EB"/>
    <w:rsid w:val="00D91A9E"/>
    <w:rsid w:val="00D91BF1"/>
    <w:rsid w:val="00D91ED1"/>
    <w:rsid w:val="00D92905"/>
    <w:rsid w:val="00D92CD8"/>
    <w:rsid w:val="00D931F2"/>
    <w:rsid w:val="00D940AF"/>
    <w:rsid w:val="00D94459"/>
    <w:rsid w:val="00D95505"/>
    <w:rsid w:val="00D95558"/>
    <w:rsid w:val="00D96070"/>
    <w:rsid w:val="00D966C1"/>
    <w:rsid w:val="00D96B6F"/>
    <w:rsid w:val="00D972C7"/>
    <w:rsid w:val="00D9742F"/>
    <w:rsid w:val="00D97859"/>
    <w:rsid w:val="00DA0034"/>
    <w:rsid w:val="00DA0FA4"/>
    <w:rsid w:val="00DA10DF"/>
    <w:rsid w:val="00DA163F"/>
    <w:rsid w:val="00DA1BA9"/>
    <w:rsid w:val="00DA20B7"/>
    <w:rsid w:val="00DA2776"/>
    <w:rsid w:val="00DA288D"/>
    <w:rsid w:val="00DA2DBF"/>
    <w:rsid w:val="00DA49D4"/>
    <w:rsid w:val="00DA5047"/>
    <w:rsid w:val="00DA5503"/>
    <w:rsid w:val="00DA5B25"/>
    <w:rsid w:val="00DA5F97"/>
    <w:rsid w:val="00DA610C"/>
    <w:rsid w:val="00DA636F"/>
    <w:rsid w:val="00DA63E7"/>
    <w:rsid w:val="00DA6948"/>
    <w:rsid w:val="00DA6EE1"/>
    <w:rsid w:val="00DA7ECB"/>
    <w:rsid w:val="00DB0147"/>
    <w:rsid w:val="00DB05B9"/>
    <w:rsid w:val="00DB0633"/>
    <w:rsid w:val="00DB119E"/>
    <w:rsid w:val="00DB1B18"/>
    <w:rsid w:val="00DB1F6E"/>
    <w:rsid w:val="00DB25EB"/>
    <w:rsid w:val="00DB26B0"/>
    <w:rsid w:val="00DB27A9"/>
    <w:rsid w:val="00DB293A"/>
    <w:rsid w:val="00DB29B1"/>
    <w:rsid w:val="00DB2F51"/>
    <w:rsid w:val="00DB36F6"/>
    <w:rsid w:val="00DB3D03"/>
    <w:rsid w:val="00DB41D2"/>
    <w:rsid w:val="00DB434E"/>
    <w:rsid w:val="00DB511F"/>
    <w:rsid w:val="00DB54A7"/>
    <w:rsid w:val="00DB5DD0"/>
    <w:rsid w:val="00DB7C3F"/>
    <w:rsid w:val="00DC0C38"/>
    <w:rsid w:val="00DC140E"/>
    <w:rsid w:val="00DC1879"/>
    <w:rsid w:val="00DC2772"/>
    <w:rsid w:val="00DC2AAB"/>
    <w:rsid w:val="00DC3B45"/>
    <w:rsid w:val="00DC3C51"/>
    <w:rsid w:val="00DC3EFD"/>
    <w:rsid w:val="00DC42DF"/>
    <w:rsid w:val="00DC454E"/>
    <w:rsid w:val="00DC509A"/>
    <w:rsid w:val="00DC5330"/>
    <w:rsid w:val="00DC540D"/>
    <w:rsid w:val="00DC5C93"/>
    <w:rsid w:val="00DC63C6"/>
    <w:rsid w:val="00DC687D"/>
    <w:rsid w:val="00DC6CCC"/>
    <w:rsid w:val="00DC75E2"/>
    <w:rsid w:val="00DC7DB3"/>
    <w:rsid w:val="00DC7DE8"/>
    <w:rsid w:val="00DD044E"/>
    <w:rsid w:val="00DD0D9C"/>
    <w:rsid w:val="00DD0E8A"/>
    <w:rsid w:val="00DD1685"/>
    <w:rsid w:val="00DD324B"/>
    <w:rsid w:val="00DD3360"/>
    <w:rsid w:val="00DD340D"/>
    <w:rsid w:val="00DD3967"/>
    <w:rsid w:val="00DD3D8E"/>
    <w:rsid w:val="00DD3F39"/>
    <w:rsid w:val="00DD4344"/>
    <w:rsid w:val="00DD4371"/>
    <w:rsid w:val="00DD4484"/>
    <w:rsid w:val="00DD5082"/>
    <w:rsid w:val="00DD57ED"/>
    <w:rsid w:val="00DD57FF"/>
    <w:rsid w:val="00DD584A"/>
    <w:rsid w:val="00DD5A2F"/>
    <w:rsid w:val="00DD5D24"/>
    <w:rsid w:val="00DD5EBE"/>
    <w:rsid w:val="00DD79B6"/>
    <w:rsid w:val="00DD7B66"/>
    <w:rsid w:val="00DD7C43"/>
    <w:rsid w:val="00DE07AC"/>
    <w:rsid w:val="00DE0E1E"/>
    <w:rsid w:val="00DE12A1"/>
    <w:rsid w:val="00DE1986"/>
    <w:rsid w:val="00DE1ED9"/>
    <w:rsid w:val="00DE1EE4"/>
    <w:rsid w:val="00DE26BD"/>
    <w:rsid w:val="00DE2796"/>
    <w:rsid w:val="00DE2F5C"/>
    <w:rsid w:val="00DE334C"/>
    <w:rsid w:val="00DE3423"/>
    <w:rsid w:val="00DE3DAE"/>
    <w:rsid w:val="00DE3E2E"/>
    <w:rsid w:val="00DE4393"/>
    <w:rsid w:val="00DE4C01"/>
    <w:rsid w:val="00DE55E7"/>
    <w:rsid w:val="00DE61C3"/>
    <w:rsid w:val="00DE635A"/>
    <w:rsid w:val="00DE657E"/>
    <w:rsid w:val="00DE7286"/>
    <w:rsid w:val="00DE7437"/>
    <w:rsid w:val="00DE76B0"/>
    <w:rsid w:val="00DE7A69"/>
    <w:rsid w:val="00DE7B93"/>
    <w:rsid w:val="00DF08B0"/>
    <w:rsid w:val="00DF1311"/>
    <w:rsid w:val="00DF1AC4"/>
    <w:rsid w:val="00DF1E3C"/>
    <w:rsid w:val="00DF218B"/>
    <w:rsid w:val="00DF29B4"/>
    <w:rsid w:val="00DF2A12"/>
    <w:rsid w:val="00DF2AC5"/>
    <w:rsid w:val="00DF38C9"/>
    <w:rsid w:val="00DF3ED8"/>
    <w:rsid w:val="00DF4653"/>
    <w:rsid w:val="00DF4F4E"/>
    <w:rsid w:val="00DF64CF"/>
    <w:rsid w:val="00DF6BD0"/>
    <w:rsid w:val="00DF7473"/>
    <w:rsid w:val="00DF780D"/>
    <w:rsid w:val="00DF7A21"/>
    <w:rsid w:val="00DF7A73"/>
    <w:rsid w:val="00DF7D17"/>
    <w:rsid w:val="00E00113"/>
    <w:rsid w:val="00E005BE"/>
    <w:rsid w:val="00E005FF"/>
    <w:rsid w:val="00E006DF"/>
    <w:rsid w:val="00E00DDC"/>
    <w:rsid w:val="00E0129D"/>
    <w:rsid w:val="00E0153B"/>
    <w:rsid w:val="00E02240"/>
    <w:rsid w:val="00E022E3"/>
    <w:rsid w:val="00E023BD"/>
    <w:rsid w:val="00E02417"/>
    <w:rsid w:val="00E0283C"/>
    <w:rsid w:val="00E02F29"/>
    <w:rsid w:val="00E03590"/>
    <w:rsid w:val="00E03842"/>
    <w:rsid w:val="00E03AAB"/>
    <w:rsid w:val="00E03B7C"/>
    <w:rsid w:val="00E03C06"/>
    <w:rsid w:val="00E03C08"/>
    <w:rsid w:val="00E052C6"/>
    <w:rsid w:val="00E0535D"/>
    <w:rsid w:val="00E06256"/>
    <w:rsid w:val="00E0656D"/>
    <w:rsid w:val="00E06B73"/>
    <w:rsid w:val="00E07497"/>
    <w:rsid w:val="00E1014B"/>
    <w:rsid w:val="00E10663"/>
    <w:rsid w:val="00E10773"/>
    <w:rsid w:val="00E1164B"/>
    <w:rsid w:val="00E1280C"/>
    <w:rsid w:val="00E139AF"/>
    <w:rsid w:val="00E1478F"/>
    <w:rsid w:val="00E158CF"/>
    <w:rsid w:val="00E1692E"/>
    <w:rsid w:val="00E1711E"/>
    <w:rsid w:val="00E17499"/>
    <w:rsid w:val="00E21660"/>
    <w:rsid w:val="00E21F3B"/>
    <w:rsid w:val="00E22397"/>
    <w:rsid w:val="00E22463"/>
    <w:rsid w:val="00E2252B"/>
    <w:rsid w:val="00E225AC"/>
    <w:rsid w:val="00E228B1"/>
    <w:rsid w:val="00E22ED4"/>
    <w:rsid w:val="00E23194"/>
    <w:rsid w:val="00E240A1"/>
    <w:rsid w:val="00E24BC6"/>
    <w:rsid w:val="00E24DC2"/>
    <w:rsid w:val="00E25D2A"/>
    <w:rsid w:val="00E25D38"/>
    <w:rsid w:val="00E26006"/>
    <w:rsid w:val="00E2612E"/>
    <w:rsid w:val="00E2668F"/>
    <w:rsid w:val="00E26FB1"/>
    <w:rsid w:val="00E2726B"/>
    <w:rsid w:val="00E273CC"/>
    <w:rsid w:val="00E27587"/>
    <w:rsid w:val="00E27F4D"/>
    <w:rsid w:val="00E30992"/>
    <w:rsid w:val="00E30FA5"/>
    <w:rsid w:val="00E3267E"/>
    <w:rsid w:val="00E32B34"/>
    <w:rsid w:val="00E32D1F"/>
    <w:rsid w:val="00E32F6A"/>
    <w:rsid w:val="00E33393"/>
    <w:rsid w:val="00E33477"/>
    <w:rsid w:val="00E3371A"/>
    <w:rsid w:val="00E339EB"/>
    <w:rsid w:val="00E33D5D"/>
    <w:rsid w:val="00E33E12"/>
    <w:rsid w:val="00E34243"/>
    <w:rsid w:val="00E343C3"/>
    <w:rsid w:val="00E344F1"/>
    <w:rsid w:val="00E348F5"/>
    <w:rsid w:val="00E35E6F"/>
    <w:rsid w:val="00E36374"/>
    <w:rsid w:val="00E364C6"/>
    <w:rsid w:val="00E365BC"/>
    <w:rsid w:val="00E36A8F"/>
    <w:rsid w:val="00E36EF4"/>
    <w:rsid w:val="00E37047"/>
    <w:rsid w:val="00E375CD"/>
    <w:rsid w:val="00E40104"/>
    <w:rsid w:val="00E403B6"/>
    <w:rsid w:val="00E40883"/>
    <w:rsid w:val="00E40EFF"/>
    <w:rsid w:val="00E4118F"/>
    <w:rsid w:val="00E41A5C"/>
    <w:rsid w:val="00E41A7B"/>
    <w:rsid w:val="00E41D4C"/>
    <w:rsid w:val="00E42427"/>
    <w:rsid w:val="00E424BD"/>
    <w:rsid w:val="00E42C26"/>
    <w:rsid w:val="00E42F58"/>
    <w:rsid w:val="00E4370A"/>
    <w:rsid w:val="00E4374C"/>
    <w:rsid w:val="00E43973"/>
    <w:rsid w:val="00E43EE2"/>
    <w:rsid w:val="00E44122"/>
    <w:rsid w:val="00E443E4"/>
    <w:rsid w:val="00E457E3"/>
    <w:rsid w:val="00E45D31"/>
    <w:rsid w:val="00E462C3"/>
    <w:rsid w:val="00E4691D"/>
    <w:rsid w:val="00E46DA5"/>
    <w:rsid w:val="00E507C3"/>
    <w:rsid w:val="00E50A0F"/>
    <w:rsid w:val="00E50C58"/>
    <w:rsid w:val="00E511CD"/>
    <w:rsid w:val="00E51374"/>
    <w:rsid w:val="00E517C4"/>
    <w:rsid w:val="00E51FDF"/>
    <w:rsid w:val="00E52033"/>
    <w:rsid w:val="00E526B1"/>
    <w:rsid w:val="00E526E9"/>
    <w:rsid w:val="00E52A17"/>
    <w:rsid w:val="00E52D67"/>
    <w:rsid w:val="00E54BF6"/>
    <w:rsid w:val="00E54E88"/>
    <w:rsid w:val="00E558E1"/>
    <w:rsid w:val="00E55994"/>
    <w:rsid w:val="00E56954"/>
    <w:rsid w:val="00E57308"/>
    <w:rsid w:val="00E5737F"/>
    <w:rsid w:val="00E6029E"/>
    <w:rsid w:val="00E612DB"/>
    <w:rsid w:val="00E61F5C"/>
    <w:rsid w:val="00E622A2"/>
    <w:rsid w:val="00E62E93"/>
    <w:rsid w:val="00E62EFA"/>
    <w:rsid w:val="00E63126"/>
    <w:rsid w:val="00E63165"/>
    <w:rsid w:val="00E63AD0"/>
    <w:rsid w:val="00E63CDA"/>
    <w:rsid w:val="00E64291"/>
    <w:rsid w:val="00E6440E"/>
    <w:rsid w:val="00E648EC"/>
    <w:rsid w:val="00E6507D"/>
    <w:rsid w:val="00E65523"/>
    <w:rsid w:val="00E6596F"/>
    <w:rsid w:val="00E65BB8"/>
    <w:rsid w:val="00E65D35"/>
    <w:rsid w:val="00E66DD0"/>
    <w:rsid w:val="00E67561"/>
    <w:rsid w:val="00E67721"/>
    <w:rsid w:val="00E703B9"/>
    <w:rsid w:val="00E7049B"/>
    <w:rsid w:val="00E716FD"/>
    <w:rsid w:val="00E719D0"/>
    <w:rsid w:val="00E71B76"/>
    <w:rsid w:val="00E7217C"/>
    <w:rsid w:val="00E723B3"/>
    <w:rsid w:val="00E72B74"/>
    <w:rsid w:val="00E73B61"/>
    <w:rsid w:val="00E73C2D"/>
    <w:rsid w:val="00E74131"/>
    <w:rsid w:val="00E7464E"/>
    <w:rsid w:val="00E74CC3"/>
    <w:rsid w:val="00E74EBC"/>
    <w:rsid w:val="00E74F22"/>
    <w:rsid w:val="00E7501A"/>
    <w:rsid w:val="00E771B1"/>
    <w:rsid w:val="00E773FF"/>
    <w:rsid w:val="00E774F8"/>
    <w:rsid w:val="00E77915"/>
    <w:rsid w:val="00E80201"/>
    <w:rsid w:val="00E808D5"/>
    <w:rsid w:val="00E80F18"/>
    <w:rsid w:val="00E80FC9"/>
    <w:rsid w:val="00E81203"/>
    <w:rsid w:val="00E812A7"/>
    <w:rsid w:val="00E81537"/>
    <w:rsid w:val="00E81852"/>
    <w:rsid w:val="00E8197C"/>
    <w:rsid w:val="00E8226D"/>
    <w:rsid w:val="00E8229F"/>
    <w:rsid w:val="00E82517"/>
    <w:rsid w:val="00E82E2E"/>
    <w:rsid w:val="00E82F06"/>
    <w:rsid w:val="00E8324A"/>
    <w:rsid w:val="00E83685"/>
    <w:rsid w:val="00E83993"/>
    <w:rsid w:val="00E83A07"/>
    <w:rsid w:val="00E83C41"/>
    <w:rsid w:val="00E84D02"/>
    <w:rsid w:val="00E85B18"/>
    <w:rsid w:val="00E86900"/>
    <w:rsid w:val="00E8691F"/>
    <w:rsid w:val="00E86FBE"/>
    <w:rsid w:val="00E907F0"/>
    <w:rsid w:val="00E90C05"/>
    <w:rsid w:val="00E91572"/>
    <w:rsid w:val="00E91A7E"/>
    <w:rsid w:val="00E91B22"/>
    <w:rsid w:val="00E923EE"/>
    <w:rsid w:val="00E928AF"/>
    <w:rsid w:val="00E92E2C"/>
    <w:rsid w:val="00E932D0"/>
    <w:rsid w:val="00E9347C"/>
    <w:rsid w:val="00E934FB"/>
    <w:rsid w:val="00E93F69"/>
    <w:rsid w:val="00E947A6"/>
    <w:rsid w:val="00E95296"/>
    <w:rsid w:val="00E95480"/>
    <w:rsid w:val="00E959AA"/>
    <w:rsid w:val="00E96243"/>
    <w:rsid w:val="00E9733C"/>
    <w:rsid w:val="00E97B24"/>
    <w:rsid w:val="00E97FDD"/>
    <w:rsid w:val="00EA0499"/>
    <w:rsid w:val="00EA0C50"/>
    <w:rsid w:val="00EA171D"/>
    <w:rsid w:val="00EA1762"/>
    <w:rsid w:val="00EA2086"/>
    <w:rsid w:val="00EA2265"/>
    <w:rsid w:val="00EA2D3A"/>
    <w:rsid w:val="00EA2EB4"/>
    <w:rsid w:val="00EA42D4"/>
    <w:rsid w:val="00EA45C1"/>
    <w:rsid w:val="00EA4998"/>
    <w:rsid w:val="00EA49B7"/>
    <w:rsid w:val="00EA5644"/>
    <w:rsid w:val="00EA5715"/>
    <w:rsid w:val="00EA6559"/>
    <w:rsid w:val="00EA65D6"/>
    <w:rsid w:val="00EA67EA"/>
    <w:rsid w:val="00EA7690"/>
    <w:rsid w:val="00EB04E7"/>
    <w:rsid w:val="00EB2151"/>
    <w:rsid w:val="00EB25C9"/>
    <w:rsid w:val="00EB29CF"/>
    <w:rsid w:val="00EB3ADA"/>
    <w:rsid w:val="00EB497B"/>
    <w:rsid w:val="00EB4C21"/>
    <w:rsid w:val="00EB537F"/>
    <w:rsid w:val="00EB58BF"/>
    <w:rsid w:val="00EB5A8A"/>
    <w:rsid w:val="00EB5AC5"/>
    <w:rsid w:val="00EB61FD"/>
    <w:rsid w:val="00EB6201"/>
    <w:rsid w:val="00EB6F83"/>
    <w:rsid w:val="00EB7741"/>
    <w:rsid w:val="00EB7E3B"/>
    <w:rsid w:val="00EC0842"/>
    <w:rsid w:val="00EC0B62"/>
    <w:rsid w:val="00EC0E04"/>
    <w:rsid w:val="00EC1453"/>
    <w:rsid w:val="00EC17CD"/>
    <w:rsid w:val="00EC1913"/>
    <w:rsid w:val="00EC1EA3"/>
    <w:rsid w:val="00EC2481"/>
    <w:rsid w:val="00EC2792"/>
    <w:rsid w:val="00EC2A2E"/>
    <w:rsid w:val="00EC2B44"/>
    <w:rsid w:val="00EC3068"/>
    <w:rsid w:val="00EC30DE"/>
    <w:rsid w:val="00EC3344"/>
    <w:rsid w:val="00EC3571"/>
    <w:rsid w:val="00EC35D1"/>
    <w:rsid w:val="00EC3814"/>
    <w:rsid w:val="00EC3EFB"/>
    <w:rsid w:val="00EC41AE"/>
    <w:rsid w:val="00EC4351"/>
    <w:rsid w:val="00EC4B41"/>
    <w:rsid w:val="00EC5185"/>
    <w:rsid w:val="00EC52BC"/>
    <w:rsid w:val="00EC5DC5"/>
    <w:rsid w:val="00EC5F6C"/>
    <w:rsid w:val="00EC602E"/>
    <w:rsid w:val="00EC650B"/>
    <w:rsid w:val="00EC67AD"/>
    <w:rsid w:val="00EC6871"/>
    <w:rsid w:val="00EC751C"/>
    <w:rsid w:val="00ED0C1F"/>
    <w:rsid w:val="00ED112B"/>
    <w:rsid w:val="00ED19F6"/>
    <w:rsid w:val="00ED2166"/>
    <w:rsid w:val="00ED2A65"/>
    <w:rsid w:val="00ED3546"/>
    <w:rsid w:val="00ED35AA"/>
    <w:rsid w:val="00ED36BC"/>
    <w:rsid w:val="00ED38FF"/>
    <w:rsid w:val="00ED3F56"/>
    <w:rsid w:val="00ED4848"/>
    <w:rsid w:val="00ED67C4"/>
    <w:rsid w:val="00ED6E73"/>
    <w:rsid w:val="00ED78A2"/>
    <w:rsid w:val="00EE0006"/>
    <w:rsid w:val="00EE0046"/>
    <w:rsid w:val="00EE04B3"/>
    <w:rsid w:val="00EE09E6"/>
    <w:rsid w:val="00EE0E2F"/>
    <w:rsid w:val="00EE1AAE"/>
    <w:rsid w:val="00EE21B7"/>
    <w:rsid w:val="00EE227C"/>
    <w:rsid w:val="00EE3065"/>
    <w:rsid w:val="00EE3148"/>
    <w:rsid w:val="00EE31EE"/>
    <w:rsid w:val="00EE349A"/>
    <w:rsid w:val="00EE3761"/>
    <w:rsid w:val="00EE4A2A"/>
    <w:rsid w:val="00EE4B8F"/>
    <w:rsid w:val="00EE549F"/>
    <w:rsid w:val="00EE566E"/>
    <w:rsid w:val="00EE5D39"/>
    <w:rsid w:val="00EE5F84"/>
    <w:rsid w:val="00EE5F8A"/>
    <w:rsid w:val="00EE5FEC"/>
    <w:rsid w:val="00EE6605"/>
    <w:rsid w:val="00EE7269"/>
    <w:rsid w:val="00EE76DE"/>
    <w:rsid w:val="00EE7718"/>
    <w:rsid w:val="00EE7A36"/>
    <w:rsid w:val="00EF04A7"/>
    <w:rsid w:val="00EF0C12"/>
    <w:rsid w:val="00EF0E63"/>
    <w:rsid w:val="00EF110D"/>
    <w:rsid w:val="00EF13CA"/>
    <w:rsid w:val="00EF1589"/>
    <w:rsid w:val="00EF1728"/>
    <w:rsid w:val="00EF2623"/>
    <w:rsid w:val="00EF2C08"/>
    <w:rsid w:val="00EF2E98"/>
    <w:rsid w:val="00EF3165"/>
    <w:rsid w:val="00EF31AE"/>
    <w:rsid w:val="00EF39A2"/>
    <w:rsid w:val="00EF3C5D"/>
    <w:rsid w:val="00EF43F9"/>
    <w:rsid w:val="00EF4526"/>
    <w:rsid w:val="00EF4B9F"/>
    <w:rsid w:val="00EF6244"/>
    <w:rsid w:val="00EF6EAC"/>
    <w:rsid w:val="00EF6F59"/>
    <w:rsid w:val="00EF79AB"/>
    <w:rsid w:val="00F00777"/>
    <w:rsid w:val="00F0090D"/>
    <w:rsid w:val="00F00CF6"/>
    <w:rsid w:val="00F016E3"/>
    <w:rsid w:val="00F01A2E"/>
    <w:rsid w:val="00F023EF"/>
    <w:rsid w:val="00F0272D"/>
    <w:rsid w:val="00F02732"/>
    <w:rsid w:val="00F02823"/>
    <w:rsid w:val="00F02AE6"/>
    <w:rsid w:val="00F02DF3"/>
    <w:rsid w:val="00F0345D"/>
    <w:rsid w:val="00F034D5"/>
    <w:rsid w:val="00F03AD9"/>
    <w:rsid w:val="00F040CE"/>
    <w:rsid w:val="00F04275"/>
    <w:rsid w:val="00F058A4"/>
    <w:rsid w:val="00F05F8F"/>
    <w:rsid w:val="00F0655A"/>
    <w:rsid w:val="00F0657A"/>
    <w:rsid w:val="00F0673B"/>
    <w:rsid w:val="00F06A09"/>
    <w:rsid w:val="00F06F50"/>
    <w:rsid w:val="00F0707A"/>
    <w:rsid w:val="00F077D1"/>
    <w:rsid w:val="00F07A77"/>
    <w:rsid w:val="00F1016F"/>
    <w:rsid w:val="00F10263"/>
    <w:rsid w:val="00F10579"/>
    <w:rsid w:val="00F10D19"/>
    <w:rsid w:val="00F11331"/>
    <w:rsid w:val="00F11837"/>
    <w:rsid w:val="00F11855"/>
    <w:rsid w:val="00F11FB7"/>
    <w:rsid w:val="00F127BD"/>
    <w:rsid w:val="00F13493"/>
    <w:rsid w:val="00F146C7"/>
    <w:rsid w:val="00F14C82"/>
    <w:rsid w:val="00F14CCE"/>
    <w:rsid w:val="00F14DD0"/>
    <w:rsid w:val="00F1508D"/>
    <w:rsid w:val="00F15464"/>
    <w:rsid w:val="00F15891"/>
    <w:rsid w:val="00F15E3F"/>
    <w:rsid w:val="00F16832"/>
    <w:rsid w:val="00F178F3"/>
    <w:rsid w:val="00F20117"/>
    <w:rsid w:val="00F20653"/>
    <w:rsid w:val="00F209A5"/>
    <w:rsid w:val="00F21106"/>
    <w:rsid w:val="00F21326"/>
    <w:rsid w:val="00F2162D"/>
    <w:rsid w:val="00F21678"/>
    <w:rsid w:val="00F216DB"/>
    <w:rsid w:val="00F21AF2"/>
    <w:rsid w:val="00F21BE3"/>
    <w:rsid w:val="00F23657"/>
    <w:rsid w:val="00F23D0E"/>
    <w:rsid w:val="00F23D50"/>
    <w:rsid w:val="00F243A6"/>
    <w:rsid w:val="00F24784"/>
    <w:rsid w:val="00F24C8F"/>
    <w:rsid w:val="00F24D48"/>
    <w:rsid w:val="00F24D7A"/>
    <w:rsid w:val="00F24F77"/>
    <w:rsid w:val="00F25094"/>
    <w:rsid w:val="00F25239"/>
    <w:rsid w:val="00F2569D"/>
    <w:rsid w:val="00F262EE"/>
    <w:rsid w:val="00F26495"/>
    <w:rsid w:val="00F2650F"/>
    <w:rsid w:val="00F2651A"/>
    <w:rsid w:val="00F2657B"/>
    <w:rsid w:val="00F2662E"/>
    <w:rsid w:val="00F26CBB"/>
    <w:rsid w:val="00F27878"/>
    <w:rsid w:val="00F27C47"/>
    <w:rsid w:val="00F27E70"/>
    <w:rsid w:val="00F30054"/>
    <w:rsid w:val="00F30486"/>
    <w:rsid w:val="00F30658"/>
    <w:rsid w:val="00F30675"/>
    <w:rsid w:val="00F309E7"/>
    <w:rsid w:val="00F3102B"/>
    <w:rsid w:val="00F3108D"/>
    <w:rsid w:val="00F314A9"/>
    <w:rsid w:val="00F31832"/>
    <w:rsid w:val="00F31974"/>
    <w:rsid w:val="00F31C2A"/>
    <w:rsid w:val="00F31E41"/>
    <w:rsid w:val="00F31E86"/>
    <w:rsid w:val="00F32423"/>
    <w:rsid w:val="00F34214"/>
    <w:rsid w:val="00F344DB"/>
    <w:rsid w:val="00F344E5"/>
    <w:rsid w:val="00F34BBC"/>
    <w:rsid w:val="00F34E2E"/>
    <w:rsid w:val="00F3509B"/>
    <w:rsid w:val="00F355A0"/>
    <w:rsid w:val="00F359A8"/>
    <w:rsid w:val="00F35B0B"/>
    <w:rsid w:val="00F35C32"/>
    <w:rsid w:val="00F35F40"/>
    <w:rsid w:val="00F36004"/>
    <w:rsid w:val="00F3606C"/>
    <w:rsid w:val="00F36D09"/>
    <w:rsid w:val="00F37DA7"/>
    <w:rsid w:val="00F37FBF"/>
    <w:rsid w:val="00F40690"/>
    <w:rsid w:val="00F40F4B"/>
    <w:rsid w:val="00F4158C"/>
    <w:rsid w:val="00F41AB2"/>
    <w:rsid w:val="00F428CD"/>
    <w:rsid w:val="00F437A3"/>
    <w:rsid w:val="00F43966"/>
    <w:rsid w:val="00F43DED"/>
    <w:rsid w:val="00F44095"/>
    <w:rsid w:val="00F4496D"/>
    <w:rsid w:val="00F44CBA"/>
    <w:rsid w:val="00F44E13"/>
    <w:rsid w:val="00F45627"/>
    <w:rsid w:val="00F46D78"/>
    <w:rsid w:val="00F4704E"/>
    <w:rsid w:val="00F4730F"/>
    <w:rsid w:val="00F47658"/>
    <w:rsid w:val="00F47A55"/>
    <w:rsid w:val="00F47EC6"/>
    <w:rsid w:val="00F50142"/>
    <w:rsid w:val="00F50473"/>
    <w:rsid w:val="00F50F10"/>
    <w:rsid w:val="00F51740"/>
    <w:rsid w:val="00F52760"/>
    <w:rsid w:val="00F52F2E"/>
    <w:rsid w:val="00F53009"/>
    <w:rsid w:val="00F5304E"/>
    <w:rsid w:val="00F534A6"/>
    <w:rsid w:val="00F53A63"/>
    <w:rsid w:val="00F53D6B"/>
    <w:rsid w:val="00F549CF"/>
    <w:rsid w:val="00F553B8"/>
    <w:rsid w:val="00F55D13"/>
    <w:rsid w:val="00F55DA1"/>
    <w:rsid w:val="00F5610D"/>
    <w:rsid w:val="00F566E9"/>
    <w:rsid w:val="00F57091"/>
    <w:rsid w:val="00F57CD9"/>
    <w:rsid w:val="00F60622"/>
    <w:rsid w:val="00F60656"/>
    <w:rsid w:val="00F6077D"/>
    <w:rsid w:val="00F60794"/>
    <w:rsid w:val="00F612F7"/>
    <w:rsid w:val="00F616F4"/>
    <w:rsid w:val="00F61829"/>
    <w:rsid w:val="00F61A63"/>
    <w:rsid w:val="00F61F18"/>
    <w:rsid w:val="00F61F8F"/>
    <w:rsid w:val="00F62135"/>
    <w:rsid w:val="00F62338"/>
    <w:rsid w:val="00F6292D"/>
    <w:rsid w:val="00F62B30"/>
    <w:rsid w:val="00F63188"/>
    <w:rsid w:val="00F6366D"/>
    <w:rsid w:val="00F6398F"/>
    <w:rsid w:val="00F63B2E"/>
    <w:rsid w:val="00F64592"/>
    <w:rsid w:val="00F648C5"/>
    <w:rsid w:val="00F64AC1"/>
    <w:rsid w:val="00F64B79"/>
    <w:rsid w:val="00F6505A"/>
    <w:rsid w:val="00F650C9"/>
    <w:rsid w:val="00F66232"/>
    <w:rsid w:val="00F6714E"/>
    <w:rsid w:val="00F67445"/>
    <w:rsid w:val="00F6767E"/>
    <w:rsid w:val="00F701E5"/>
    <w:rsid w:val="00F7058C"/>
    <w:rsid w:val="00F71379"/>
    <w:rsid w:val="00F71486"/>
    <w:rsid w:val="00F71795"/>
    <w:rsid w:val="00F72024"/>
    <w:rsid w:val="00F72425"/>
    <w:rsid w:val="00F72EC6"/>
    <w:rsid w:val="00F72ED7"/>
    <w:rsid w:val="00F7355C"/>
    <w:rsid w:val="00F73ABB"/>
    <w:rsid w:val="00F749C2"/>
    <w:rsid w:val="00F74D56"/>
    <w:rsid w:val="00F74FFB"/>
    <w:rsid w:val="00F750F4"/>
    <w:rsid w:val="00F75190"/>
    <w:rsid w:val="00F7533D"/>
    <w:rsid w:val="00F753E2"/>
    <w:rsid w:val="00F75409"/>
    <w:rsid w:val="00F75425"/>
    <w:rsid w:val="00F757A0"/>
    <w:rsid w:val="00F7593D"/>
    <w:rsid w:val="00F759E5"/>
    <w:rsid w:val="00F76269"/>
    <w:rsid w:val="00F76735"/>
    <w:rsid w:val="00F76E10"/>
    <w:rsid w:val="00F76F39"/>
    <w:rsid w:val="00F771FC"/>
    <w:rsid w:val="00F7755C"/>
    <w:rsid w:val="00F77AD4"/>
    <w:rsid w:val="00F80069"/>
    <w:rsid w:val="00F80B83"/>
    <w:rsid w:val="00F81CC1"/>
    <w:rsid w:val="00F826BC"/>
    <w:rsid w:val="00F8273B"/>
    <w:rsid w:val="00F82D37"/>
    <w:rsid w:val="00F82F26"/>
    <w:rsid w:val="00F83A4A"/>
    <w:rsid w:val="00F841D2"/>
    <w:rsid w:val="00F84648"/>
    <w:rsid w:val="00F846BA"/>
    <w:rsid w:val="00F8487D"/>
    <w:rsid w:val="00F853F7"/>
    <w:rsid w:val="00F85BCC"/>
    <w:rsid w:val="00F86045"/>
    <w:rsid w:val="00F86149"/>
    <w:rsid w:val="00F864B2"/>
    <w:rsid w:val="00F8683B"/>
    <w:rsid w:val="00F87624"/>
    <w:rsid w:val="00F878EA"/>
    <w:rsid w:val="00F87F23"/>
    <w:rsid w:val="00F900B7"/>
    <w:rsid w:val="00F909B1"/>
    <w:rsid w:val="00F90C11"/>
    <w:rsid w:val="00F90EB4"/>
    <w:rsid w:val="00F92725"/>
    <w:rsid w:val="00F9292E"/>
    <w:rsid w:val="00F92A08"/>
    <w:rsid w:val="00F92F4A"/>
    <w:rsid w:val="00F937F9"/>
    <w:rsid w:val="00F94487"/>
    <w:rsid w:val="00F9461E"/>
    <w:rsid w:val="00F94B38"/>
    <w:rsid w:val="00F94BFA"/>
    <w:rsid w:val="00F94D21"/>
    <w:rsid w:val="00F94D48"/>
    <w:rsid w:val="00F9536D"/>
    <w:rsid w:val="00F9570A"/>
    <w:rsid w:val="00F95A8B"/>
    <w:rsid w:val="00F95D57"/>
    <w:rsid w:val="00F95EE7"/>
    <w:rsid w:val="00F96746"/>
    <w:rsid w:val="00F96A77"/>
    <w:rsid w:val="00F96E43"/>
    <w:rsid w:val="00F9737A"/>
    <w:rsid w:val="00F9774B"/>
    <w:rsid w:val="00F97EEE"/>
    <w:rsid w:val="00FA05F0"/>
    <w:rsid w:val="00FA0B7D"/>
    <w:rsid w:val="00FA1111"/>
    <w:rsid w:val="00FA1545"/>
    <w:rsid w:val="00FA1FD9"/>
    <w:rsid w:val="00FA2717"/>
    <w:rsid w:val="00FA2B84"/>
    <w:rsid w:val="00FA3312"/>
    <w:rsid w:val="00FA35ED"/>
    <w:rsid w:val="00FA3E52"/>
    <w:rsid w:val="00FA416F"/>
    <w:rsid w:val="00FA4606"/>
    <w:rsid w:val="00FA4B25"/>
    <w:rsid w:val="00FA4D14"/>
    <w:rsid w:val="00FA57D0"/>
    <w:rsid w:val="00FA5E02"/>
    <w:rsid w:val="00FA5E4D"/>
    <w:rsid w:val="00FA6473"/>
    <w:rsid w:val="00FA6A37"/>
    <w:rsid w:val="00FA6AFC"/>
    <w:rsid w:val="00FA71D6"/>
    <w:rsid w:val="00FA7BC3"/>
    <w:rsid w:val="00FB00B3"/>
    <w:rsid w:val="00FB15D1"/>
    <w:rsid w:val="00FB18F5"/>
    <w:rsid w:val="00FB217F"/>
    <w:rsid w:val="00FB2470"/>
    <w:rsid w:val="00FB274F"/>
    <w:rsid w:val="00FB2840"/>
    <w:rsid w:val="00FB29C2"/>
    <w:rsid w:val="00FB2C55"/>
    <w:rsid w:val="00FB3235"/>
    <w:rsid w:val="00FB3ABE"/>
    <w:rsid w:val="00FB3BD3"/>
    <w:rsid w:val="00FB3F56"/>
    <w:rsid w:val="00FB3FEA"/>
    <w:rsid w:val="00FB4586"/>
    <w:rsid w:val="00FB4688"/>
    <w:rsid w:val="00FB4A99"/>
    <w:rsid w:val="00FB5979"/>
    <w:rsid w:val="00FB5FD8"/>
    <w:rsid w:val="00FB647D"/>
    <w:rsid w:val="00FB69A5"/>
    <w:rsid w:val="00FB6C63"/>
    <w:rsid w:val="00FB7120"/>
    <w:rsid w:val="00FB7393"/>
    <w:rsid w:val="00FC1261"/>
    <w:rsid w:val="00FC134D"/>
    <w:rsid w:val="00FC1377"/>
    <w:rsid w:val="00FC13F0"/>
    <w:rsid w:val="00FC1620"/>
    <w:rsid w:val="00FC1BEE"/>
    <w:rsid w:val="00FC1D54"/>
    <w:rsid w:val="00FC20C3"/>
    <w:rsid w:val="00FC252B"/>
    <w:rsid w:val="00FC2AB7"/>
    <w:rsid w:val="00FC2CD7"/>
    <w:rsid w:val="00FC2CE1"/>
    <w:rsid w:val="00FC320F"/>
    <w:rsid w:val="00FC38F3"/>
    <w:rsid w:val="00FC44F8"/>
    <w:rsid w:val="00FC4779"/>
    <w:rsid w:val="00FC48C2"/>
    <w:rsid w:val="00FC4A26"/>
    <w:rsid w:val="00FC5115"/>
    <w:rsid w:val="00FC585F"/>
    <w:rsid w:val="00FC59E5"/>
    <w:rsid w:val="00FC5E2E"/>
    <w:rsid w:val="00FC601C"/>
    <w:rsid w:val="00FC6365"/>
    <w:rsid w:val="00FC63E6"/>
    <w:rsid w:val="00FC6760"/>
    <w:rsid w:val="00FC6C56"/>
    <w:rsid w:val="00FC779A"/>
    <w:rsid w:val="00FD06B2"/>
    <w:rsid w:val="00FD07E0"/>
    <w:rsid w:val="00FD0925"/>
    <w:rsid w:val="00FD0B98"/>
    <w:rsid w:val="00FD0D76"/>
    <w:rsid w:val="00FD0E71"/>
    <w:rsid w:val="00FD0EDB"/>
    <w:rsid w:val="00FD0F47"/>
    <w:rsid w:val="00FD1760"/>
    <w:rsid w:val="00FD1B57"/>
    <w:rsid w:val="00FD1C20"/>
    <w:rsid w:val="00FD2B5E"/>
    <w:rsid w:val="00FD307D"/>
    <w:rsid w:val="00FD3095"/>
    <w:rsid w:val="00FD458C"/>
    <w:rsid w:val="00FD46D2"/>
    <w:rsid w:val="00FD4C31"/>
    <w:rsid w:val="00FD4E57"/>
    <w:rsid w:val="00FD66AE"/>
    <w:rsid w:val="00FD6DF1"/>
    <w:rsid w:val="00FD7373"/>
    <w:rsid w:val="00FD76E2"/>
    <w:rsid w:val="00FD7FA6"/>
    <w:rsid w:val="00FE027C"/>
    <w:rsid w:val="00FE1069"/>
    <w:rsid w:val="00FE16CD"/>
    <w:rsid w:val="00FE17A5"/>
    <w:rsid w:val="00FE18C9"/>
    <w:rsid w:val="00FE1FC9"/>
    <w:rsid w:val="00FE35CB"/>
    <w:rsid w:val="00FE36DE"/>
    <w:rsid w:val="00FE4AC9"/>
    <w:rsid w:val="00FE5033"/>
    <w:rsid w:val="00FE5044"/>
    <w:rsid w:val="00FE51EC"/>
    <w:rsid w:val="00FE5374"/>
    <w:rsid w:val="00FE58A0"/>
    <w:rsid w:val="00FE5DD9"/>
    <w:rsid w:val="00FE5EAB"/>
    <w:rsid w:val="00FE619F"/>
    <w:rsid w:val="00FE6238"/>
    <w:rsid w:val="00FE6A9F"/>
    <w:rsid w:val="00FE6E69"/>
    <w:rsid w:val="00FE77CA"/>
    <w:rsid w:val="00FE7A83"/>
    <w:rsid w:val="00FF070B"/>
    <w:rsid w:val="00FF0B11"/>
    <w:rsid w:val="00FF0DB8"/>
    <w:rsid w:val="00FF109E"/>
    <w:rsid w:val="00FF1CA9"/>
    <w:rsid w:val="00FF1CEC"/>
    <w:rsid w:val="00FF29FF"/>
    <w:rsid w:val="00FF2AB0"/>
    <w:rsid w:val="00FF2CA2"/>
    <w:rsid w:val="00FF2EE6"/>
    <w:rsid w:val="00FF380B"/>
    <w:rsid w:val="00FF461C"/>
    <w:rsid w:val="00FF4681"/>
    <w:rsid w:val="00FF5386"/>
    <w:rsid w:val="00FF5C48"/>
    <w:rsid w:val="00FF5D46"/>
    <w:rsid w:val="00FF5E9E"/>
    <w:rsid w:val="00FF67B8"/>
    <w:rsid w:val="00FF6F4D"/>
    <w:rsid w:val="00FF76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semiHidden/>
    <w:locked/>
    <w:rsid w:val="000862E0"/>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0862E0"/>
    <w:rPr>
      <w:rFonts w:ascii="Cambria" w:hAnsi="Cambria" w:cs="Times New Roman"/>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locked/>
    <w:rsid w:val="000862E0"/>
    <w:rPr>
      <w:rFonts w:cs="Times New Roman"/>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locked/>
    <w:rsid w:val="000862E0"/>
    <w:rPr>
      <w:rFonts w:cs="Times New Roman"/>
      <w:sz w:val="24"/>
      <w:szCs w:val="24"/>
    </w:rPr>
  </w:style>
  <w:style w:type="paragraph" w:styleId="Titre">
    <w:name w:val="Title"/>
    <w:basedOn w:val="Normal"/>
    <w:link w:val="TitreCar"/>
    <w:uiPriority w:val="99"/>
    <w:qFormat/>
    <w:rsid w:val="00AC3133"/>
    <w:pPr>
      <w:jc w:val="center"/>
    </w:pPr>
    <w:rPr>
      <w:b/>
      <w:bCs/>
      <w:szCs w:val="28"/>
    </w:rPr>
  </w:style>
  <w:style w:type="character" w:customStyle="1" w:styleId="TitreCar">
    <w:name w:val="Titre Car"/>
    <w:basedOn w:val="Policepardfaut"/>
    <w:link w:val="Titre"/>
    <w:uiPriority w:val="99"/>
    <w:locked/>
    <w:rsid w:val="000862E0"/>
    <w:rPr>
      <w:rFonts w:ascii="Cambria" w:hAnsi="Cambria" w:cs="Times New Roman"/>
      <w:b/>
      <w:bCs/>
      <w:kern w:val="28"/>
      <w:sz w:val="32"/>
      <w:szCs w:val="32"/>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locked/>
    <w:rsid w:val="000862E0"/>
    <w:rPr>
      <w:rFonts w:cs="Times New Roman"/>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0862E0"/>
    <w:rPr>
      <w:rFonts w:cs="Times New Roman"/>
      <w:sz w:val="2"/>
    </w:rPr>
  </w:style>
  <w:style w:type="character" w:customStyle="1" w:styleId="hps">
    <w:name w:val="hps"/>
    <w:basedOn w:val="Policepardfaut"/>
    <w:uiPriority w:val="99"/>
    <w:rsid w:val="001E2E19"/>
    <w:rPr>
      <w:rFonts w:cs="Times New Roman"/>
    </w:rPr>
  </w:style>
  <w:style w:type="character" w:customStyle="1" w:styleId="hpsatn">
    <w:name w:val="hps atn"/>
    <w:basedOn w:val="Policepardfaut"/>
    <w:uiPriority w:val="99"/>
    <w:rsid w:val="0080084F"/>
    <w:rPr>
      <w:rFonts w:cs="Times New Roman"/>
    </w:rPr>
  </w:style>
  <w:style w:type="character" w:styleId="lev">
    <w:name w:val="Strong"/>
    <w:basedOn w:val="Policepardfaut"/>
    <w:uiPriority w:val="99"/>
    <w:qFormat/>
    <w:locked/>
    <w:rsid w:val="003D4283"/>
    <w:rPr>
      <w:rFonts w:cs="Times New Roman"/>
      <w:b/>
      <w:bCs/>
    </w:rPr>
  </w:style>
  <w:style w:type="paragraph" w:styleId="Notedebasdepage">
    <w:name w:val="footnote text"/>
    <w:basedOn w:val="Normal"/>
    <w:link w:val="NotedebasdepageCar"/>
    <w:uiPriority w:val="99"/>
    <w:semiHidden/>
    <w:rsid w:val="00AA46C6"/>
    <w:rPr>
      <w:rFonts w:ascii="Calibri" w:hAnsi="Calibri" w:cs="Arial"/>
      <w:sz w:val="20"/>
      <w:szCs w:val="20"/>
      <w:lang w:eastAsia="en-US"/>
    </w:rPr>
  </w:style>
  <w:style w:type="character" w:customStyle="1" w:styleId="NotedebasdepageCar">
    <w:name w:val="Note de bas de page Car"/>
    <w:basedOn w:val="Policepardfaut"/>
    <w:link w:val="Notedebasdepage"/>
    <w:uiPriority w:val="99"/>
    <w:semiHidden/>
    <w:locked/>
    <w:rsid w:val="00AA46C6"/>
    <w:rPr>
      <w:rFonts w:ascii="Calibri" w:hAnsi="Calibri" w:cs="Arial"/>
      <w:lang w:val="fr-FR" w:eastAsia="en-US" w:bidi="ar-SA"/>
    </w:rPr>
  </w:style>
  <w:style w:type="character" w:styleId="Appelnotedebasdep">
    <w:name w:val="footnote reference"/>
    <w:basedOn w:val="Policepardfaut"/>
    <w:uiPriority w:val="99"/>
    <w:semiHidden/>
    <w:rsid w:val="00AA46C6"/>
    <w:rPr>
      <w:rFonts w:cs="Times New Roman"/>
      <w:vertAlign w:val="superscript"/>
    </w:rPr>
  </w:style>
  <w:style w:type="character" w:customStyle="1" w:styleId="ebo1e">
    <w:name w:val="ebo1e"/>
    <w:basedOn w:val="Policepardfaut"/>
    <w:uiPriority w:val="99"/>
    <w:rsid w:val="001712FF"/>
    <w:rPr>
      <w:rFonts w:cs="Times New Roman"/>
    </w:rPr>
  </w:style>
  <w:style w:type="character" w:customStyle="1" w:styleId="fc0t1x20a">
    <w:name w:val="fc0t1x20a"/>
    <w:basedOn w:val="Policepardfaut"/>
    <w:uiPriority w:val="99"/>
    <w:rsid w:val="00FB217F"/>
    <w:rPr>
      <w:rFonts w:cs="Times New Roman"/>
    </w:rPr>
  </w:style>
</w:styles>
</file>

<file path=word/webSettings.xml><?xml version="1.0" encoding="utf-8"?>
<w:webSettings xmlns:r="http://schemas.openxmlformats.org/officeDocument/2006/relationships" xmlns:w="http://schemas.openxmlformats.org/wordprocessingml/2006/main">
  <w:divs>
    <w:div w:id="34931715">
      <w:marLeft w:val="0"/>
      <w:marRight w:val="0"/>
      <w:marTop w:val="0"/>
      <w:marBottom w:val="0"/>
      <w:divBdr>
        <w:top w:val="none" w:sz="0" w:space="0" w:color="auto"/>
        <w:left w:val="none" w:sz="0" w:space="0" w:color="auto"/>
        <w:bottom w:val="none" w:sz="0" w:space="0" w:color="auto"/>
        <w:right w:val="none" w:sz="0" w:space="0" w:color="auto"/>
      </w:divBdr>
    </w:div>
    <w:div w:id="34931716">
      <w:marLeft w:val="0"/>
      <w:marRight w:val="0"/>
      <w:marTop w:val="0"/>
      <w:marBottom w:val="0"/>
      <w:divBdr>
        <w:top w:val="none" w:sz="0" w:space="0" w:color="auto"/>
        <w:left w:val="none" w:sz="0" w:space="0" w:color="auto"/>
        <w:bottom w:val="none" w:sz="0" w:space="0" w:color="auto"/>
        <w:right w:val="none" w:sz="0" w:space="0" w:color="auto"/>
      </w:divBdr>
      <w:divsChild>
        <w:div w:id="34931717">
          <w:marLeft w:val="0"/>
          <w:marRight w:val="0"/>
          <w:marTop w:val="0"/>
          <w:marBottom w:val="0"/>
          <w:divBdr>
            <w:top w:val="none" w:sz="0" w:space="0" w:color="auto"/>
            <w:left w:val="none" w:sz="0" w:space="0" w:color="auto"/>
            <w:bottom w:val="none" w:sz="0" w:space="0" w:color="auto"/>
            <w:right w:val="none" w:sz="0" w:space="0" w:color="auto"/>
          </w:divBdr>
          <w:divsChild>
            <w:div w:id="3493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1719">
      <w:marLeft w:val="0"/>
      <w:marRight w:val="0"/>
      <w:marTop w:val="0"/>
      <w:marBottom w:val="0"/>
      <w:divBdr>
        <w:top w:val="none" w:sz="0" w:space="0" w:color="auto"/>
        <w:left w:val="none" w:sz="0" w:space="0" w:color="auto"/>
        <w:bottom w:val="none" w:sz="0" w:space="0" w:color="auto"/>
        <w:right w:val="none" w:sz="0" w:space="0" w:color="auto"/>
      </w:divBdr>
      <w:divsChild>
        <w:div w:id="34931718">
          <w:marLeft w:val="0"/>
          <w:marRight w:val="0"/>
          <w:marTop w:val="0"/>
          <w:marBottom w:val="0"/>
          <w:divBdr>
            <w:top w:val="none" w:sz="0" w:space="0" w:color="auto"/>
            <w:left w:val="none" w:sz="0" w:space="0" w:color="auto"/>
            <w:bottom w:val="none" w:sz="0" w:space="0" w:color="auto"/>
            <w:right w:val="none" w:sz="0" w:space="0" w:color="auto"/>
          </w:divBdr>
          <w:divsChild>
            <w:div w:id="349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17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2772</Words>
  <Characters>15250</Characters>
  <Application>Microsoft Office Word</Application>
  <DocSecurity>0</DocSecurity>
  <Lines>127</Lines>
  <Paragraphs>35</Paragraphs>
  <ScaleCrop>false</ScaleCrop>
  <Company>Sweet</Company>
  <LinksUpToDate>false</LinksUpToDate>
  <CharactersWithSpaces>17987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subject/>
  <dc:creator>user</dc:creator>
  <cp:keywords/>
  <dc:description/>
  <cp:lastModifiedBy> </cp:lastModifiedBy>
  <cp:revision>2</cp:revision>
  <cp:lastPrinted>2015-10-06T10:09:00Z</cp:lastPrinted>
  <dcterms:created xsi:type="dcterms:W3CDTF">2015-10-06T12:42:00Z</dcterms:created>
  <dcterms:modified xsi:type="dcterms:W3CDTF">2015-10-06T12:42:00Z</dcterms:modified>
</cp:coreProperties>
</file>