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E7" w:rsidRPr="00B50DCB" w:rsidRDefault="00B1381E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7E7" w:rsidRPr="00B50DCB" w:rsidRDefault="00E857E7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</w:rPr>
      </w:pPr>
    </w:p>
    <w:p w:rsidR="00E857E7" w:rsidRPr="00B50DCB" w:rsidRDefault="00E857E7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</w:rPr>
      </w:pPr>
    </w:p>
    <w:p w:rsidR="00E857E7" w:rsidRPr="00B50DCB" w:rsidRDefault="00E857E7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</w:rPr>
      </w:pPr>
    </w:p>
    <w:p w:rsidR="00E857E7" w:rsidRPr="00B50DCB" w:rsidRDefault="00E857E7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</w:rPr>
      </w:pPr>
    </w:p>
    <w:p w:rsidR="00E857E7" w:rsidRPr="00B50DCB" w:rsidRDefault="00E857E7" w:rsidP="00772ED2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sz w:val="28"/>
          <w:szCs w:val="28"/>
          <w:rtl/>
        </w:rPr>
      </w:pPr>
      <w:r w:rsidRPr="00B50DCB">
        <w:tab/>
      </w:r>
      <w:r w:rsidR="00B1381E">
        <w:rPr>
          <w:noProof/>
          <w:rtl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7E7" w:rsidRPr="00E92F23" w:rsidRDefault="00E857E7" w:rsidP="00B50DCB">
      <w:pPr>
        <w:bidi/>
        <w:spacing w:before="120" w:line="340" w:lineRule="exact"/>
        <w:jc w:val="center"/>
        <w:rPr>
          <w:rFonts w:cs="Arabic Transparent"/>
          <w:b/>
          <w:bCs/>
          <w:sz w:val="22"/>
          <w:szCs w:val="22"/>
          <w:rtl/>
        </w:rPr>
      </w:pPr>
    </w:p>
    <w:p w:rsidR="00E857E7" w:rsidRPr="00B50DCB" w:rsidRDefault="00E857E7" w:rsidP="00B50DCB">
      <w:pPr>
        <w:bidi/>
        <w:spacing w:before="120" w:line="340" w:lineRule="exact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  <w:r w:rsidRPr="00B50DCB">
        <w:rPr>
          <w:rFonts w:cs="Arabic Transparent"/>
          <w:b/>
          <w:bCs/>
          <w:sz w:val="36"/>
          <w:szCs w:val="36"/>
          <w:rtl/>
        </w:rPr>
        <w:t>موجــز الظرفيـــ</w:t>
      </w:r>
      <w:r w:rsidRPr="00B50DCB">
        <w:rPr>
          <w:rFonts w:cs="Arabic Transparent"/>
          <w:b/>
          <w:bCs/>
          <w:sz w:val="36"/>
          <w:szCs w:val="36"/>
          <w:rtl/>
          <w:lang w:bidi="ar-MA"/>
        </w:rPr>
        <w:t>ة</w:t>
      </w:r>
    </w:p>
    <w:p w:rsidR="00E857E7" w:rsidRPr="00B50DCB" w:rsidRDefault="00E857E7" w:rsidP="00B50DCB">
      <w:pPr>
        <w:bidi/>
        <w:spacing w:line="340" w:lineRule="exact"/>
        <w:jc w:val="center"/>
        <w:rPr>
          <w:rFonts w:cs="Arabic Transparent"/>
          <w:b/>
          <w:bCs/>
          <w:sz w:val="32"/>
          <w:szCs w:val="32"/>
        </w:rPr>
      </w:pPr>
      <w:r w:rsidRPr="00B50DCB">
        <w:rPr>
          <w:rFonts w:cs="Arabic Transparent"/>
          <w:b/>
          <w:bCs/>
          <w:sz w:val="32"/>
          <w:szCs w:val="32"/>
          <w:rtl/>
          <w:lang w:bidi="ar-MA"/>
        </w:rPr>
        <w:t>- يوليوز</w:t>
      </w:r>
      <w:r w:rsidRPr="00B50DCB">
        <w:rPr>
          <w:rFonts w:cs="Arabic Transparent"/>
          <w:b/>
          <w:bCs/>
          <w:sz w:val="32"/>
          <w:szCs w:val="32"/>
          <w:rtl/>
        </w:rPr>
        <w:t xml:space="preserve"> 2013</w:t>
      </w:r>
      <w:r w:rsidRPr="00B50DCB">
        <w:rPr>
          <w:rFonts w:cs="Arabic Transparent"/>
          <w:b/>
          <w:bCs/>
          <w:sz w:val="32"/>
          <w:szCs w:val="32"/>
        </w:rPr>
        <w:t xml:space="preserve">- </w:t>
      </w:r>
    </w:p>
    <w:p w:rsidR="00E857E7" w:rsidRPr="00B50DCB" w:rsidRDefault="00E857E7" w:rsidP="00B50DCB">
      <w:pPr>
        <w:bidi/>
        <w:spacing w:line="340" w:lineRule="exact"/>
        <w:jc w:val="both"/>
        <w:rPr>
          <w:rStyle w:val="hps"/>
          <w:rFonts w:cs="Arabic Transparent"/>
          <w:sz w:val="28"/>
          <w:szCs w:val="28"/>
          <w:lang w:bidi="ar-MA"/>
        </w:rPr>
      </w:pPr>
    </w:p>
    <w:p w:rsidR="00E857E7" w:rsidRPr="00E92F23" w:rsidRDefault="00E857E7" w:rsidP="00E92F23">
      <w:pPr>
        <w:spacing w:line="320" w:lineRule="exact"/>
        <w:jc w:val="both"/>
        <w:rPr>
          <w:rStyle w:val="hps"/>
          <w:rFonts w:cs="Arabic Transparent"/>
          <w:sz w:val="26"/>
          <w:szCs w:val="26"/>
          <w:rtl/>
          <w:lang w:bidi="ar-MA"/>
        </w:rPr>
      </w:pPr>
      <w:r w:rsidRPr="00E92F23">
        <w:rPr>
          <w:rStyle w:val="hps"/>
          <w:rFonts w:cs="Arabic Transparent"/>
          <w:sz w:val="28"/>
          <w:szCs w:val="28"/>
          <w:rtl/>
          <w:lang w:bidi="ar-MA"/>
        </w:rPr>
        <w:t>يتوقع أن يعرف الاقتصاد الوطني بعض ال</w:t>
      </w:r>
      <w:r w:rsidRPr="00E92F23">
        <w:rPr>
          <w:rStyle w:val="hps"/>
          <w:rFonts w:cs="Arabic Transparent"/>
          <w:sz w:val="28"/>
          <w:szCs w:val="28"/>
          <w:rtl/>
        </w:rPr>
        <w:t>تحسن</w:t>
      </w:r>
      <w:r w:rsidRPr="00E92F23">
        <w:rPr>
          <w:rStyle w:val="hps"/>
          <w:rFonts w:cs="Arabic Transparent"/>
          <w:sz w:val="28"/>
          <w:szCs w:val="28"/>
          <w:rtl/>
          <w:lang w:bidi="ar-MA"/>
        </w:rPr>
        <w:t xml:space="preserve"> </w:t>
      </w:r>
      <w:r w:rsidRPr="00E92F23">
        <w:rPr>
          <w:rStyle w:val="hps"/>
          <w:rFonts w:cs="Arabic Transparent"/>
          <w:sz w:val="28"/>
          <w:szCs w:val="28"/>
          <w:rtl/>
        </w:rPr>
        <w:t>في وتيرة نموه خلال الفصل الثاني 2013</w:t>
      </w:r>
      <w:r w:rsidRPr="00E92F23">
        <w:rPr>
          <w:rStyle w:val="hps"/>
          <w:rFonts w:cs="Arabic Transparent"/>
          <w:sz w:val="28"/>
          <w:szCs w:val="28"/>
          <w:rtl/>
          <w:lang w:bidi="ar-MA"/>
        </w:rPr>
        <w:t>،</w:t>
      </w:r>
      <w:r w:rsidRPr="00E92F23">
        <w:rPr>
          <w:rStyle w:val="hps"/>
          <w:rFonts w:cs="Arabic Transparent"/>
          <w:sz w:val="28"/>
          <w:szCs w:val="28"/>
          <w:rtl/>
        </w:rPr>
        <w:t xml:space="preserve"> ل</w:t>
      </w:r>
      <w:r w:rsidRPr="00E92F23">
        <w:rPr>
          <w:rStyle w:val="hps"/>
          <w:rFonts w:cs="Arabic Transparent"/>
          <w:sz w:val="28"/>
          <w:szCs w:val="28"/>
          <w:rtl/>
          <w:lang w:bidi="ar-MA"/>
        </w:rPr>
        <w:t>ت</w:t>
      </w:r>
      <w:r w:rsidRPr="00E92F23">
        <w:rPr>
          <w:rStyle w:val="hps"/>
          <w:rFonts w:cs="Arabic Transparent"/>
          <w:sz w:val="28"/>
          <w:szCs w:val="28"/>
          <w:rtl/>
        </w:rPr>
        <w:t>ستقر في حدود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 4,3٪</w:t>
      </w:r>
      <w:r w:rsidRPr="00E92F23">
        <w:rPr>
          <w:rStyle w:val="hps"/>
          <w:rFonts w:cs="Arabic Transparent"/>
          <w:sz w:val="28"/>
          <w:szCs w:val="28"/>
          <w:rtl/>
        </w:rPr>
        <w:t>، حسب التغير السنوي. ويعزى هذا الت</w:t>
      </w:r>
      <w:r w:rsidRPr="00E92F23">
        <w:rPr>
          <w:rStyle w:val="hps"/>
          <w:rFonts w:cs="Arabic Transparent"/>
          <w:sz w:val="28"/>
          <w:szCs w:val="28"/>
          <w:rtl/>
          <w:lang w:bidi="ar-MA"/>
        </w:rPr>
        <w:t>طور</w:t>
      </w:r>
      <w:r w:rsidRPr="00E92F23">
        <w:rPr>
          <w:rStyle w:val="hps"/>
          <w:rFonts w:cs="Arabic Transparent"/>
          <w:sz w:val="28"/>
          <w:szCs w:val="28"/>
          <w:rtl/>
        </w:rPr>
        <w:t xml:space="preserve"> بالأساس إلى ارتفاع القيمة المضافة الفلاحية، فيما ستعرف الأنشطة غير الفلاحية </w:t>
      </w:r>
      <w:r w:rsidRPr="00E92F23">
        <w:rPr>
          <w:rStyle w:val="hps"/>
          <w:rFonts w:cs="Arabic Transparent"/>
          <w:sz w:val="28"/>
          <w:szCs w:val="28"/>
          <w:rtl/>
          <w:lang w:bidi="ar-MA"/>
        </w:rPr>
        <w:t xml:space="preserve">تباطؤ في وتيرة نموها، بسبب ضعف القطاعات الثانوية وتباطؤ الخدمات الغير مؤدى عليها. أما خلال الفصل الثالث 2013، فستعرف القطاعات غير الفلاحية نموا يقدر ب </w:t>
      </w:r>
      <w:r w:rsidRPr="00E92F23">
        <w:rPr>
          <w:rFonts w:cs="Arabic Transparent"/>
          <w:sz w:val="28"/>
          <w:szCs w:val="28"/>
          <w:rtl/>
          <w:lang w:bidi="ar-MA"/>
        </w:rPr>
        <w:t>2٪ عوض 1,8٪</w:t>
      </w:r>
      <w:r w:rsidRPr="00E92F23">
        <w:rPr>
          <w:rStyle w:val="hps"/>
          <w:rFonts w:cs="Arabic Transparent"/>
          <w:sz w:val="28"/>
          <w:szCs w:val="28"/>
          <w:rtl/>
        </w:rPr>
        <w:t>، في الفصل الذي قبله، موازاة مع استمرار انتعاش الطلب الخارجي وتباطؤ الطلب الداخلي</w:t>
      </w:r>
      <w:r w:rsidRPr="00E92F23">
        <w:rPr>
          <w:rStyle w:val="hps"/>
          <w:rFonts w:cs="Arabic Transparent"/>
          <w:sz w:val="28"/>
          <w:szCs w:val="28"/>
          <w:rtl/>
          <w:lang w:bidi="ar-MA"/>
        </w:rPr>
        <w:t xml:space="preserve">.   </w:t>
      </w:r>
      <w:r w:rsidRPr="00E92F23">
        <w:rPr>
          <w:rStyle w:val="hps"/>
          <w:rFonts w:cs="Arabic Transparent"/>
          <w:sz w:val="26"/>
          <w:szCs w:val="26"/>
          <w:rtl/>
          <w:lang w:bidi="ar-MA"/>
        </w:rPr>
        <w:t xml:space="preserve">                                                                                            </w:t>
      </w:r>
    </w:p>
    <w:p w:rsidR="00E857E7" w:rsidRPr="00E92F23" w:rsidRDefault="00B1381E" w:rsidP="00E92F23">
      <w:pPr>
        <w:bidi/>
        <w:spacing w:line="30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96520</wp:posOffset>
            </wp:positionV>
            <wp:extent cx="2891790" cy="2286000"/>
            <wp:effectExtent l="0" t="0" r="0" b="0"/>
            <wp:wrapTight wrapText="bothSides">
              <wp:wrapPolygon edited="0">
                <wp:start x="142" y="540"/>
                <wp:lineTo x="142" y="20880"/>
                <wp:lineTo x="21344" y="20880"/>
                <wp:lineTo x="21344" y="540"/>
                <wp:lineTo x="142" y="540"/>
              </wp:wrapPolygon>
            </wp:wrapTight>
            <wp:docPr id="1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177" t="-2931" r="-1921" b="-3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7E7" w:rsidRPr="00E92F23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تحسن نسبي للظرفية الاقتصادية الدولية خلال الفصل الثاني 2013</w:t>
      </w:r>
      <w:r w:rsidR="00E857E7" w:rsidRPr="00E92F23">
        <w:rPr>
          <w:rFonts w:cs="Arabic Transparent"/>
          <w:b/>
          <w:bCs/>
          <w:color w:val="800000"/>
          <w:sz w:val="28"/>
          <w:szCs w:val="28"/>
          <w:lang w:bidi="ar-MA"/>
        </w:rPr>
        <w:t xml:space="preserve"> </w:t>
      </w:r>
    </w:p>
    <w:p w:rsidR="00E857E7" w:rsidRPr="00B50DCB" w:rsidRDefault="00E857E7" w:rsidP="00E92F23">
      <w:pPr>
        <w:bidi/>
        <w:spacing w:line="300" w:lineRule="exact"/>
        <w:jc w:val="both"/>
        <w:rPr>
          <w:rFonts w:cs="Arabic Transparent"/>
          <w:spacing w:val="-2"/>
          <w:sz w:val="28"/>
          <w:szCs w:val="28"/>
          <w:rtl/>
          <w:lang w:bidi="ar-MA"/>
        </w:rPr>
      </w:pPr>
    </w:p>
    <w:p w:rsidR="00E857E7" w:rsidRPr="00E92F23" w:rsidRDefault="00E857E7" w:rsidP="00772ED2">
      <w:pPr>
        <w:bidi/>
        <w:spacing w:line="300" w:lineRule="exact"/>
        <w:jc w:val="both"/>
        <w:rPr>
          <w:rFonts w:cs="Arabic Transparent"/>
          <w:spacing w:val="-2"/>
          <w:sz w:val="28"/>
          <w:szCs w:val="28"/>
          <w:rtl/>
        </w:rPr>
      </w:pPr>
      <w:r>
        <w:rPr>
          <w:rFonts w:cs="Arabic Transparent"/>
          <w:spacing w:val="-2"/>
          <w:sz w:val="28"/>
          <w:szCs w:val="28"/>
          <w:rtl/>
          <w:lang w:bidi="ar-MA"/>
        </w:rPr>
        <w:t xml:space="preserve">باعتبار المؤشرات الاقتصادية الخاصة بالشركاء الأساسيين للمغرب، يتوقع أن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يعرف </w:t>
      </w:r>
      <w:r>
        <w:rPr>
          <w:rFonts w:cs="Arabic Transparent"/>
          <w:spacing w:val="-2"/>
          <w:sz w:val="28"/>
          <w:szCs w:val="28"/>
          <w:rtl/>
          <w:lang w:bidi="ar-MA"/>
        </w:rPr>
        <w:t xml:space="preserve">اقتصاد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الدولي </w:t>
      </w:r>
      <w:r>
        <w:rPr>
          <w:rFonts w:cs="Arabic Transparent"/>
          <w:spacing w:val="-2"/>
          <w:sz w:val="28"/>
          <w:szCs w:val="28"/>
          <w:rtl/>
          <w:lang w:bidi="ar-MA"/>
        </w:rPr>
        <w:t xml:space="preserve">المتقدمة،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 خلال</w:t>
      </w:r>
      <w:r w:rsidRPr="00E92F23">
        <w:rPr>
          <w:rFonts w:cs="Arabic Transparent"/>
          <w:spacing w:val="-2"/>
          <w:sz w:val="28"/>
          <w:szCs w:val="28"/>
          <w:lang w:bidi="ar-MA"/>
        </w:rPr>
        <w:t xml:space="preserve">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الفصل الثاني 2013، نموا يقدر</w:t>
      </w:r>
      <w:r w:rsidRPr="00E92F23">
        <w:rPr>
          <w:rFonts w:cs="Arabic Transparent"/>
          <w:spacing w:val="-2"/>
          <w:sz w:val="28"/>
          <w:szCs w:val="28"/>
          <w:lang w:bidi="ar-MA"/>
        </w:rPr>
        <w:t xml:space="preserve">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ب </w:t>
      </w:r>
      <w:r w:rsidRPr="00E92F23">
        <w:rPr>
          <w:rFonts w:cs="Arabic Transparent"/>
          <w:spacing w:val="-2"/>
          <w:sz w:val="28"/>
          <w:szCs w:val="28"/>
          <w:lang w:bidi="ar-MA"/>
        </w:rPr>
        <w:t>1,6</w:t>
      </w:r>
      <w:r w:rsidRPr="00E92F23">
        <w:rPr>
          <w:rFonts w:cs="Arabic Transparent" w:hint="cs"/>
          <w:spacing w:val="-2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، حسب التغير السنوي.</w:t>
      </w:r>
      <w:r w:rsidRPr="00E92F23">
        <w:rPr>
          <w:rFonts w:cs="Arabic Transparent"/>
          <w:spacing w:val="-2"/>
          <w:sz w:val="28"/>
          <w:szCs w:val="28"/>
          <w:lang w:bidi="ar-MA"/>
        </w:rPr>
        <w:t xml:space="preserve">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وينتظر أن يشهد اقتصاد الولايات المتحدة الأمريكية نموا بنسبة </w:t>
      </w:r>
      <w:r w:rsidRPr="00E92F23">
        <w:rPr>
          <w:rFonts w:cs="Arabic Transparent"/>
          <w:spacing w:val="-2"/>
          <w:sz w:val="28"/>
          <w:szCs w:val="28"/>
          <w:lang w:bidi="ar-MA"/>
        </w:rPr>
        <w:t>1,6</w:t>
      </w:r>
      <w:r w:rsidRPr="00E92F23">
        <w:rPr>
          <w:rFonts w:cs="Arabic Transparent" w:hint="cs"/>
          <w:spacing w:val="-2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،</w:t>
      </w:r>
      <w:r w:rsidRPr="00E92F23">
        <w:rPr>
          <w:rFonts w:cs="Arabic Transparent"/>
          <w:spacing w:val="-2"/>
          <w:sz w:val="28"/>
          <w:szCs w:val="28"/>
          <w:lang w:bidi="ar-MA"/>
        </w:rPr>
        <w:t xml:space="preserve">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مدعوما بتحسن استهلاك الأسر وتطور الاستثمار في البناء. فيما سيعرف اقتصاد منطقة الأورو ارتفاعا ب </w:t>
      </w:r>
      <w:r w:rsidRPr="00E92F23">
        <w:rPr>
          <w:rFonts w:cs="Arabic Transparent"/>
          <w:spacing w:val="-2"/>
          <w:sz w:val="28"/>
          <w:szCs w:val="28"/>
          <w:lang w:bidi="ar-MA"/>
        </w:rPr>
        <w:t>0,4</w:t>
      </w:r>
      <w:r w:rsidRPr="00E92F23">
        <w:rPr>
          <w:rFonts w:cs="Arabic Transparent" w:hint="cs"/>
          <w:spacing w:val="-2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pacing w:val="-2"/>
          <w:sz w:val="28"/>
          <w:szCs w:val="28"/>
          <w:lang w:bidi="ar-MA"/>
        </w:rPr>
        <w:t xml:space="preserve">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بعد انخفاض دام ستة فصول على التوالي. </w:t>
      </w:r>
    </w:p>
    <w:p w:rsidR="00E857E7" w:rsidRPr="00E92F23" w:rsidRDefault="00E857E7" w:rsidP="00E92F23">
      <w:pPr>
        <w:bidi/>
        <w:spacing w:line="300" w:lineRule="exact"/>
        <w:jc w:val="both"/>
        <w:rPr>
          <w:rStyle w:val="hps"/>
          <w:rFonts w:cs="Arabic Transparent"/>
          <w:sz w:val="26"/>
          <w:szCs w:val="26"/>
          <w:lang w:bidi="ar-MA"/>
        </w:rPr>
      </w:pPr>
    </w:p>
    <w:p w:rsidR="00E857E7" w:rsidRPr="00E92F23" w:rsidRDefault="00E857E7" w:rsidP="00E92F23">
      <w:pPr>
        <w:bidi/>
        <w:spacing w:line="300" w:lineRule="exact"/>
        <w:jc w:val="both"/>
        <w:rPr>
          <w:rFonts w:cs="Arabic Transparent"/>
          <w:b/>
          <w:bCs/>
          <w:color w:val="800000"/>
          <w:sz w:val="26"/>
          <w:szCs w:val="26"/>
          <w:rtl/>
          <w:lang w:bidi="ar-MA"/>
        </w:rPr>
      </w:pPr>
      <w:r w:rsidRPr="00E92F23">
        <w:rPr>
          <w:rFonts w:cs="Arabic Transparent"/>
          <w:b/>
          <w:bCs/>
          <w:color w:val="800000"/>
          <w:sz w:val="26"/>
          <w:szCs w:val="26"/>
          <w:rtl/>
          <w:lang w:bidi="ar-MA"/>
        </w:rPr>
        <w:t xml:space="preserve">تراجع العجز التجاري </w:t>
      </w:r>
    </w:p>
    <w:p w:rsidR="00E857E7" w:rsidRPr="00E92F23" w:rsidRDefault="00B1381E" w:rsidP="00E92F23">
      <w:pPr>
        <w:bidi/>
        <w:spacing w:line="300" w:lineRule="exact"/>
        <w:jc w:val="both"/>
        <w:rPr>
          <w:rFonts w:cs="Arabic Transparent"/>
          <w:b/>
          <w:bCs/>
          <w:color w:val="800000"/>
          <w:sz w:val="26"/>
          <w:szCs w:val="26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-3028950</wp:posOffset>
            </wp:positionH>
            <wp:positionV relativeFrom="paragraph">
              <wp:posOffset>175895</wp:posOffset>
            </wp:positionV>
            <wp:extent cx="2971800" cy="2333625"/>
            <wp:effectExtent l="0" t="0" r="0" b="0"/>
            <wp:wrapTight wrapText="bothSides">
              <wp:wrapPolygon edited="0">
                <wp:start x="831" y="529"/>
                <wp:lineTo x="831" y="20454"/>
                <wp:lineTo x="21185" y="20454"/>
                <wp:lineTo x="21185" y="529"/>
                <wp:lineTo x="831" y="529"/>
              </wp:wrapPolygon>
            </wp:wrapTight>
            <wp:docPr id="1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5437" t="-2684" r="-2870" b="-5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7E7" w:rsidRDefault="00E857E7" w:rsidP="00603A0C">
      <w:pPr>
        <w:bidi/>
        <w:spacing w:line="300" w:lineRule="exact"/>
        <w:jc w:val="both"/>
        <w:rPr>
          <w:rFonts w:cs="Arabic Transparent"/>
          <w:sz w:val="28"/>
          <w:szCs w:val="28"/>
          <w:lang w:bidi="ar-MA"/>
        </w:rPr>
      </w:pPr>
      <w:r>
        <w:rPr>
          <w:rFonts w:cs="Arabic Transparent"/>
          <w:sz w:val="28"/>
          <w:szCs w:val="28"/>
          <w:rtl/>
          <w:lang w:bidi="ar-MA"/>
        </w:rPr>
        <w:t xml:space="preserve">من </w:t>
      </w:r>
      <w:r w:rsidR="00603A0C">
        <w:rPr>
          <w:rFonts w:cs="Arabic Transparent" w:hint="cs"/>
          <w:sz w:val="28"/>
          <w:szCs w:val="28"/>
          <w:rtl/>
          <w:lang w:bidi="ar-MA"/>
        </w:rPr>
        <w:t>المرتقب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 أن يساهم انتعاش اقتصاد الدول المتقدمة، خلال الفصل الثاني 2013، في نمو التجارة العالمية ب </w:t>
      </w:r>
      <w:r w:rsidRPr="00E92F23">
        <w:rPr>
          <w:rFonts w:cs="Arabic Transparent"/>
          <w:sz w:val="28"/>
          <w:szCs w:val="28"/>
          <w:lang w:bidi="ar-MA"/>
        </w:rPr>
        <w:t>2,3</w:t>
      </w:r>
      <w:r w:rsidRPr="00E92F23">
        <w:rPr>
          <w:rFonts w:cs="Arabic Transparent" w:hint="cs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، حسب التغير السنوي. وقد ساهم هذا التطور في تحسن الصادرات الوطنية ب </w:t>
      </w:r>
      <w:r w:rsidRPr="00E92F23">
        <w:rPr>
          <w:rFonts w:cs="Arabic Transparent"/>
          <w:spacing w:val="-2"/>
          <w:sz w:val="28"/>
          <w:szCs w:val="28"/>
          <w:lang w:bidi="ar-MA"/>
        </w:rPr>
        <w:t>3,5</w:t>
      </w:r>
      <w:r w:rsidRPr="00E92F23">
        <w:rPr>
          <w:rFonts w:cs="Arabic Transparent" w:hint="cs"/>
          <w:spacing w:val="-2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، حسب التغير السنوي،</w:t>
      </w:r>
      <w:r w:rsidRPr="00E92F23">
        <w:rPr>
          <w:rFonts w:cs="Arabic Transparent"/>
          <w:sz w:val="28"/>
          <w:szCs w:val="28"/>
          <w:lang w:bidi="ar-MA"/>
        </w:rPr>
        <w:t xml:space="preserve"> 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مقابل انخفاض الواردات بنسبة </w:t>
      </w:r>
      <w:r w:rsidRPr="00E92F23">
        <w:rPr>
          <w:rFonts w:cs="Arabic Transparent"/>
          <w:sz w:val="28"/>
          <w:szCs w:val="28"/>
          <w:lang w:bidi="ar-MA"/>
        </w:rPr>
        <w:t>1,5</w:t>
      </w:r>
      <w:r w:rsidRPr="00E92F23">
        <w:rPr>
          <w:rFonts w:cs="Arabic Transparent" w:hint="cs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، ليتراجع العجز التجاري بنسبة </w:t>
      </w:r>
      <w:r w:rsidRPr="00E92F23">
        <w:rPr>
          <w:rFonts w:cs="Arabic Transparent"/>
          <w:sz w:val="28"/>
          <w:szCs w:val="28"/>
          <w:lang w:bidi="ar-MA"/>
        </w:rPr>
        <w:t>5,6</w:t>
      </w:r>
      <w:r w:rsidRPr="00E92F23">
        <w:rPr>
          <w:rFonts w:cs="Arabic Transparent" w:hint="cs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، مستقرا في حدود 53 مليار درهم. ويرجع هذا التحول بالاساس إلى تحسن الصادرات دون الفوسفاط ومشتقاته بنسبة </w:t>
      </w:r>
      <w:r w:rsidRPr="00E92F23">
        <w:rPr>
          <w:rFonts w:cs="Arabic Transparent"/>
          <w:sz w:val="28"/>
          <w:szCs w:val="28"/>
          <w:lang w:bidi="ar-MA"/>
        </w:rPr>
        <w:t>8,3</w:t>
      </w:r>
      <w:r w:rsidRPr="00E92F23">
        <w:rPr>
          <w:rFonts w:cs="Arabic Transparent" w:hint="cs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، فيما شهدت صادرات الفوسفاط ومشتقاته انخفاضا ب </w:t>
      </w:r>
      <w:r w:rsidRPr="00E92F23">
        <w:rPr>
          <w:rFonts w:cs="Arabic Transparent"/>
          <w:sz w:val="28"/>
          <w:szCs w:val="28"/>
          <w:lang w:bidi="ar-MA"/>
        </w:rPr>
        <w:t>9,5</w:t>
      </w:r>
      <w:r w:rsidRPr="00E92F23">
        <w:rPr>
          <w:rFonts w:cs="Arabic Transparent" w:hint="cs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z w:val="28"/>
          <w:szCs w:val="28"/>
          <w:rtl/>
          <w:lang w:bidi="ar-MA"/>
        </w:rPr>
        <w:t>، في ظرفية اتسمت بتراجع أسعارها في الأسواق العالمية</w:t>
      </w:r>
      <w:r w:rsidRPr="00E92F23">
        <w:rPr>
          <w:rFonts w:cs="Arabic Transparent"/>
          <w:sz w:val="28"/>
          <w:szCs w:val="28"/>
          <w:lang w:bidi="ar-MA"/>
        </w:rPr>
        <w:t>.</w:t>
      </w:r>
      <w:r w:rsidRPr="00E92F23">
        <w:rPr>
          <w:rFonts w:cs="Arabic Transparent"/>
          <w:lang w:bidi="ar-MA"/>
        </w:rPr>
        <w:t xml:space="preserve"> </w:t>
      </w:r>
      <w:r w:rsidRPr="00B50DCB">
        <w:rPr>
          <w:rFonts w:cs="Arabic Transparent"/>
          <w:b/>
          <w:bCs/>
          <w:sz w:val="20"/>
          <w:szCs w:val="20"/>
          <w:rtl/>
          <w:lang w:bidi="ar-EG"/>
        </w:rPr>
        <w:t>..............................................................................................................................</w:t>
      </w:r>
      <w:r>
        <w:rPr>
          <w:rFonts w:cs="Arabic Transparent"/>
          <w:b/>
          <w:bCs/>
          <w:sz w:val="20"/>
          <w:szCs w:val="20"/>
          <w:rtl/>
          <w:lang w:bidi="ar-EG"/>
        </w:rPr>
        <w:t>.......................</w:t>
      </w:r>
    </w:p>
    <w:p w:rsidR="00E857E7" w:rsidRPr="00E92F23" w:rsidRDefault="00E857E7" w:rsidP="00B50DCB">
      <w:pPr>
        <w:bidi/>
        <w:spacing w:line="340" w:lineRule="exact"/>
        <w:jc w:val="both"/>
        <w:rPr>
          <w:rFonts w:cs="Arabic Transparent"/>
          <w:spacing w:val="-2"/>
          <w:rtl/>
          <w:lang w:bidi="ar-MA"/>
        </w:rPr>
      </w:pPr>
      <w:r w:rsidRPr="00E92F23">
        <w:rPr>
          <w:rFonts w:cs="Arabic Transparent"/>
          <w:i/>
          <w:iCs/>
          <w:sz w:val="20"/>
          <w:szCs w:val="20"/>
          <w:rtl/>
        </w:rPr>
        <w:t xml:space="preserve">من اجل الاطلاع على النسخة المفصلة لموجز الظرفية الاقتصادية، يمكن الرجوع إلى البوابة الالكترونية للمندوبية السامية للتخطيط </w:t>
      </w:r>
      <w:r w:rsidRPr="00E92F23">
        <w:rPr>
          <w:rFonts w:cs="Arabic Transparent"/>
          <w:i/>
          <w:iCs/>
          <w:sz w:val="20"/>
          <w:szCs w:val="20"/>
        </w:rPr>
        <w:t>)</w:t>
      </w:r>
      <w:hyperlink r:id="rId11" w:history="1">
        <w:r w:rsidRPr="00E92F23">
          <w:rPr>
            <w:rFonts w:cs="Arabic Transparent"/>
            <w:sz w:val="20"/>
            <w:szCs w:val="20"/>
          </w:rPr>
          <w:t>www.hcp.ma</w:t>
        </w:r>
      </w:hyperlink>
      <w:r w:rsidRPr="00E92F23">
        <w:rPr>
          <w:rFonts w:cs="Arabic Transparent"/>
          <w:i/>
          <w:iCs/>
          <w:sz w:val="20"/>
          <w:szCs w:val="20"/>
        </w:rPr>
        <w:t>(</w:t>
      </w:r>
      <w:r w:rsidRPr="00E92F23">
        <w:rPr>
          <w:rFonts w:cs="Arabic Transparent"/>
          <w:i/>
          <w:iCs/>
          <w:sz w:val="20"/>
          <w:szCs w:val="20"/>
          <w:rtl/>
        </w:rPr>
        <w:t>.</w:t>
      </w:r>
      <w:r w:rsidRPr="00E92F23">
        <w:rPr>
          <w:rFonts w:cs="Arabic Transparent"/>
          <w:i/>
          <w:iCs/>
          <w:sz w:val="20"/>
          <w:szCs w:val="20"/>
        </w:rPr>
        <w:t xml:space="preserve"> </w:t>
      </w:r>
      <w:r w:rsidRPr="00E92F23">
        <w:rPr>
          <w:rFonts w:cs="Arabic Transparent"/>
          <w:i/>
          <w:iCs/>
          <w:sz w:val="20"/>
          <w:szCs w:val="20"/>
          <w:rtl/>
        </w:rPr>
        <w:t>يسمح باستعمال المعلومات التي تتضمنها هذه النشرة مع ضرورة الإشارة إلى المصدر</w:t>
      </w:r>
      <w:r w:rsidRPr="00E92F23">
        <w:rPr>
          <w:rFonts w:cs="Arabic Transparent"/>
          <w:i/>
          <w:iCs/>
          <w:sz w:val="20"/>
          <w:szCs w:val="20"/>
        </w:rPr>
        <w:t>.</w:t>
      </w:r>
    </w:p>
    <w:p w:rsidR="00E857E7" w:rsidRPr="00B50DCB" w:rsidRDefault="00B1381E" w:rsidP="00B50DCB">
      <w:pPr>
        <w:bidi/>
        <w:spacing w:line="340" w:lineRule="exact"/>
        <w:jc w:val="both"/>
        <w:rPr>
          <w:rFonts w:cs="Arabic Transparent"/>
          <w:sz w:val="28"/>
          <w:szCs w:val="28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191135</wp:posOffset>
            </wp:positionV>
            <wp:extent cx="3117215" cy="2323465"/>
            <wp:effectExtent l="0" t="0" r="0" b="0"/>
            <wp:wrapTight wrapText="bothSides">
              <wp:wrapPolygon edited="0">
                <wp:start x="132" y="354"/>
                <wp:lineTo x="132" y="21075"/>
                <wp:lineTo x="21120" y="21075"/>
                <wp:lineTo x="21120" y="354"/>
                <wp:lineTo x="132" y="354"/>
              </wp:wrapPolygon>
            </wp:wrapTight>
            <wp:docPr id="13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2097" t="-2150" r="-3421" b="-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32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7E7"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تطور متواضع للطلب الداخلي</w:t>
      </w:r>
    </w:p>
    <w:p w:rsidR="00E857E7" w:rsidRPr="00B50DCB" w:rsidRDefault="00E857E7" w:rsidP="00B50DCB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</w:p>
    <w:p w:rsidR="00E857E7" w:rsidRDefault="00603A0C" w:rsidP="00603A0C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  <w:r>
        <w:rPr>
          <w:rFonts w:cs="Arabic Transparent" w:hint="cs"/>
          <w:sz w:val="28"/>
          <w:szCs w:val="28"/>
          <w:rtl/>
          <w:lang w:bidi="ar-MA"/>
        </w:rPr>
        <w:t xml:space="preserve"> من جهته</w:t>
      </w:r>
      <w:r>
        <w:rPr>
          <w:sz w:val="28"/>
          <w:szCs w:val="28"/>
          <w:rtl/>
          <w:lang w:bidi="ar-MA"/>
        </w:rPr>
        <w:t>٬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sz w:val="28"/>
          <w:szCs w:val="28"/>
          <w:rtl/>
          <w:lang w:bidi="ar-MA"/>
        </w:rPr>
        <w:t>س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يواصل الطلب الداخلي تباطؤه</w:t>
      </w:r>
      <w:r w:rsidR="00E857E7" w:rsidRPr="00B50DCB">
        <w:rPr>
          <w:rFonts w:cs="Arabic Transparent"/>
          <w:sz w:val="28"/>
          <w:szCs w:val="28"/>
          <w:lang w:bidi="ar-MA"/>
        </w:rPr>
        <w:t xml:space="preserve">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في الفصل الثاني </w:t>
      </w:r>
      <w:r>
        <w:rPr>
          <w:rFonts w:cs="Arabic Transparent" w:hint="cs"/>
          <w:sz w:val="28"/>
          <w:szCs w:val="28"/>
          <w:rtl/>
          <w:lang w:bidi="ar-MA"/>
        </w:rPr>
        <w:t xml:space="preserve">من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2013، متأثرا </w:t>
      </w:r>
      <w:r>
        <w:rPr>
          <w:rFonts w:cs="Arabic Transparent" w:hint="cs"/>
          <w:sz w:val="28"/>
          <w:szCs w:val="28"/>
          <w:rtl/>
          <w:lang w:bidi="ar-MA"/>
        </w:rPr>
        <w:t>ب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انخفاض تكوين رأس المال بنسبة تقدر ب</w:t>
      </w:r>
      <w:r w:rsidR="00E857E7" w:rsidRPr="00B50DCB">
        <w:rPr>
          <w:rFonts w:cs="Arabic Transparent"/>
          <w:sz w:val="28"/>
          <w:szCs w:val="28"/>
          <w:lang w:bidi="ar-MA"/>
        </w:rPr>
        <w:t>2</w:t>
      </w:r>
      <w:proofErr w:type="gramStart"/>
      <w:r w:rsidR="00E857E7" w:rsidRPr="00B50DCB">
        <w:rPr>
          <w:rFonts w:cs="Arabic Transparent"/>
          <w:sz w:val="28"/>
          <w:szCs w:val="28"/>
          <w:lang w:bidi="ar-MA"/>
        </w:rPr>
        <w:t>,7</w:t>
      </w:r>
      <w:proofErr w:type="gramEnd"/>
      <w:r w:rsidR="00E857E7" w:rsidRPr="00B50DCB">
        <w:rPr>
          <w:rFonts w:cs="Arabic Transparent"/>
          <w:sz w:val="28"/>
          <w:szCs w:val="28"/>
          <w:lang w:bidi="ar-MA"/>
        </w:rPr>
        <w:t xml:space="preserve"> </w:t>
      </w:r>
      <w:r w:rsidR="00E857E7"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، </w:t>
      </w:r>
      <w:r>
        <w:rPr>
          <w:rFonts w:cs="Arabic Transparent" w:hint="cs"/>
          <w:sz w:val="28"/>
          <w:szCs w:val="28"/>
          <w:rtl/>
          <w:lang w:bidi="ar-MA"/>
        </w:rPr>
        <w:t xml:space="preserve"> بعد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ارتفاعه ب </w:t>
      </w:r>
      <w:r w:rsidR="00E857E7" w:rsidRPr="00B50DCB">
        <w:rPr>
          <w:rFonts w:cs="Arabic Transparent"/>
          <w:sz w:val="28"/>
          <w:szCs w:val="28"/>
          <w:lang w:bidi="ar-MA"/>
        </w:rPr>
        <w:t>4,6</w:t>
      </w:r>
      <w:r w:rsidR="00E857E7"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، </w:t>
      </w:r>
      <w:r>
        <w:rPr>
          <w:rFonts w:cs="Arabic Transparent" w:hint="cs"/>
          <w:sz w:val="28"/>
          <w:szCs w:val="28"/>
          <w:rtl/>
          <w:lang w:bidi="ar-MA"/>
        </w:rPr>
        <w:t xml:space="preserve">خلال نفس الفترة من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السنة </w:t>
      </w:r>
      <w:r>
        <w:rPr>
          <w:rFonts w:cs="Arabic Transparent" w:hint="cs"/>
          <w:sz w:val="28"/>
          <w:szCs w:val="28"/>
          <w:rtl/>
          <w:lang w:bidi="ar-MA"/>
        </w:rPr>
        <w:t>الماضية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. ويرجع هذا التحول بالأساس إلى تقلص الاستثمار في قطاع البناء، حيث واصلت مبيعات السكن تراجعها بعدما انخفضت ب </w:t>
      </w:r>
      <w:r w:rsidR="00E857E7" w:rsidRPr="00B50DCB">
        <w:rPr>
          <w:rFonts w:cs="Arabic Transparent"/>
          <w:sz w:val="28"/>
          <w:szCs w:val="28"/>
          <w:lang w:bidi="ar-MA"/>
        </w:rPr>
        <w:t>7</w:t>
      </w:r>
      <w:proofErr w:type="gramStart"/>
      <w:r w:rsidR="00E857E7" w:rsidRPr="00B50DCB">
        <w:rPr>
          <w:rFonts w:cs="Arabic Transparent"/>
          <w:sz w:val="28"/>
          <w:szCs w:val="28"/>
          <w:lang w:bidi="ar-MA"/>
        </w:rPr>
        <w:t>,8</w:t>
      </w:r>
      <w:proofErr w:type="gramEnd"/>
      <w:r w:rsidR="00E857E7"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، في الفصل الأول. أما استهلاك الأسر، فيتوقع أن يحقق نموا يقدر ب </w:t>
      </w:r>
      <w:r w:rsidR="00E857E7" w:rsidRPr="00B50DCB">
        <w:rPr>
          <w:rFonts w:cs="Arabic Transparent"/>
          <w:sz w:val="28"/>
          <w:szCs w:val="28"/>
          <w:lang w:bidi="ar-MA"/>
        </w:rPr>
        <w:t>3,9</w:t>
      </w:r>
      <w:r w:rsidR="00E857E7"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، في ظرفية اتسمت بتحسن المداخيل الخارجية ب </w:t>
      </w:r>
      <w:r w:rsidR="00E857E7" w:rsidRPr="00B50DCB">
        <w:rPr>
          <w:rFonts w:cs="Arabic Transparent"/>
          <w:sz w:val="28"/>
          <w:szCs w:val="28"/>
          <w:lang w:bidi="ar-MA"/>
        </w:rPr>
        <w:t>2,7</w:t>
      </w:r>
      <w:r w:rsidR="00E857E7"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، وارتفاع في أسعار</w:t>
      </w:r>
      <w:r w:rsidR="00E857E7" w:rsidRPr="00B50DCB">
        <w:rPr>
          <w:rFonts w:cs="Arabic Transparent"/>
          <w:sz w:val="28"/>
          <w:szCs w:val="28"/>
          <w:lang w:bidi="ar-MA"/>
        </w:rPr>
        <w:t xml:space="preserve">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الاستهلاك بنسبة </w:t>
      </w:r>
      <w:r w:rsidR="00E857E7" w:rsidRPr="00B50DCB">
        <w:rPr>
          <w:rFonts w:cs="Arabic Transparent"/>
          <w:sz w:val="28"/>
          <w:szCs w:val="28"/>
          <w:lang w:bidi="ar-MA"/>
        </w:rPr>
        <w:t>2,5</w:t>
      </w:r>
      <w:r w:rsidR="00E857E7"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، حسب التغير السنوي.</w:t>
      </w:r>
    </w:p>
    <w:p w:rsidR="00E857E7" w:rsidRPr="00B50DCB" w:rsidRDefault="00E857E7" w:rsidP="00B50DCB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</w:p>
    <w:p w:rsidR="00E857E7" w:rsidRPr="00B50DCB" w:rsidRDefault="00B1381E" w:rsidP="00B50DCB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164465</wp:posOffset>
            </wp:positionV>
            <wp:extent cx="3126740" cy="2260600"/>
            <wp:effectExtent l="0" t="0" r="0" b="0"/>
            <wp:wrapTight wrapText="bothSides">
              <wp:wrapPolygon edited="0">
                <wp:start x="132" y="546"/>
                <wp:lineTo x="132" y="21297"/>
                <wp:lineTo x="20661" y="21297"/>
                <wp:lineTo x="20661" y="546"/>
                <wp:lineTo x="132" y="546"/>
              </wp:wrapPolygon>
            </wp:wrapTight>
            <wp:docPr id="14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2138" t="-3177" r="-5399" b="-1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26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7E7"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تحسن طفيف في وتيرة النمو الاقتصادي</w:t>
      </w:r>
    </w:p>
    <w:p w:rsidR="00E857E7" w:rsidRPr="00B50DCB" w:rsidRDefault="00E857E7" w:rsidP="00B50DCB">
      <w:pPr>
        <w:bidi/>
        <w:spacing w:line="340" w:lineRule="exact"/>
        <w:jc w:val="both"/>
        <w:rPr>
          <w:rFonts w:cs="Arabic Transparent"/>
          <w:rtl/>
        </w:rPr>
      </w:pPr>
    </w:p>
    <w:p w:rsidR="00E857E7" w:rsidRDefault="00E857E7" w:rsidP="00B50DCB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  <w:r w:rsidRPr="00B50DCB">
        <w:rPr>
          <w:rStyle w:val="hps"/>
          <w:rFonts w:cs="Arabic Transparent"/>
          <w:sz w:val="28"/>
          <w:szCs w:val="28"/>
          <w:rtl/>
          <w:lang w:bidi="ar-MA"/>
        </w:rPr>
        <w:t xml:space="preserve">ينتظر أن يحقق الاقتصاد الوطني نموا يقدر ب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4,3٪، خلال الفصل الثاني، حسب التغير السنوي، مقابل 3,8٪، في الفصل الأول. </w:t>
      </w:r>
      <w:r w:rsidRPr="00B50DCB">
        <w:rPr>
          <w:rStyle w:val="hps"/>
          <w:rFonts w:cs="Arabic Transparent"/>
          <w:sz w:val="28"/>
          <w:szCs w:val="28"/>
          <w:rtl/>
        </w:rPr>
        <w:t>ويرجع هذا التحسن بالأساس إلى مساهمة القطاع الفلاحي ب 2,8 نقطة في نسبة النمو.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حيث يتوقع أن تستفيد معظم الزراعات كالحبوب والخ</w:t>
      </w:r>
      <w:proofErr w:type="gramStart"/>
      <w:r w:rsidRPr="00B50DCB">
        <w:rPr>
          <w:rFonts w:cs="Arabic Transparent"/>
          <w:sz w:val="28"/>
          <w:szCs w:val="28"/>
          <w:rtl/>
          <w:lang w:bidi="ar-MA"/>
        </w:rPr>
        <w:t>ضر</w:t>
      </w:r>
      <w:proofErr w:type="gramEnd"/>
      <w:r w:rsidRPr="00B50DCB">
        <w:rPr>
          <w:rFonts w:cs="Arabic Transparent"/>
          <w:sz w:val="28"/>
          <w:szCs w:val="28"/>
          <w:rtl/>
          <w:lang w:bidi="ar-MA"/>
        </w:rPr>
        <w:t xml:space="preserve">وات والمواد العلفية من الظروف المناخية الملائمة لفصل الربيع. وأن تتحسن أنشطة تربية الدواجن بعد انخفاضها ب 5,6٪، السنة الماضية، وكذلك إنتاج اللحوم الحمراء </w:t>
      </w:r>
      <w:r w:rsidRPr="00B50DCB">
        <w:rPr>
          <w:rFonts w:cs="Arabic Transparent"/>
          <w:sz w:val="28"/>
          <w:szCs w:val="28"/>
          <w:lang w:bidi="ar-MA"/>
        </w:rPr>
        <w:t>+4,8)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lang w:bidi="ar-MA"/>
        </w:rPr>
        <w:t>(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، مدعمة بتوفر الأعلاف وتراجع نسبي لأسعارها. </w:t>
      </w:r>
    </w:p>
    <w:p w:rsidR="00E857E7" w:rsidRPr="00B50DCB" w:rsidRDefault="00E857E7" w:rsidP="00B50DCB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</w:p>
    <w:p w:rsidR="00E857E7" w:rsidRPr="00E92F23" w:rsidRDefault="00E857E7" w:rsidP="00B50DCB">
      <w:pPr>
        <w:bidi/>
        <w:spacing w:line="340" w:lineRule="exact"/>
        <w:jc w:val="both"/>
        <w:rPr>
          <w:rFonts w:cs="Arabic Transparent"/>
          <w:b/>
          <w:bCs/>
          <w:color w:val="800000"/>
          <w:rtl/>
        </w:rPr>
      </w:pPr>
      <w:r w:rsidRPr="00E92F23">
        <w:rPr>
          <w:rFonts w:cs="Arabic Transparent"/>
          <w:b/>
          <w:bCs/>
          <w:color w:val="800000"/>
          <w:sz w:val="28"/>
          <w:szCs w:val="28"/>
          <w:rtl/>
        </w:rPr>
        <w:t>تباطؤ وتيرة نمو القطاعات غير الفلاحية</w:t>
      </w:r>
    </w:p>
    <w:p w:rsidR="00E857E7" w:rsidRPr="00B50DCB" w:rsidRDefault="00E857E7" w:rsidP="00B50DCB">
      <w:pPr>
        <w:bidi/>
        <w:spacing w:line="340" w:lineRule="exact"/>
        <w:jc w:val="both"/>
        <w:rPr>
          <w:rStyle w:val="hps"/>
          <w:rFonts w:cs="Arabic Transparent"/>
          <w:sz w:val="28"/>
          <w:szCs w:val="28"/>
          <w:rtl/>
          <w:lang w:bidi="ar-MA"/>
        </w:rPr>
      </w:pPr>
    </w:p>
    <w:p w:rsidR="00E857E7" w:rsidRDefault="00B1381E" w:rsidP="00603A0C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42545</wp:posOffset>
            </wp:positionV>
            <wp:extent cx="3019425" cy="2657475"/>
            <wp:effectExtent l="0" t="0" r="0" b="0"/>
            <wp:wrapTight wrapText="bothSides">
              <wp:wrapPolygon edited="0">
                <wp:start x="136" y="465"/>
                <wp:lineTo x="136" y="21213"/>
                <wp:lineTo x="20714" y="21213"/>
                <wp:lineTo x="20714" y="465"/>
                <wp:lineTo x="136" y="465"/>
              </wp:wrapPolygon>
            </wp:wrapTight>
            <wp:docPr id="15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145" t="-2155" r="-5759" b="-2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A0C">
        <w:rPr>
          <w:rStyle w:val="hps"/>
          <w:rFonts w:cs="Arabic Transparent" w:hint="cs"/>
          <w:sz w:val="28"/>
          <w:szCs w:val="28"/>
          <w:rtl/>
        </w:rPr>
        <w:t xml:space="preserve">على صعيد </w:t>
      </w:r>
      <w:r w:rsidR="00E857E7" w:rsidRPr="00B50DCB">
        <w:rPr>
          <w:rStyle w:val="hps"/>
          <w:rFonts w:cs="Arabic Transparent"/>
          <w:sz w:val="28"/>
          <w:szCs w:val="28"/>
          <w:rtl/>
        </w:rPr>
        <w:t xml:space="preserve">الأنشطة غير الفلاحية </w:t>
      </w:r>
      <w:r w:rsidR="00603A0C">
        <w:rPr>
          <w:rStyle w:val="hps"/>
          <w:rFonts w:cs="Arabic Transparent" w:hint="cs"/>
          <w:sz w:val="28"/>
          <w:szCs w:val="28"/>
          <w:rtl/>
        </w:rPr>
        <w:t xml:space="preserve"> يرتقب أن يستمر</w:t>
      </w:r>
      <w:r w:rsidR="00603A0C" w:rsidRPr="00B50DCB">
        <w:rPr>
          <w:rStyle w:val="hps"/>
          <w:rFonts w:cs="Arabic Transparent"/>
          <w:sz w:val="28"/>
          <w:szCs w:val="28"/>
          <w:rtl/>
        </w:rPr>
        <w:t xml:space="preserve"> </w:t>
      </w:r>
      <w:r w:rsidR="00E857E7" w:rsidRPr="00B50DCB">
        <w:rPr>
          <w:rStyle w:val="hps"/>
          <w:rFonts w:cs="Arabic Transparent"/>
          <w:sz w:val="28"/>
          <w:szCs w:val="28"/>
          <w:rtl/>
          <w:lang w:bidi="ar-MA"/>
        </w:rPr>
        <w:t>تباطؤ</w:t>
      </w:r>
      <w:r w:rsidR="00603A0C">
        <w:rPr>
          <w:rStyle w:val="hps"/>
          <w:rFonts w:cs="Arabic Transparent" w:hint="cs"/>
          <w:sz w:val="28"/>
          <w:szCs w:val="28"/>
          <w:rtl/>
          <w:lang w:bidi="ar-MA"/>
        </w:rPr>
        <w:t xml:space="preserve"> نموها</w:t>
      </w:r>
      <w:r w:rsidR="00E857E7" w:rsidRPr="00B50DCB">
        <w:rPr>
          <w:rStyle w:val="hps"/>
          <w:rFonts w:cs="Arabic Transparent"/>
          <w:sz w:val="28"/>
          <w:szCs w:val="28"/>
          <w:rtl/>
          <w:lang w:bidi="ar-MA"/>
        </w:rPr>
        <w:t xml:space="preserve">، </w:t>
      </w:r>
      <w:r w:rsidR="00603A0C">
        <w:rPr>
          <w:rStyle w:val="hps"/>
          <w:rFonts w:cs="Arabic Transparent" w:hint="cs"/>
          <w:sz w:val="28"/>
          <w:szCs w:val="28"/>
          <w:rtl/>
          <w:lang w:bidi="ar-MA"/>
        </w:rPr>
        <w:t>خلال</w:t>
      </w:r>
      <w:r w:rsidR="00E857E7" w:rsidRPr="00B50DCB">
        <w:rPr>
          <w:rStyle w:val="hps"/>
          <w:rFonts w:cs="Arabic Transparent"/>
          <w:sz w:val="28"/>
          <w:szCs w:val="28"/>
          <w:rtl/>
          <w:lang w:bidi="ar-MA"/>
        </w:rPr>
        <w:t xml:space="preserve"> الفصل الثاني </w:t>
      </w:r>
      <w:r w:rsidR="00603A0C">
        <w:rPr>
          <w:rStyle w:val="hps"/>
          <w:rFonts w:cs="Arabic Transparent" w:hint="cs"/>
          <w:sz w:val="28"/>
          <w:szCs w:val="28"/>
          <w:rtl/>
          <w:lang w:bidi="ar-MA"/>
        </w:rPr>
        <w:t xml:space="preserve">من </w:t>
      </w:r>
      <w:r w:rsidR="00603A0C" w:rsidRPr="00B50DCB">
        <w:rPr>
          <w:rStyle w:val="hps"/>
          <w:rFonts w:cs="Arabic Transparent"/>
          <w:sz w:val="28"/>
          <w:szCs w:val="28"/>
          <w:rtl/>
          <w:lang w:bidi="ar-MA"/>
        </w:rPr>
        <w:t>2013</w:t>
      </w:r>
      <w:r w:rsidR="00603A0C">
        <w:rPr>
          <w:rStyle w:val="hps"/>
          <w:rFonts w:cs="Arabic Transparent" w:hint="cs"/>
          <w:sz w:val="28"/>
          <w:szCs w:val="28"/>
          <w:rtl/>
          <w:lang w:bidi="ar-MA"/>
        </w:rPr>
        <w:t xml:space="preserve"> ليصل</w:t>
      </w:r>
      <w:r w:rsidR="00E857E7" w:rsidRPr="00B50DCB">
        <w:rPr>
          <w:rStyle w:val="hps"/>
          <w:rFonts w:cs="Arabic Transparent"/>
          <w:sz w:val="28"/>
          <w:szCs w:val="28"/>
          <w:rtl/>
          <w:lang w:bidi="ar-MA"/>
        </w:rPr>
        <w:t xml:space="preserve"> </w:t>
      </w:r>
      <w:r w:rsidR="00603A0C">
        <w:rPr>
          <w:rStyle w:val="hps"/>
          <w:rFonts w:cs="Arabic Transparent" w:hint="cs"/>
          <w:sz w:val="28"/>
          <w:szCs w:val="28"/>
          <w:rtl/>
          <w:lang w:bidi="ar-MA"/>
        </w:rPr>
        <w:t>الى</w:t>
      </w:r>
      <w:r w:rsidR="00E857E7" w:rsidRPr="00B50DCB">
        <w:rPr>
          <w:rStyle w:val="hps"/>
          <w:rFonts w:cs="Arabic Transparent"/>
          <w:sz w:val="28"/>
          <w:szCs w:val="28"/>
          <w:rtl/>
          <w:lang w:bidi="ar-MA"/>
        </w:rPr>
        <w:t xml:space="preserve">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1,8</w:t>
      </w:r>
      <w:proofErr w:type="gramStart"/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٪ </w:t>
      </w:r>
      <w:proofErr w:type="gramEnd"/>
      <w:r w:rsidR="00E857E7" w:rsidRPr="00B50DCB">
        <w:rPr>
          <w:rFonts w:cs="Arabic Transparent"/>
          <w:sz w:val="28"/>
          <w:szCs w:val="28"/>
          <w:rtl/>
          <w:lang w:bidi="ar-MA"/>
        </w:rPr>
        <w:t>عوض 4,5٪</w:t>
      </w:r>
      <w:r w:rsidR="00E857E7" w:rsidRPr="00B50DCB">
        <w:rPr>
          <w:rStyle w:val="hps"/>
          <w:rFonts w:cs="Arabic Transparent"/>
          <w:sz w:val="28"/>
          <w:szCs w:val="28"/>
          <w:rtl/>
        </w:rPr>
        <w:t xml:space="preserve">، السنة </w:t>
      </w:r>
      <w:r w:rsidR="00603A0C">
        <w:rPr>
          <w:rStyle w:val="hps"/>
          <w:rFonts w:cs="Arabic Transparent" w:hint="cs"/>
          <w:sz w:val="28"/>
          <w:szCs w:val="28"/>
          <w:rtl/>
        </w:rPr>
        <w:t xml:space="preserve"> الماضية </w:t>
      </w:r>
      <w:r w:rsidR="00E857E7" w:rsidRPr="00B50DCB">
        <w:rPr>
          <w:rStyle w:val="hps"/>
          <w:rFonts w:cs="Arabic Transparent"/>
          <w:sz w:val="28"/>
          <w:szCs w:val="28"/>
          <w:rtl/>
        </w:rPr>
        <w:t xml:space="preserve">. ويرجع هذا التحول إلى </w:t>
      </w:r>
      <w:r w:rsidR="00E857E7" w:rsidRPr="00B50DCB">
        <w:rPr>
          <w:rStyle w:val="hps"/>
          <w:rFonts w:cs="Arabic Transparent"/>
          <w:sz w:val="28"/>
          <w:szCs w:val="28"/>
          <w:rtl/>
          <w:lang w:bidi="ar-MA"/>
        </w:rPr>
        <w:t xml:space="preserve">ضعف القطاعات الثانوية وخاصة أنشطة البناء والأشغال العمومية التي مازالت تأثر سلبا على تطور القطاعات غير الفلاحية. حيث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ينتظر أن يواصل قطاع البناء و الأشغال العمومية انخفاضه، خلال الفصل الثاني 2013، بنسبة تقدر ب </w:t>
      </w:r>
      <w:r w:rsidR="00E857E7" w:rsidRPr="00B50DCB">
        <w:rPr>
          <w:rFonts w:cs="Arabic Transparent"/>
          <w:sz w:val="28"/>
          <w:szCs w:val="28"/>
          <w:lang w:bidi="ar-MA"/>
        </w:rPr>
        <w:t>3,6</w:t>
      </w:r>
      <w:r w:rsidR="00E857E7"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، حسب التغير السنوي،</w:t>
      </w:r>
      <w:r w:rsidR="00E857E7" w:rsidRPr="00B50DCB">
        <w:rPr>
          <w:rFonts w:cs="Arabic Transparent"/>
          <w:sz w:val="28"/>
          <w:szCs w:val="28"/>
          <w:lang w:bidi="ar-MA"/>
        </w:rPr>
        <w:t xml:space="preserve">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بعدما تقلص ب </w:t>
      </w:r>
      <w:r w:rsidR="00E857E7" w:rsidRPr="00B50DCB">
        <w:rPr>
          <w:rFonts w:cs="Arabic Transparent"/>
          <w:sz w:val="28"/>
          <w:szCs w:val="28"/>
          <w:lang w:bidi="ar-MA"/>
        </w:rPr>
        <w:t>5,9</w:t>
      </w:r>
      <w:r w:rsidR="00E857E7"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في الفصل السابق. وتشير البيانات الأولية إلى تراجع في مبيعات الاسمنت بنسبة 4</w:t>
      </w:r>
      <w:proofErr w:type="gramStart"/>
      <w:r w:rsidR="00E857E7" w:rsidRPr="00B50DCB">
        <w:rPr>
          <w:rFonts w:cs="Arabic Transparent"/>
          <w:sz w:val="28"/>
          <w:szCs w:val="28"/>
          <w:rtl/>
          <w:lang w:bidi="ar-MA"/>
        </w:rPr>
        <w:t>,1</w:t>
      </w:r>
      <w:proofErr w:type="gramEnd"/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٪ بعد انخفاضها ب 12٪ في الفصل الأول. كما ستعرف القروض العقار </w:t>
      </w:r>
      <w:proofErr w:type="gramStart"/>
      <w:r w:rsidR="00E857E7" w:rsidRPr="00B50DCB">
        <w:rPr>
          <w:rFonts w:cs="Arabic Transparent"/>
          <w:sz w:val="28"/>
          <w:szCs w:val="28"/>
          <w:rtl/>
          <w:lang w:bidi="ar-MA"/>
        </w:rPr>
        <w:t>الموجهة</w:t>
      </w:r>
      <w:proofErr w:type="gramEnd"/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للخواص وللمنعشين بعض التباطؤ، موازاة مع انخفاض المبيعات العقارية.</w:t>
      </w:r>
    </w:p>
    <w:p w:rsidR="00E857E7" w:rsidRPr="00B50DCB" w:rsidRDefault="00E857E7" w:rsidP="00B50DCB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</w:p>
    <w:p w:rsidR="00E857E7" w:rsidRDefault="001D47F5" w:rsidP="00B41F95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191770</wp:posOffset>
            </wp:positionV>
            <wp:extent cx="3076575" cy="2286000"/>
            <wp:effectExtent l="0" t="0" r="0" b="0"/>
            <wp:wrapTight wrapText="bothSides">
              <wp:wrapPolygon edited="0">
                <wp:start x="0" y="720"/>
                <wp:lineTo x="0" y="21240"/>
                <wp:lineTo x="21132" y="21240"/>
                <wp:lineTo x="21132" y="720"/>
                <wp:lineTo x="0" y="720"/>
              </wp:wrapPolygon>
            </wp:wrapTight>
            <wp:docPr id="16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053" t="-3557" r="-3859" b="-1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7E7" w:rsidRPr="00B50DCB" w:rsidRDefault="00603A0C" w:rsidP="00603A0C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 w:hint="cs"/>
          <w:sz w:val="28"/>
          <w:szCs w:val="28"/>
          <w:rtl/>
          <w:lang w:bidi="ar-MA"/>
        </w:rPr>
        <w:t>وس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يؤثر تراجع قطاع البناء على تطور الصناعات المرتبطة </w:t>
      </w:r>
      <w:proofErr w:type="gramStart"/>
      <w:r w:rsidR="00E857E7" w:rsidRPr="00B50DCB">
        <w:rPr>
          <w:rFonts w:cs="Arabic Transparent"/>
          <w:sz w:val="28"/>
          <w:szCs w:val="28"/>
          <w:rtl/>
          <w:lang w:bidi="ar-MA"/>
        </w:rPr>
        <w:t>به</w:t>
      </w:r>
      <w:proofErr w:type="gramEnd"/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وخاصة</w:t>
      </w:r>
      <w:r>
        <w:rPr>
          <w:rFonts w:cs="Arabic Transparent" w:hint="cs"/>
          <w:sz w:val="28"/>
          <w:szCs w:val="28"/>
          <w:rtl/>
          <w:lang w:bidi="ar-MA"/>
        </w:rPr>
        <w:t xml:space="preserve"> المتعلقة بصناعة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مواد البناء. </w:t>
      </w:r>
      <w:r>
        <w:rPr>
          <w:rFonts w:cs="Arabic Transparent" w:hint="cs"/>
          <w:sz w:val="28"/>
          <w:szCs w:val="28"/>
          <w:rtl/>
          <w:lang w:bidi="ar-MA"/>
        </w:rPr>
        <w:t>بينما س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تحقق الصناعات الغذائية والصناعات الكيميائية </w:t>
      </w:r>
      <w:r w:rsidR="00E857E7">
        <w:rPr>
          <w:rFonts w:cs="Arabic Transparent"/>
          <w:sz w:val="28"/>
          <w:szCs w:val="28"/>
          <w:rtl/>
          <w:lang w:bidi="ar-MA"/>
        </w:rPr>
        <w:t xml:space="preserve">والشبه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كيميائي</w:t>
      </w:r>
      <w:r w:rsidR="00E857E7">
        <w:rPr>
          <w:rFonts w:cs="Arabic Transparent"/>
          <w:sz w:val="28"/>
          <w:szCs w:val="28"/>
          <w:rtl/>
          <w:lang w:bidi="ar-MA"/>
        </w:rPr>
        <w:t xml:space="preserve">ة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ارتفاعات تقدر ب 3,4٪ و 7,8٪، على التوالي حسب التغير السنوي. وعلى العموم، ستشهد الصناعات التحويلية زيادة تقدر ب </w:t>
      </w:r>
      <w:r w:rsidR="00E857E7" w:rsidRPr="00B50DCB">
        <w:rPr>
          <w:rFonts w:cs="Arabic Transparent"/>
          <w:sz w:val="28"/>
          <w:szCs w:val="28"/>
          <w:lang w:bidi="ar-MA"/>
        </w:rPr>
        <w:t>1,9</w:t>
      </w:r>
      <w:r w:rsidR="00E857E7" w:rsidRPr="00B50DCB">
        <w:rPr>
          <w:rFonts w:ascii="Arial" w:hAnsi="Arial" w:cs="Arabic Transparent" w:hint="cs"/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عوض 0,</w:t>
      </w:r>
      <w:r w:rsidR="00E857E7" w:rsidRPr="00B50DCB">
        <w:rPr>
          <w:rFonts w:cs="Arabic Transparent"/>
          <w:sz w:val="28"/>
          <w:szCs w:val="28"/>
          <w:rtl/>
        </w:rPr>
        <w:t>5٪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في الفصل الأول، حسب التغير السنوي. </w:t>
      </w:r>
      <w:r w:rsidR="00E857E7">
        <w:rPr>
          <w:rFonts w:cs="Arabic Transparent"/>
          <w:sz w:val="28"/>
          <w:szCs w:val="28"/>
          <w:rtl/>
          <w:lang w:bidi="ar-MA"/>
        </w:rPr>
        <w:t>ويبدو أن هذا الانتعاش الطفيف لن يمكن قطا</w:t>
      </w:r>
      <w:r>
        <w:rPr>
          <w:rFonts w:cs="Arabic Transparent" w:hint="cs"/>
          <w:sz w:val="28"/>
          <w:szCs w:val="28"/>
          <w:rtl/>
          <w:lang w:bidi="ar-MA"/>
        </w:rPr>
        <w:t>ع</w:t>
      </w:r>
      <w:r w:rsidR="00E857E7">
        <w:rPr>
          <w:rFonts w:cs="Arabic Transparent"/>
          <w:sz w:val="28"/>
          <w:szCs w:val="28"/>
          <w:rtl/>
          <w:lang w:bidi="ar-MA"/>
        </w:rPr>
        <w:t xml:space="preserve"> الصناعات</w:t>
      </w:r>
      <w:r>
        <w:rPr>
          <w:rFonts w:cs="Arabic Transparent" w:hint="cs"/>
          <w:sz w:val="28"/>
          <w:szCs w:val="28"/>
          <w:rtl/>
          <w:lang w:bidi="ar-MA"/>
        </w:rPr>
        <w:t xml:space="preserve"> التحويلية من</w:t>
      </w:r>
      <w:r w:rsidR="00E857E7">
        <w:rPr>
          <w:rFonts w:cs="Arabic Transparent"/>
          <w:sz w:val="28"/>
          <w:szCs w:val="28"/>
          <w:rtl/>
          <w:lang w:bidi="ar-MA"/>
        </w:rPr>
        <w:t xml:space="preserve"> الخروج من </w:t>
      </w:r>
      <w:r>
        <w:rPr>
          <w:rFonts w:cs="Arabic Transparent" w:hint="cs"/>
          <w:sz w:val="28"/>
          <w:szCs w:val="28"/>
          <w:rtl/>
          <w:lang w:bidi="ar-MA"/>
        </w:rPr>
        <w:t xml:space="preserve">فترة </w:t>
      </w:r>
      <w:r w:rsidR="00E857E7">
        <w:rPr>
          <w:rFonts w:cs="Arabic Transparent"/>
          <w:sz w:val="28"/>
          <w:szCs w:val="28"/>
          <w:rtl/>
          <w:lang w:bidi="ar-MA"/>
        </w:rPr>
        <w:t>التباطؤ الظرفي الذي شهد</w:t>
      </w:r>
      <w:r>
        <w:rPr>
          <w:rFonts w:cs="Arabic Transparent" w:hint="cs"/>
          <w:sz w:val="28"/>
          <w:szCs w:val="28"/>
          <w:rtl/>
          <w:lang w:bidi="ar-MA"/>
        </w:rPr>
        <w:t>ت</w:t>
      </w:r>
      <w:r w:rsidR="00E857E7">
        <w:rPr>
          <w:rFonts w:cs="Arabic Transparent"/>
          <w:sz w:val="28"/>
          <w:szCs w:val="28"/>
          <w:rtl/>
          <w:lang w:bidi="ar-MA"/>
        </w:rPr>
        <w:t>ه من</w:t>
      </w:r>
      <w:r>
        <w:rPr>
          <w:rFonts w:cs="Arabic Transparent" w:hint="cs"/>
          <w:sz w:val="28"/>
          <w:szCs w:val="28"/>
          <w:rtl/>
          <w:lang w:bidi="ar-MA"/>
        </w:rPr>
        <w:t>ذ</w:t>
      </w:r>
      <w:r w:rsidR="00E857E7">
        <w:rPr>
          <w:rFonts w:cs="Arabic Transparent"/>
          <w:sz w:val="28"/>
          <w:szCs w:val="28"/>
          <w:rtl/>
          <w:lang w:bidi="ar-MA"/>
        </w:rPr>
        <w:t xml:space="preserve"> بداية سنة 2012. </w:t>
      </w:r>
    </w:p>
    <w:p w:rsidR="00E857E7" w:rsidRDefault="00E857E7" w:rsidP="00B50DCB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</w:p>
    <w:p w:rsidR="00E857E7" w:rsidRPr="00B50DCB" w:rsidRDefault="00B1381E" w:rsidP="004A1AA5">
      <w:pPr>
        <w:bidi/>
        <w:spacing w:line="340" w:lineRule="exact"/>
        <w:jc w:val="both"/>
        <w:rPr>
          <w:rStyle w:val="hps"/>
          <w:rFonts w:cs="Arabic Transparent"/>
          <w:spacing w:val="-2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153670</wp:posOffset>
            </wp:positionV>
            <wp:extent cx="3009900" cy="2543175"/>
            <wp:effectExtent l="0" t="0" r="19050" b="0"/>
            <wp:wrapSquare wrapText="bothSides"/>
            <wp:docPr id="17" name="Obje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4A1AA5">
        <w:rPr>
          <w:rFonts w:cs="Arabic Transparent" w:hint="cs"/>
          <w:spacing w:val="-2"/>
          <w:sz w:val="28"/>
          <w:szCs w:val="28"/>
          <w:rtl/>
          <w:lang w:bidi="ar-MA"/>
        </w:rPr>
        <w:t xml:space="preserve"> و على خلاف ذلك</w:t>
      </w:r>
      <w:r w:rsidR="004A1AA5">
        <w:rPr>
          <w:spacing w:val="-2"/>
          <w:sz w:val="28"/>
          <w:szCs w:val="28"/>
          <w:rtl/>
          <w:lang w:bidi="ar-MA"/>
        </w:rPr>
        <w:t>٬</w:t>
      </w:r>
      <w:r w:rsidR="00E857E7" w:rsidRPr="00B50DCB">
        <w:rPr>
          <w:rFonts w:cs="Arabic Transparent"/>
          <w:spacing w:val="-2"/>
          <w:sz w:val="28"/>
          <w:szCs w:val="28"/>
          <w:rtl/>
          <w:lang w:bidi="ar-MA"/>
        </w:rPr>
        <w:t xml:space="preserve"> سيواصل قطاع السياحة انتعاشه</w:t>
      </w:r>
      <w:r w:rsidR="00E857E7" w:rsidRPr="00B50DCB">
        <w:rPr>
          <w:rStyle w:val="hps"/>
          <w:rFonts w:cs="Arabic Transparent"/>
          <w:spacing w:val="-2"/>
          <w:sz w:val="28"/>
          <w:szCs w:val="28"/>
          <w:rtl/>
        </w:rPr>
        <w:t xml:space="preserve">، خلال الفصل الثاني 2013، ليحقق نموا يقدر ب </w:t>
      </w:r>
      <w:r w:rsidR="00E857E7" w:rsidRPr="00B50DCB">
        <w:rPr>
          <w:rFonts w:cs="Arabic Transparent"/>
          <w:sz w:val="28"/>
          <w:szCs w:val="28"/>
          <w:lang w:bidi="ar-MA"/>
        </w:rPr>
        <w:t>4,6</w:t>
      </w:r>
      <w:r w:rsidR="00E857E7"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، </w:t>
      </w:r>
      <w:r w:rsidR="00E857E7" w:rsidRPr="00B50DCB">
        <w:rPr>
          <w:rStyle w:val="hps"/>
          <w:rFonts w:cs="Arabic Transparent"/>
          <w:spacing w:val="-2"/>
          <w:sz w:val="28"/>
          <w:szCs w:val="28"/>
          <w:rtl/>
          <w:lang w:bidi="ar-MA"/>
        </w:rPr>
        <w:t xml:space="preserve">حسب التغير السنوي، مستفيدا من ارتفاع عدد السياح </w:t>
      </w:r>
      <w:r w:rsidR="00E857E7" w:rsidRPr="00B50DCB">
        <w:rPr>
          <w:rStyle w:val="hps"/>
          <w:rFonts w:cs="Arabic Transparent"/>
          <w:spacing w:val="-2"/>
          <w:sz w:val="28"/>
          <w:szCs w:val="28"/>
          <w:rtl/>
        </w:rPr>
        <w:t>والمداخل السياحية ب</w:t>
      </w:r>
      <w:r w:rsidR="00E857E7" w:rsidRPr="00B50DCB">
        <w:rPr>
          <w:rStyle w:val="hps"/>
          <w:rFonts w:cs="Arabic Transparent"/>
          <w:spacing w:val="-2"/>
          <w:sz w:val="28"/>
          <w:szCs w:val="28"/>
          <w:rtl/>
          <w:lang w:bidi="ar-MA"/>
        </w:rPr>
        <w:t>نسب تقدر ب</w:t>
      </w:r>
      <w:r w:rsidR="00E857E7" w:rsidRPr="00B50DCB">
        <w:rPr>
          <w:rStyle w:val="hps"/>
          <w:rFonts w:cs="Arabic Transparent"/>
          <w:spacing w:val="-2"/>
          <w:sz w:val="28"/>
          <w:szCs w:val="28"/>
          <w:rtl/>
        </w:rPr>
        <w:t xml:space="preserve">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2,2٪ و</w:t>
      </w:r>
      <w:r w:rsidR="00E857E7" w:rsidRPr="00B50DCB">
        <w:rPr>
          <w:rFonts w:cs="Arabic Transparent"/>
          <w:sz w:val="28"/>
          <w:szCs w:val="28"/>
          <w:lang w:bidi="ar-MA"/>
        </w:rPr>
        <w:t xml:space="preserve">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5</w:t>
      </w:r>
      <w:r w:rsidR="00E857E7" w:rsidRPr="00B50DCB">
        <w:rPr>
          <w:rFonts w:cs="Arabic Transparent"/>
          <w:sz w:val="28"/>
          <w:szCs w:val="28"/>
          <w:lang w:bidi="ar-MA"/>
        </w:rPr>
        <w:t>,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5٪، على التوالي</w:t>
      </w:r>
      <w:r w:rsidR="00E857E7" w:rsidRPr="00B50DCB">
        <w:rPr>
          <w:rStyle w:val="hps"/>
          <w:rFonts w:cs="Arabic Transparent"/>
          <w:spacing w:val="-2"/>
          <w:sz w:val="28"/>
          <w:szCs w:val="28"/>
          <w:rtl/>
          <w:lang w:bidi="ar-MA"/>
        </w:rPr>
        <w:t>.</w:t>
      </w:r>
      <w:r w:rsidR="00E857E7" w:rsidRPr="00B50DCB">
        <w:rPr>
          <w:rStyle w:val="hps"/>
          <w:rFonts w:cs="Arabic Transparent"/>
          <w:spacing w:val="-2"/>
          <w:sz w:val="28"/>
          <w:szCs w:val="28"/>
          <w:rtl/>
        </w:rPr>
        <w:t xml:space="preserve"> هذا التطور سيميز كذلك مجموع</w:t>
      </w:r>
      <w:r w:rsidR="00E857E7" w:rsidRPr="00B50DCB">
        <w:rPr>
          <w:rFonts w:cs="Arabic Transparent"/>
          <w:spacing w:val="-2"/>
          <w:sz w:val="28"/>
          <w:szCs w:val="28"/>
        </w:rPr>
        <w:t xml:space="preserve"> </w:t>
      </w:r>
      <w:r w:rsidR="00E857E7" w:rsidRPr="00B50DCB">
        <w:rPr>
          <w:rStyle w:val="hps"/>
          <w:rFonts w:cs="Arabic Transparent"/>
          <w:spacing w:val="-2"/>
          <w:sz w:val="28"/>
          <w:szCs w:val="28"/>
          <w:rtl/>
        </w:rPr>
        <w:t xml:space="preserve">المبيتات السياحية التي سترتفع ب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7,4٪،</w:t>
      </w:r>
      <w:r w:rsidR="00E857E7" w:rsidRPr="00B50DCB">
        <w:rPr>
          <w:rStyle w:val="hps"/>
          <w:rFonts w:cs="Arabic Transparent"/>
          <w:spacing w:val="-2"/>
          <w:sz w:val="28"/>
          <w:szCs w:val="28"/>
          <w:rtl/>
        </w:rPr>
        <w:t xml:space="preserve"> وذلك بفضل تحسن مبيتات السياح الانجليز والألمان، فيما ستشهد مبيتات السياح المقيمين </w:t>
      </w:r>
      <w:r w:rsidR="00E857E7">
        <w:rPr>
          <w:rStyle w:val="hps"/>
          <w:rFonts w:cs="Arabic Transparent"/>
          <w:spacing w:val="-2"/>
          <w:sz w:val="28"/>
          <w:szCs w:val="28"/>
          <w:rtl/>
        </w:rPr>
        <w:t>ديناميكية متواضعة</w:t>
      </w:r>
      <w:r w:rsidR="00E857E7" w:rsidRPr="00B50DCB">
        <w:rPr>
          <w:rStyle w:val="hps"/>
          <w:rFonts w:cs="Arabic Transparent"/>
          <w:spacing w:val="-2"/>
          <w:sz w:val="28"/>
          <w:szCs w:val="28"/>
          <w:rtl/>
        </w:rPr>
        <w:t xml:space="preserve">. </w:t>
      </w:r>
    </w:p>
    <w:p w:rsidR="00E857E7" w:rsidRDefault="00E857E7" w:rsidP="00B50DCB">
      <w:pPr>
        <w:bidi/>
        <w:spacing w:line="340" w:lineRule="exact"/>
        <w:jc w:val="both"/>
        <w:rPr>
          <w:rStyle w:val="hps"/>
          <w:rFonts w:cs="Arabic Transparent"/>
          <w:sz w:val="28"/>
          <w:szCs w:val="28"/>
          <w:rtl/>
        </w:rPr>
      </w:pPr>
    </w:p>
    <w:p w:rsidR="00E857E7" w:rsidRPr="00B50DCB" w:rsidRDefault="00E857E7" w:rsidP="00B41F95">
      <w:pPr>
        <w:bidi/>
        <w:spacing w:line="340" w:lineRule="exact"/>
        <w:jc w:val="both"/>
        <w:rPr>
          <w:rStyle w:val="hps"/>
          <w:rFonts w:cs="Arabic Transparent"/>
          <w:sz w:val="28"/>
          <w:szCs w:val="28"/>
          <w:rtl/>
        </w:rPr>
      </w:pPr>
    </w:p>
    <w:p w:rsidR="00E857E7" w:rsidRPr="00B50DCB" w:rsidRDefault="00E857E7" w:rsidP="00B50DCB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اس</w:t>
      </w:r>
      <w:r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تمرار ارتفاع أسعار الاستهلاك في الفصل الثاني</w:t>
      </w:r>
    </w:p>
    <w:p w:rsidR="00E857E7" w:rsidRPr="00FE17ED" w:rsidRDefault="00E857E7" w:rsidP="00B50DCB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</w:rPr>
      </w:pPr>
    </w:p>
    <w:p w:rsidR="00E857E7" w:rsidRDefault="00B1381E" w:rsidP="004A1AA5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-3048000</wp:posOffset>
            </wp:positionH>
            <wp:positionV relativeFrom="paragraph">
              <wp:posOffset>210820</wp:posOffset>
            </wp:positionV>
            <wp:extent cx="3086100" cy="2990850"/>
            <wp:effectExtent l="0" t="0" r="0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7E7" w:rsidRPr="00B50DCB">
        <w:rPr>
          <w:rFonts w:cs="Arabic Transparent"/>
          <w:sz w:val="28"/>
          <w:szCs w:val="28"/>
          <w:rtl/>
          <w:lang w:bidi="ar-MA"/>
        </w:rPr>
        <w:t>واصلت أسعار الاستهلاك اتجاهها التصاعدي، خلال الفصل الثاني</w:t>
      </w:r>
      <w:r w:rsidR="004A1AA5">
        <w:rPr>
          <w:rFonts w:cs="Arabic Transparent" w:hint="cs"/>
          <w:sz w:val="28"/>
          <w:szCs w:val="28"/>
          <w:rtl/>
          <w:lang w:bidi="ar-MA"/>
        </w:rPr>
        <w:t xml:space="preserve"> من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2013، وبوثيرة أكثر مما كانت عليه في الفصل السابق، لترتفع بنسبة 2</w:t>
      </w:r>
      <w:proofErr w:type="gramStart"/>
      <w:r w:rsidR="00E857E7" w:rsidRPr="00B50DCB">
        <w:rPr>
          <w:rFonts w:cs="Arabic Transparent"/>
          <w:sz w:val="28"/>
          <w:szCs w:val="28"/>
          <w:rtl/>
          <w:lang w:bidi="ar-MA"/>
        </w:rPr>
        <w:t>,5</w:t>
      </w:r>
      <w:proofErr w:type="gramEnd"/>
      <w:r w:rsidR="00E857E7" w:rsidRPr="00B50DCB">
        <w:rPr>
          <w:rFonts w:cs="Arabic Transparent"/>
          <w:sz w:val="28"/>
          <w:szCs w:val="28"/>
          <w:rtl/>
          <w:lang w:bidi="ar-MA"/>
        </w:rPr>
        <w:t>٪، حسب التغير السنوي، بعد زيادة قدرها 1,4٪</w:t>
      </w:r>
      <w:r w:rsidR="004A1AA5">
        <w:rPr>
          <w:rFonts w:cs="Arabic Transparent" w:hint="cs"/>
          <w:sz w:val="28"/>
          <w:szCs w:val="28"/>
          <w:rtl/>
          <w:lang w:bidi="ar-MA"/>
        </w:rPr>
        <w:t xml:space="preserve"> خلال نفس الفترة من 2012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. ويعزى هذا التسارع بالأساس إلى ارتفاع أسعار المواد الغذائية</w:t>
      </w:r>
      <w:r w:rsidR="00E857E7" w:rsidRPr="00B50DCB">
        <w:rPr>
          <w:rFonts w:cs="Arabic Transparent"/>
          <w:sz w:val="28"/>
          <w:szCs w:val="28"/>
          <w:lang w:bidi="ar-MA"/>
        </w:rPr>
        <w:t xml:space="preserve">) </w:t>
      </w:r>
      <w:r w:rsidR="00E857E7" w:rsidRPr="00B50DCB">
        <w:rPr>
          <w:rFonts w:cs="Arabic Transparent"/>
          <w:sz w:val="28"/>
          <w:szCs w:val="28"/>
          <w:rtl/>
          <w:lang w:bidi="ar-MA"/>
        </w:rPr>
        <w:t>3</w:t>
      </w:r>
      <w:proofErr w:type="gramStart"/>
      <w:r w:rsidR="00E857E7" w:rsidRPr="00B50DCB">
        <w:rPr>
          <w:rFonts w:cs="Arabic Transparent"/>
          <w:sz w:val="28"/>
          <w:szCs w:val="28"/>
          <w:rtl/>
          <w:lang w:bidi="ar-MA"/>
        </w:rPr>
        <w:t>,4</w:t>
      </w:r>
      <w:r w:rsidR="00E857E7" w:rsidRPr="00B50DCB">
        <w:rPr>
          <w:rFonts w:cs="Arabic Transparent"/>
          <w:sz w:val="28"/>
          <w:szCs w:val="28"/>
          <w:lang w:bidi="ar-MA"/>
        </w:rPr>
        <w:t>+</w:t>
      </w:r>
      <w:proofErr w:type="gramEnd"/>
      <w:r w:rsidR="00E857E7"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lang w:bidi="ar-MA"/>
        </w:rPr>
        <w:t>(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، بسبب زيادة أسعار المواد الغذائية الطرية. أما أسعار المواد غير الغذائية، فقد ارتفعت ب 2٪، ويتوقع أن تواصل ارتفاعها بوثيرة أقل </w:t>
      </w:r>
      <w:r w:rsidR="00E857E7" w:rsidRPr="00B50DCB">
        <w:rPr>
          <w:rFonts w:cs="Arabic Transparent"/>
          <w:sz w:val="28"/>
          <w:szCs w:val="28"/>
          <w:lang w:bidi="ar-MA"/>
        </w:rPr>
        <w:t>(</w:t>
      </w:r>
      <w:r w:rsidR="00E857E7" w:rsidRPr="00B50DCB">
        <w:rPr>
          <w:rFonts w:cs="Arabic Transparent"/>
          <w:lang w:bidi="ar-MA"/>
        </w:rPr>
        <w:t>%</w:t>
      </w:r>
      <w:r w:rsidR="00E857E7" w:rsidRPr="00B50DCB">
        <w:rPr>
          <w:rFonts w:cs="Arabic Transparent"/>
          <w:sz w:val="28"/>
          <w:szCs w:val="28"/>
          <w:lang w:bidi="ar-MA"/>
        </w:rPr>
        <w:t>+1</w:t>
      </w:r>
      <w:proofErr w:type="gramStart"/>
      <w:r w:rsidR="00E857E7" w:rsidRPr="00B50DCB">
        <w:rPr>
          <w:rFonts w:cs="Arabic Transparent"/>
          <w:sz w:val="28"/>
          <w:szCs w:val="28"/>
          <w:lang w:bidi="ar-MA"/>
        </w:rPr>
        <w:t>,6)</w:t>
      </w:r>
      <w:proofErr w:type="gramEnd"/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خلال الفصل الثالث 2013. كما يتوقع أن تشهد أسعار المواد الغذائية</w:t>
      </w:r>
      <w:r w:rsidR="004A1AA5">
        <w:rPr>
          <w:rFonts w:cs="Arabic Transparent" w:hint="cs"/>
          <w:sz w:val="28"/>
          <w:szCs w:val="28"/>
          <w:rtl/>
          <w:lang w:bidi="ar-MA"/>
        </w:rPr>
        <w:t xml:space="preserve"> ارتفاعا ب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 w:rsidR="004A1AA5" w:rsidRPr="00B50DCB">
        <w:rPr>
          <w:rFonts w:cs="Arabic Transparent"/>
          <w:sz w:val="28"/>
          <w:szCs w:val="28"/>
          <w:lang w:bidi="ar-MA"/>
        </w:rPr>
        <w:t>3</w:t>
      </w:r>
      <w:proofErr w:type="gramStart"/>
      <w:r w:rsidR="004A1AA5" w:rsidRPr="00B50DCB">
        <w:rPr>
          <w:rFonts w:cs="Arabic Transparent"/>
          <w:sz w:val="28"/>
          <w:szCs w:val="28"/>
          <w:lang w:bidi="ar-MA"/>
        </w:rPr>
        <w:t>,2</w:t>
      </w:r>
      <w:proofErr w:type="gramEnd"/>
      <w:r w:rsidR="004A1AA5">
        <w:rPr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، ليصل معدل التضخم إلى </w:t>
      </w:r>
      <w:r w:rsidR="00E857E7" w:rsidRPr="00B50DCB">
        <w:rPr>
          <w:rFonts w:cs="Arabic Transparent"/>
          <w:sz w:val="28"/>
          <w:szCs w:val="28"/>
          <w:lang w:bidi="ar-MA"/>
        </w:rPr>
        <w:t>2,3</w:t>
      </w:r>
      <w:r w:rsidR="00E857E7"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="00E857E7" w:rsidRPr="00B50DCB">
        <w:rPr>
          <w:rFonts w:cs="Arabic Transparent"/>
          <w:sz w:val="28"/>
          <w:szCs w:val="28"/>
          <w:lang w:bidi="ar-MA"/>
        </w:rPr>
        <w:t>.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وفي نفس السياق، </w:t>
      </w:r>
      <w:r w:rsidR="004A1AA5">
        <w:rPr>
          <w:rFonts w:cs="Arabic Transparent" w:hint="cs"/>
          <w:sz w:val="28"/>
          <w:szCs w:val="28"/>
          <w:rtl/>
          <w:lang w:bidi="ar-MA"/>
        </w:rPr>
        <w:t>ينتظر ان يشهد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معدل التضخم الكامن</w:t>
      </w:r>
      <w:r w:rsidR="004A1AA5">
        <w:rPr>
          <w:rFonts w:cs="Arabic Transparent" w:hint="cs"/>
          <w:sz w:val="28"/>
          <w:szCs w:val="28"/>
          <w:rtl/>
          <w:lang w:bidi="ar-MA"/>
        </w:rPr>
        <w:t xml:space="preserve"> بعض التباطؤ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ليستقر في حدود 1,6٪، مقابل 2,2٪، خلال الفصل الثاني، بفضل استمرار تراجع أسعار المواد الأولية وخاصة الحبوب، و</w:t>
      </w:r>
      <w:r w:rsidR="004A1AA5">
        <w:rPr>
          <w:rFonts w:cs="Arabic Transparent" w:hint="cs"/>
          <w:sz w:val="28"/>
          <w:szCs w:val="28"/>
          <w:rtl/>
          <w:lang w:bidi="ar-MA"/>
        </w:rPr>
        <w:t>تراجع</w:t>
      </w:r>
      <w:r w:rsidR="00E857E7" w:rsidRPr="00B50DCB">
        <w:rPr>
          <w:rFonts w:cs="Arabic Transparent"/>
          <w:sz w:val="28"/>
          <w:szCs w:val="28"/>
          <w:rtl/>
          <w:lang w:bidi="ar-MA"/>
        </w:rPr>
        <w:t xml:space="preserve"> أسعار المواد غير الغذائية.</w:t>
      </w:r>
    </w:p>
    <w:p w:rsidR="004A1AA5" w:rsidRDefault="004A1AA5" w:rsidP="004A1AA5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</w:p>
    <w:p w:rsidR="00E857E7" w:rsidRDefault="00E857E7" w:rsidP="00DC7C76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</w:p>
    <w:p w:rsidR="001D47F5" w:rsidRDefault="001D47F5" w:rsidP="001D47F5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</w:p>
    <w:p w:rsidR="00E857E7" w:rsidRDefault="00E857E7" w:rsidP="00B50DCB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نمو متواضع للكتلة النقدية</w:t>
      </w:r>
    </w:p>
    <w:p w:rsidR="001D47F5" w:rsidRPr="00B50DCB" w:rsidRDefault="001D47F5" w:rsidP="001D47F5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</w:p>
    <w:p w:rsidR="00E857E7" w:rsidRPr="00B50DCB" w:rsidRDefault="00E857E7" w:rsidP="004A1AA5">
      <w:pPr>
        <w:bidi/>
        <w:spacing w:line="340" w:lineRule="exact"/>
        <w:jc w:val="both"/>
        <w:rPr>
          <w:rFonts w:cs="Arabic Transparent"/>
          <w:sz w:val="28"/>
          <w:szCs w:val="28"/>
          <w:rtl/>
        </w:rPr>
      </w:pPr>
      <w:proofErr w:type="gramStart"/>
      <w:r w:rsidRPr="00B50DCB">
        <w:rPr>
          <w:rFonts w:cs="Arabic Transparent"/>
          <w:sz w:val="28"/>
          <w:szCs w:val="28"/>
          <w:rtl/>
        </w:rPr>
        <w:t>عرف</w:t>
      </w:r>
      <w:proofErr w:type="gramEnd"/>
      <w:r w:rsidRPr="00B50DCB">
        <w:rPr>
          <w:rFonts w:cs="Arabic Transparent"/>
          <w:sz w:val="28"/>
          <w:szCs w:val="28"/>
          <w:rtl/>
        </w:rPr>
        <w:t xml:space="preserve"> سوق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المال بعض ال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نقص </w:t>
      </w:r>
      <w:r w:rsidRPr="00B50DCB">
        <w:rPr>
          <w:rFonts w:cs="Arabic Transparent"/>
          <w:sz w:val="28"/>
          <w:szCs w:val="28"/>
          <w:rtl/>
        </w:rPr>
        <w:t>في السيولة، خلال الفصل الثاني 2013، وذلك بعد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 xml:space="preserve">تحسن طفيف خلال الفصل الأول 2013. وقد شهدت الكتلة النقدية، </w:t>
      </w:r>
      <w:r w:rsidR="004A1AA5">
        <w:rPr>
          <w:rFonts w:cs="Arabic Transparent" w:hint="cs"/>
          <w:sz w:val="28"/>
          <w:szCs w:val="28"/>
          <w:rtl/>
        </w:rPr>
        <w:t xml:space="preserve"> المصححة من التغيرات</w:t>
      </w:r>
      <w:r w:rsidRPr="00B50DCB">
        <w:rPr>
          <w:rFonts w:cs="Arabic Transparent"/>
          <w:sz w:val="28"/>
          <w:szCs w:val="28"/>
          <w:rtl/>
        </w:rPr>
        <w:t xml:space="preserve"> الموسمية، ارتفاعا يقدر ب 1</w:t>
      </w:r>
      <w:proofErr w:type="gramStart"/>
      <w:r w:rsidRPr="00B50DCB">
        <w:rPr>
          <w:rFonts w:cs="Arabic Transparent"/>
          <w:sz w:val="28"/>
          <w:szCs w:val="28"/>
          <w:rtl/>
        </w:rPr>
        <w:t>,5</w:t>
      </w:r>
      <w:proofErr w:type="gramEnd"/>
      <w:r w:rsidRPr="00B50DCB">
        <w:rPr>
          <w:rFonts w:cs="Arabic Transparent"/>
          <w:sz w:val="28"/>
          <w:szCs w:val="28"/>
          <w:rtl/>
        </w:rPr>
        <w:t>٪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في الفصل الثاني 2013، حسب التغير الفصلي، فيما يتوقع أن ترتفع ب 0,6٪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في الفصل الثالث. ومن جهتها، عرفت أسعار الفائدة الموجهة استقرارا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في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الفصل الثاني 2013، فيما ارتفعت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أسعار الفائدة الخاصة بسندات الخزينة، بسبب زيادة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الاحتياجات التمويلية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في سوق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المال، ولم يكن لاقتراض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الخزينة الأخير من الأسواق الدولية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سوى أثر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محدود على أسعار الفائدة</w:t>
      </w:r>
      <w:r w:rsidRPr="00B50DCB">
        <w:rPr>
          <w:rFonts w:cs="Arabic Transparent"/>
          <w:sz w:val="28"/>
          <w:szCs w:val="28"/>
        </w:rPr>
        <w:t>.</w:t>
      </w:r>
    </w:p>
    <w:p w:rsidR="00E857E7" w:rsidRPr="00B50DCB" w:rsidRDefault="00B1381E" w:rsidP="00B50DCB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190500</wp:posOffset>
            </wp:positionV>
            <wp:extent cx="2952750" cy="2252980"/>
            <wp:effectExtent l="19050" t="0" r="0" b="0"/>
            <wp:wrapTight wrapText="bothSides">
              <wp:wrapPolygon edited="0">
                <wp:start x="-139" y="0"/>
                <wp:lineTo x="-139" y="21003"/>
                <wp:lineTo x="21600" y="21003"/>
                <wp:lineTo x="21600" y="0"/>
                <wp:lineTo x="-139" y="0"/>
              </wp:wrapPolygon>
            </wp:wrapTight>
            <wp:docPr id="19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5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7E7" w:rsidRPr="00B50DCB" w:rsidRDefault="00E857E7" w:rsidP="00B50DCB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 xml:space="preserve">استمرار تراجع سوق الأسهم </w:t>
      </w:r>
    </w:p>
    <w:p w:rsidR="00E857E7" w:rsidRPr="00B50DCB" w:rsidRDefault="00E857E7" w:rsidP="00B50DCB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</w:p>
    <w:p w:rsidR="00E857E7" w:rsidRDefault="00E857E7" w:rsidP="004A1AA5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 w:rsidRPr="00B50DCB">
        <w:rPr>
          <w:rFonts w:cs="Arabic Transparent"/>
          <w:sz w:val="28"/>
          <w:szCs w:val="28"/>
          <w:rtl/>
          <w:lang w:bidi="ar-MA"/>
        </w:rPr>
        <w:t>واصل سوق الأسهم</w:t>
      </w:r>
      <w:r w:rsidRPr="00B50DCB">
        <w:rPr>
          <w:rFonts w:cs="Arabic Transparent"/>
          <w:sz w:val="28"/>
          <w:szCs w:val="28"/>
          <w:lang w:bidi="ar-MA"/>
        </w:rPr>
        <w:t xml:space="preserve">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تراجعه خلال الفصل الثاني 2013، حيث انخفضت معظم أسهم الشركات المدرجة في البورصة، متأثرة </w:t>
      </w:r>
      <w:r w:rsidR="004A1AA5">
        <w:rPr>
          <w:rFonts w:cs="Arabic Transparent" w:hint="cs"/>
          <w:sz w:val="28"/>
          <w:szCs w:val="28"/>
          <w:rtl/>
          <w:lang w:bidi="ar-MA"/>
        </w:rPr>
        <w:t>ب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تباطؤ القطاعات غير الفلاحية وكذلك من </w:t>
      </w:r>
      <w:r w:rsidR="004A1AA5">
        <w:rPr>
          <w:rFonts w:cs="Arabic Transparent" w:hint="cs"/>
          <w:sz w:val="28"/>
          <w:szCs w:val="28"/>
          <w:rtl/>
          <w:lang w:bidi="ar-MA"/>
        </w:rPr>
        <w:t>تقلبات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الظرفية العالمية. وعلى العموم، بلغ انخفاض كل من مؤشري</w:t>
      </w:r>
      <w:r w:rsidRPr="00B50DCB">
        <w:rPr>
          <w:rFonts w:cs="Arabic Transparent"/>
          <w:sz w:val="28"/>
          <w:szCs w:val="28"/>
          <w:lang w:bidi="ar-MA"/>
        </w:rPr>
        <w:t xml:space="preserve">MASI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و </w:t>
      </w:r>
      <w:r w:rsidRPr="00B50DCB">
        <w:rPr>
          <w:rFonts w:cs="Arabic Transparent"/>
          <w:sz w:val="28"/>
          <w:szCs w:val="28"/>
          <w:lang w:bidi="ar-MA"/>
        </w:rPr>
        <w:t>MADEX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، خلال الفصل الثاني 2013، </w:t>
      </w:r>
      <w:r>
        <w:rPr>
          <w:rFonts w:cs="Arabic Transparent"/>
          <w:sz w:val="28"/>
          <w:szCs w:val="28"/>
          <w:rtl/>
          <w:lang w:bidi="ar-MA"/>
        </w:rPr>
        <w:t>1</w:t>
      </w:r>
      <w:r w:rsidRPr="00B50DCB">
        <w:rPr>
          <w:rFonts w:cs="Arabic Transparent"/>
          <w:sz w:val="28"/>
          <w:szCs w:val="28"/>
          <w:rtl/>
          <w:lang w:bidi="ar-MA"/>
        </w:rPr>
        <w:t>2,</w:t>
      </w:r>
      <w:r>
        <w:rPr>
          <w:rFonts w:cs="Arabic Transparent"/>
          <w:sz w:val="28"/>
          <w:szCs w:val="28"/>
          <w:rtl/>
          <w:lang w:bidi="ar-MA"/>
        </w:rPr>
        <w:t>6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و </w:t>
      </w:r>
      <w:r>
        <w:rPr>
          <w:rFonts w:cs="Arabic Transparent"/>
          <w:sz w:val="28"/>
          <w:szCs w:val="28"/>
          <w:rtl/>
          <w:lang w:bidi="ar-MA"/>
        </w:rPr>
        <w:t>1</w:t>
      </w:r>
      <w:r w:rsidRPr="00B50DCB">
        <w:rPr>
          <w:rFonts w:cs="Arabic Transparent"/>
          <w:sz w:val="28"/>
          <w:szCs w:val="28"/>
          <w:rtl/>
          <w:lang w:bidi="ar-MA"/>
        </w:rPr>
        <w:t>3٪، على التوالي حسب التغير ال</w:t>
      </w:r>
      <w:r>
        <w:rPr>
          <w:rFonts w:cs="Arabic Transparent"/>
          <w:sz w:val="28"/>
          <w:szCs w:val="28"/>
          <w:rtl/>
          <w:lang w:bidi="ar-MA"/>
        </w:rPr>
        <w:t>سنوي.</w:t>
      </w:r>
    </w:p>
    <w:p w:rsidR="00E857E7" w:rsidRPr="00B50DCB" w:rsidRDefault="00E857E7" w:rsidP="005249E6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</w:p>
    <w:p w:rsidR="00E857E7" w:rsidRPr="00B50DCB" w:rsidRDefault="00E857E7" w:rsidP="00B50DCB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 xml:space="preserve">تـحسن </w:t>
      </w:r>
      <w:r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 xml:space="preserve">طفيف </w:t>
      </w:r>
      <w:r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مرتقب خلال النصف الثاني 2013</w:t>
      </w:r>
    </w:p>
    <w:p w:rsidR="00E857E7" w:rsidRPr="00B50DCB" w:rsidRDefault="00E857E7" w:rsidP="00B50DCB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</w:p>
    <w:p w:rsidR="00E857E7" w:rsidRPr="00B50DCB" w:rsidRDefault="00E857E7" w:rsidP="00B50DCB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 w:rsidRPr="00B50DCB">
        <w:rPr>
          <w:rFonts w:cs="Arabic Transparent"/>
          <w:spacing w:val="-2"/>
          <w:sz w:val="28"/>
          <w:szCs w:val="28"/>
          <w:rtl/>
          <w:lang w:bidi="ar-MA"/>
        </w:rPr>
        <w:t>يرتقب أن يحافظ اقتصاد البلدان</w:t>
      </w:r>
      <w:r w:rsidRPr="00B50DCB">
        <w:rPr>
          <w:rFonts w:cs="Arabic Transparent"/>
          <w:spacing w:val="-2"/>
          <w:sz w:val="28"/>
          <w:szCs w:val="28"/>
          <w:lang w:bidi="ar-MA"/>
        </w:rPr>
        <w:t xml:space="preserve"> </w:t>
      </w:r>
      <w:r w:rsidRPr="00B50DCB">
        <w:rPr>
          <w:rFonts w:cs="Arabic Transparent"/>
          <w:spacing w:val="-2"/>
          <w:sz w:val="28"/>
          <w:szCs w:val="28"/>
          <w:rtl/>
          <w:lang w:bidi="ar-MA"/>
        </w:rPr>
        <w:t>المتقدمة على انتعاشه خلال</w:t>
      </w:r>
      <w:r w:rsidRPr="00B50DCB">
        <w:rPr>
          <w:rFonts w:cs="Arabic Transparent"/>
          <w:spacing w:val="-2"/>
          <w:sz w:val="28"/>
          <w:szCs w:val="28"/>
          <w:lang w:bidi="ar-MA"/>
        </w:rPr>
        <w:t xml:space="preserve"> </w:t>
      </w:r>
      <w:r w:rsidRPr="00B50DCB">
        <w:rPr>
          <w:rFonts w:cs="Arabic Transparent"/>
          <w:spacing w:val="-2"/>
          <w:sz w:val="28"/>
          <w:szCs w:val="28"/>
          <w:rtl/>
          <w:lang w:bidi="ar-MA"/>
        </w:rPr>
        <w:t>النصف الثاني 2013، ليحقق نموا يقدر</w:t>
      </w:r>
      <w:r w:rsidRPr="00B50DCB">
        <w:rPr>
          <w:rFonts w:cs="Arabic Transparent"/>
          <w:spacing w:val="-2"/>
          <w:sz w:val="28"/>
          <w:szCs w:val="28"/>
          <w:lang w:bidi="ar-MA"/>
        </w:rPr>
        <w:t xml:space="preserve"> </w:t>
      </w:r>
      <w:r w:rsidRPr="00B50DCB">
        <w:rPr>
          <w:rFonts w:cs="Arabic Transparent"/>
          <w:spacing w:val="-2"/>
          <w:sz w:val="28"/>
          <w:szCs w:val="28"/>
          <w:rtl/>
          <w:lang w:bidi="ar-MA"/>
        </w:rPr>
        <w:t xml:space="preserve">ب </w:t>
      </w:r>
      <w:r w:rsidRPr="00B50DCB">
        <w:rPr>
          <w:rFonts w:cs="Arabic Transparent"/>
          <w:spacing w:val="-2"/>
          <w:sz w:val="28"/>
          <w:szCs w:val="28"/>
          <w:lang w:bidi="ar-MA"/>
        </w:rPr>
        <w:t>1,6</w:t>
      </w:r>
      <w:r w:rsidRPr="00B50DCB">
        <w:rPr>
          <w:rFonts w:cs="Arabic Transparent" w:hint="cs"/>
          <w:spacing w:val="-2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pacing w:val="-2"/>
          <w:sz w:val="28"/>
          <w:szCs w:val="28"/>
          <w:rtl/>
          <w:lang w:bidi="ar-MA"/>
        </w:rPr>
        <w:t>، حسب التغير السنوي</w:t>
      </w:r>
      <w:proofErr w:type="gramStart"/>
      <w:r w:rsidRPr="00B50DCB">
        <w:rPr>
          <w:rFonts w:cs="Arabic Transparent"/>
          <w:spacing w:val="-2"/>
          <w:sz w:val="28"/>
          <w:szCs w:val="28"/>
          <w:rtl/>
          <w:lang w:bidi="ar-MA"/>
        </w:rPr>
        <w:t xml:space="preserve">. </w:t>
      </w:r>
      <w:proofErr w:type="gramEnd"/>
      <w:r w:rsidRPr="00B50DCB">
        <w:rPr>
          <w:rFonts w:cs="Arabic Transparent"/>
          <w:spacing w:val="-2"/>
          <w:sz w:val="28"/>
          <w:szCs w:val="28"/>
          <w:rtl/>
          <w:lang w:bidi="ar-MA"/>
        </w:rPr>
        <w:t xml:space="preserve">كما ستعرف </w:t>
      </w:r>
      <w:r w:rsidRPr="00B50DCB">
        <w:rPr>
          <w:rFonts w:cs="Arabic Transparent"/>
          <w:sz w:val="28"/>
          <w:szCs w:val="28"/>
          <w:rtl/>
          <w:lang w:bidi="ar-MA"/>
        </w:rPr>
        <w:t>واردات الدول المتقدمة، وخاصة الأوربية، بعض التسارع في وتيرة نموها، مما سيساهم في تطور التجارة العالمية ب 4,1٪ و 4,7٪، خلال الفصلين الثالث والرابع، على التوالي. وموازاة مع هذا التطور، يتوقع أن يتحسن الطلب الخارجي الموجه للمغرب بوتيرة تقدر ب 2</w:t>
      </w:r>
      <w:proofErr w:type="gramStart"/>
      <w:r w:rsidRPr="00B50DCB">
        <w:rPr>
          <w:rFonts w:cs="Arabic Transparent"/>
          <w:sz w:val="28"/>
          <w:szCs w:val="28"/>
          <w:rtl/>
          <w:lang w:bidi="ar-MA"/>
        </w:rPr>
        <w:t>,2</w:t>
      </w:r>
      <w:proofErr w:type="gramEnd"/>
      <w:r w:rsidRPr="00B50DCB">
        <w:rPr>
          <w:rFonts w:cs="Arabic Transparent"/>
          <w:sz w:val="28"/>
          <w:szCs w:val="28"/>
          <w:rtl/>
          <w:lang w:bidi="ar-MA"/>
        </w:rPr>
        <w:t>٪ و 3,4٪، خلال نفس الفترة، حسب التغير السنوي.</w:t>
      </w:r>
    </w:p>
    <w:p w:rsidR="00E857E7" w:rsidRPr="00B50DCB" w:rsidRDefault="00B1381E" w:rsidP="00B50DCB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4445</wp:posOffset>
            </wp:positionV>
            <wp:extent cx="3051810" cy="2119630"/>
            <wp:effectExtent l="19050" t="0" r="0" b="0"/>
            <wp:wrapTight wrapText="bothSides">
              <wp:wrapPolygon edited="0">
                <wp:start x="-135" y="0"/>
                <wp:lineTo x="-135" y="21160"/>
                <wp:lineTo x="21573" y="21160"/>
                <wp:lineTo x="21573" y="0"/>
                <wp:lineTo x="-135" y="0"/>
              </wp:wrapPolygon>
            </wp:wrapTight>
            <wp:docPr id="20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11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7E7" w:rsidRDefault="00E857E7" w:rsidP="004A1AA5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 w:rsidRPr="00B50DCB">
        <w:rPr>
          <w:rFonts w:cs="Arabic Transparent"/>
          <w:sz w:val="28"/>
          <w:szCs w:val="28"/>
          <w:rtl/>
          <w:lang w:bidi="ar-MA"/>
        </w:rPr>
        <w:t xml:space="preserve">ومع  مواصلة تحسن الظرفية الدولية، يرتقب أن يحقق الاقتصاد الوطني نموا يقدر ب 4,2٪، خلال الفصل الثالث. وباعتبار هذا التطور، </w:t>
      </w:r>
      <w:r w:rsidR="004A1AA5">
        <w:rPr>
          <w:rFonts w:cs="Arabic Transparent" w:hint="cs"/>
          <w:sz w:val="28"/>
          <w:szCs w:val="28"/>
          <w:rtl/>
          <w:lang w:bidi="ar-MA"/>
        </w:rPr>
        <w:t>ينتظر ان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يحقق الاقتصاد الوطني نموا يقدر ب 4,4٪، خلال هذه السنة عوض 2,7٪ السنة ا</w:t>
      </w:r>
      <w:r w:rsidR="004A1AA5">
        <w:rPr>
          <w:rFonts w:cs="Arabic Transparent" w:hint="cs"/>
          <w:sz w:val="28"/>
          <w:szCs w:val="28"/>
          <w:rtl/>
          <w:lang w:bidi="ar-MA"/>
        </w:rPr>
        <w:t>لماضية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، وأن ترتفع القيمة المضافة الفلاحية ب 19,4٪، بعد انخفاضها ب 4,1٪. في المقابل، ستعرف القطاعات غير الفلاحية تباطؤ ملموسا </w:t>
      </w:r>
      <w:r w:rsidR="004A1AA5">
        <w:rPr>
          <w:rFonts w:cs="Arabic Transparent" w:hint="cs"/>
          <w:sz w:val="28"/>
          <w:szCs w:val="28"/>
          <w:rtl/>
          <w:lang w:bidi="ar-MA"/>
        </w:rPr>
        <w:t xml:space="preserve"> حيث سيصل نموها إلى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2,1٪ بعد ارتفاع بنسبة 4,3٪ خلال 2012. </w:t>
      </w:r>
    </w:p>
    <w:p w:rsidR="00E857E7" w:rsidRPr="00B50DCB" w:rsidRDefault="00E857E7" w:rsidP="005249E6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</w:p>
    <w:sectPr w:rsidR="00E857E7" w:rsidRPr="00B50DCB" w:rsidSect="0034788E">
      <w:footerReference w:type="default" r:id="rId20"/>
      <w:headerReference w:type="first" r:id="rId21"/>
      <w:footerReference w:type="first" r:id="rId22"/>
      <w:type w:val="continuous"/>
      <w:pgSz w:w="11906" w:h="16838" w:code="9"/>
      <w:pgMar w:top="1078" w:right="1191" w:bottom="1258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74" w:rsidRDefault="00E64274">
      <w:r>
        <w:separator/>
      </w:r>
    </w:p>
  </w:endnote>
  <w:endnote w:type="continuationSeparator" w:id="0">
    <w:p w:rsidR="00E64274" w:rsidRDefault="00E64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E7" w:rsidRPr="006D7FA4" w:rsidRDefault="00FE5C2B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E857E7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00F5E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  <w:r w:rsidR="00E857E7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E857E7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00F5E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E857E7" w:rsidRDefault="00E857E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E7" w:rsidRDefault="00FE5C2B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pt;margin-top:11.05pt;width:1in;height:18pt;z-index:251659776" filled="f" stroked="f">
          <v:textbox style="mso-next-textbox:#_x0000_s2050">
            <w:txbxContent>
              <w:p w:rsidR="00E857E7" w:rsidRPr="00794363" w:rsidRDefault="00E857E7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9pt;margin-top:-5.65pt;width:162pt;height:34.45pt;z-index:251655680" stroked="f">
          <v:textbox style="mso-next-textbox:#_x0000_s2051">
            <w:txbxContent>
              <w:p w:rsidR="00E857E7" w:rsidRPr="004463C8" w:rsidRDefault="00E857E7" w:rsidP="00984C53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52pt;margin-top:-24.95pt;width:243pt;height:22.75pt;z-index:251654656" stroked="f">
          <v:textbox style="mso-next-textbox:#_x0000_s2052">
            <w:txbxContent>
              <w:p w:rsidR="00E857E7" w:rsidRPr="004463C8" w:rsidRDefault="00E857E7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ايلو 31-3، قطاع 16، حي الرياض 10001 الرباط –  المغرب   ص.ب :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-27pt;margin-top:-24.95pt;width:4in;height:17.25pt;z-index:251657728" stroked="f">
          <v:textbox style="mso-next-textbox:#_x0000_s2053">
            <w:txbxContent>
              <w:p w:rsidR="00E857E7" w:rsidRPr="004463C8" w:rsidRDefault="00E857E7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Ilot 31-3, secteur 16, Hay Riad,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Maroc </w:t>
                </w:r>
                <w:proofErr w:type="gram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E857E7" w:rsidRPr="004463C8" w:rsidRDefault="00E857E7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4in;margin-top:-5.65pt;width:210.55pt;height:44.85pt;z-index:251658752" stroked="f">
          <v:textbox style="mso-next-textbox:#_x0000_s2054">
            <w:txbxContent>
              <w:p w:rsidR="00E857E7" w:rsidRPr="004463C8" w:rsidRDefault="00E857E7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 (212+) –  الفاكس :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71pt;margin-top:-5.65pt;width:162pt;height:44.85pt;z-index:251656704" stroked="f">
          <v:textbox style="mso-next-textbox:#_x0000_s2055">
            <w:txbxContent>
              <w:p w:rsidR="00E857E7" w:rsidRPr="004463C8" w:rsidRDefault="00E857E7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74" w:rsidRDefault="00E64274">
      <w:r>
        <w:separator/>
      </w:r>
    </w:p>
  </w:footnote>
  <w:footnote w:type="continuationSeparator" w:id="0">
    <w:p w:rsidR="00E64274" w:rsidRDefault="00E64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E7" w:rsidRDefault="00B1381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873"/>
    <w:rsid w:val="0000187F"/>
    <w:rsid w:val="00002C62"/>
    <w:rsid w:val="00004211"/>
    <w:rsid w:val="00004717"/>
    <w:rsid w:val="00004BF3"/>
    <w:rsid w:val="00004DF7"/>
    <w:rsid w:val="00005227"/>
    <w:rsid w:val="00005284"/>
    <w:rsid w:val="00005C5A"/>
    <w:rsid w:val="00007067"/>
    <w:rsid w:val="0000716A"/>
    <w:rsid w:val="00010734"/>
    <w:rsid w:val="000107AA"/>
    <w:rsid w:val="00011FF9"/>
    <w:rsid w:val="0001261A"/>
    <w:rsid w:val="0001285B"/>
    <w:rsid w:val="0001390E"/>
    <w:rsid w:val="00013A7F"/>
    <w:rsid w:val="00013C22"/>
    <w:rsid w:val="000152BC"/>
    <w:rsid w:val="00015F00"/>
    <w:rsid w:val="000162A4"/>
    <w:rsid w:val="00017736"/>
    <w:rsid w:val="000205FA"/>
    <w:rsid w:val="000208A7"/>
    <w:rsid w:val="00020AB1"/>
    <w:rsid w:val="00020DF0"/>
    <w:rsid w:val="00020E73"/>
    <w:rsid w:val="00021216"/>
    <w:rsid w:val="00022143"/>
    <w:rsid w:val="00024374"/>
    <w:rsid w:val="00024920"/>
    <w:rsid w:val="00024EE5"/>
    <w:rsid w:val="000254C8"/>
    <w:rsid w:val="00025A9E"/>
    <w:rsid w:val="0002653B"/>
    <w:rsid w:val="00027375"/>
    <w:rsid w:val="0002759C"/>
    <w:rsid w:val="00027850"/>
    <w:rsid w:val="0002797D"/>
    <w:rsid w:val="00030187"/>
    <w:rsid w:val="00031D17"/>
    <w:rsid w:val="000324DF"/>
    <w:rsid w:val="00032634"/>
    <w:rsid w:val="00032971"/>
    <w:rsid w:val="00032B65"/>
    <w:rsid w:val="0003435B"/>
    <w:rsid w:val="0003515A"/>
    <w:rsid w:val="00035C54"/>
    <w:rsid w:val="00035D37"/>
    <w:rsid w:val="000363AE"/>
    <w:rsid w:val="00037831"/>
    <w:rsid w:val="00037ADD"/>
    <w:rsid w:val="00040FED"/>
    <w:rsid w:val="0004186E"/>
    <w:rsid w:val="000428B3"/>
    <w:rsid w:val="000435EC"/>
    <w:rsid w:val="00043FD6"/>
    <w:rsid w:val="00044810"/>
    <w:rsid w:val="00044F35"/>
    <w:rsid w:val="000458F5"/>
    <w:rsid w:val="000476CC"/>
    <w:rsid w:val="000479C8"/>
    <w:rsid w:val="00047C0F"/>
    <w:rsid w:val="00050A6E"/>
    <w:rsid w:val="000510D3"/>
    <w:rsid w:val="000511C3"/>
    <w:rsid w:val="00051F0C"/>
    <w:rsid w:val="000527E5"/>
    <w:rsid w:val="00053AFC"/>
    <w:rsid w:val="00054876"/>
    <w:rsid w:val="00054D7E"/>
    <w:rsid w:val="000554EE"/>
    <w:rsid w:val="00057A27"/>
    <w:rsid w:val="00057E2B"/>
    <w:rsid w:val="00060321"/>
    <w:rsid w:val="000613F2"/>
    <w:rsid w:val="000614FE"/>
    <w:rsid w:val="00062049"/>
    <w:rsid w:val="0006258C"/>
    <w:rsid w:val="000625CB"/>
    <w:rsid w:val="000629FD"/>
    <w:rsid w:val="000634F2"/>
    <w:rsid w:val="0006402F"/>
    <w:rsid w:val="000640E8"/>
    <w:rsid w:val="000648A0"/>
    <w:rsid w:val="0006553F"/>
    <w:rsid w:val="00065E14"/>
    <w:rsid w:val="00065F08"/>
    <w:rsid w:val="00070037"/>
    <w:rsid w:val="00070B4D"/>
    <w:rsid w:val="00070CDA"/>
    <w:rsid w:val="00070EDA"/>
    <w:rsid w:val="00072139"/>
    <w:rsid w:val="0007320B"/>
    <w:rsid w:val="00074892"/>
    <w:rsid w:val="000749AD"/>
    <w:rsid w:val="00075585"/>
    <w:rsid w:val="000755A1"/>
    <w:rsid w:val="0007618C"/>
    <w:rsid w:val="000761A4"/>
    <w:rsid w:val="000809B5"/>
    <w:rsid w:val="00081BE5"/>
    <w:rsid w:val="00082B37"/>
    <w:rsid w:val="00083838"/>
    <w:rsid w:val="00084374"/>
    <w:rsid w:val="00085E86"/>
    <w:rsid w:val="00086342"/>
    <w:rsid w:val="00086B87"/>
    <w:rsid w:val="000910D3"/>
    <w:rsid w:val="000918EA"/>
    <w:rsid w:val="000927F4"/>
    <w:rsid w:val="00093251"/>
    <w:rsid w:val="00093D33"/>
    <w:rsid w:val="00093F50"/>
    <w:rsid w:val="00094108"/>
    <w:rsid w:val="000949A8"/>
    <w:rsid w:val="0009553E"/>
    <w:rsid w:val="000956DB"/>
    <w:rsid w:val="000958AC"/>
    <w:rsid w:val="00097122"/>
    <w:rsid w:val="000979B2"/>
    <w:rsid w:val="00097ADD"/>
    <w:rsid w:val="000A130C"/>
    <w:rsid w:val="000A20D6"/>
    <w:rsid w:val="000A28FB"/>
    <w:rsid w:val="000A2C52"/>
    <w:rsid w:val="000A4F34"/>
    <w:rsid w:val="000A4F68"/>
    <w:rsid w:val="000A5A8A"/>
    <w:rsid w:val="000A5FCC"/>
    <w:rsid w:val="000A6308"/>
    <w:rsid w:val="000A64AF"/>
    <w:rsid w:val="000B03F2"/>
    <w:rsid w:val="000B0BEC"/>
    <w:rsid w:val="000B1ED2"/>
    <w:rsid w:val="000B23B7"/>
    <w:rsid w:val="000B2A3E"/>
    <w:rsid w:val="000B5DBC"/>
    <w:rsid w:val="000B7629"/>
    <w:rsid w:val="000B7EFA"/>
    <w:rsid w:val="000C1042"/>
    <w:rsid w:val="000C1058"/>
    <w:rsid w:val="000C1F20"/>
    <w:rsid w:val="000C1FD8"/>
    <w:rsid w:val="000C2F41"/>
    <w:rsid w:val="000C36D3"/>
    <w:rsid w:val="000C532D"/>
    <w:rsid w:val="000C5413"/>
    <w:rsid w:val="000C5453"/>
    <w:rsid w:val="000C5DEF"/>
    <w:rsid w:val="000C5E54"/>
    <w:rsid w:val="000C6DA9"/>
    <w:rsid w:val="000C6ED5"/>
    <w:rsid w:val="000C75F5"/>
    <w:rsid w:val="000C7682"/>
    <w:rsid w:val="000D010D"/>
    <w:rsid w:val="000D0A51"/>
    <w:rsid w:val="000D25AF"/>
    <w:rsid w:val="000D33C9"/>
    <w:rsid w:val="000D44DD"/>
    <w:rsid w:val="000D48C0"/>
    <w:rsid w:val="000D5387"/>
    <w:rsid w:val="000D64C4"/>
    <w:rsid w:val="000D7BAD"/>
    <w:rsid w:val="000E045A"/>
    <w:rsid w:val="000E0703"/>
    <w:rsid w:val="000E1169"/>
    <w:rsid w:val="000E1B6C"/>
    <w:rsid w:val="000E21D3"/>
    <w:rsid w:val="000E2D88"/>
    <w:rsid w:val="000E3587"/>
    <w:rsid w:val="000E451A"/>
    <w:rsid w:val="000E4BF1"/>
    <w:rsid w:val="000E513C"/>
    <w:rsid w:val="000E515E"/>
    <w:rsid w:val="000E529E"/>
    <w:rsid w:val="000E6D2C"/>
    <w:rsid w:val="000E72F6"/>
    <w:rsid w:val="000E7D19"/>
    <w:rsid w:val="000F0E3F"/>
    <w:rsid w:val="000F1BFF"/>
    <w:rsid w:val="000F240C"/>
    <w:rsid w:val="000F2A80"/>
    <w:rsid w:val="000F3398"/>
    <w:rsid w:val="000F4086"/>
    <w:rsid w:val="000F534A"/>
    <w:rsid w:val="000F573A"/>
    <w:rsid w:val="000F5D26"/>
    <w:rsid w:val="000F62CE"/>
    <w:rsid w:val="000F7A15"/>
    <w:rsid w:val="00100AF5"/>
    <w:rsid w:val="00101AE9"/>
    <w:rsid w:val="0010215A"/>
    <w:rsid w:val="00102A78"/>
    <w:rsid w:val="00102FBA"/>
    <w:rsid w:val="001043DE"/>
    <w:rsid w:val="00105316"/>
    <w:rsid w:val="0010595F"/>
    <w:rsid w:val="00105BD6"/>
    <w:rsid w:val="001063C7"/>
    <w:rsid w:val="00107113"/>
    <w:rsid w:val="00107F23"/>
    <w:rsid w:val="00111B08"/>
    <w:rsid w:val="00112925"/>
    <w:rsid w:val="00114C71"/>
    <w:rsid w:val="00116442"/>
    <w:rsid w:val="00116504"/>
    <w:rsid w:val="0011681E"/>
    <w:rsid w:val="00116B4A"/>
    <w:rsid w:val="00120AF1"/>
    <w:rsid w:val="001211F1"/>
    <w:rsid w:val="00121BA7"/>
    <w:rsid w:val="0012239D"/>
    <w:rsid w:val="0012258E"/>
    <w:rsid w:val="0012265F"/>
    <w:rsid w:val="00122A50"/>
    <w:rsid w:val="00122DCD"/>
    <w:rsid w:val="00123513"/>
    <w:rsid w:val="00123D8C"/>
    <w:rsid w:val="001240D6"/>
    <w:rsid w:val="00124757"/>
    <w:rsid w:val="00124D0B"/>
    <w:rsid w:val="0012542C"/>
    <w:rsid w:val="00127ABC"/>
    <w:rsid w:val="00127C2C"/>
    <w:rsid w:val="00127D1A"/>
    <w:rsid w:val="0013247A"/>
    <w:rsid w:val="001328A9"/>
    <w:rsid w:val="00132F48"/>
    <w:rsid w:val="001332BB"/>
    <w:rsid w:val="001336B3"/>
    <w:rsid w:val="001357EE"/>
    <w:rsid w:val="00135DED"/>
    <w:rsid w:val="001367D7"/>
    <w:rsid w:val="00136F03"/>
    <w:rsid w:val="00137652"/>
    <w:rsid w:val="001379C2"/>
    <w:rsid w:val="001410DC"/>
    <w:rsid w:val="00141C45"/>
    <w:rsid w:val="00143247"/>
    <w:rsid w:val="001437B0"/>
    <w:rsid w:val="00143829"/>
    <w:rsid w:val="00143EAD"/>
    <w:rsid w:val="0014419E"/>
    <w:rsid w:val="00144457"/>
    <w:rsid w:val="0014457C"/>
    <w:rsid w:val="00146329"/>
    <w:rsid w:val="00146E65"/>
    <w:rsid w:val="001508C0"/>
    <w:rsid w:val="00150CBB"/>
    <w:rsid w:val="0015141C"/>
    <w:rsid w:val="0015191B"/>
    <w:rsid w:val="00151A6C"/>
    <w:rsid w:val="001528C6"/>
    <w:rsid w:val="00153DC3"/>
    <w:rsid w:val="001544B0"/>
    <w:rsid w:val="001544DD"/>
    <w:rsid w:val="00155095"/>
    <w:rsid w:val="00155A22"/>
    <w:rsid w:val="00155D04"/>
    <w:rsid w:val="00155EBB"/>
    <w:rsid w:val="001570EC"/>
    <w:rsid w:val="001610E6"/>
    <w:rsid w:val="0016119B"/>
    <w:rsid w:val="0016169C"/>
    <w:rsid w:val="00162D86"/>
    <w:rsid w:val="001630F0"/>
    <w:rsid w:val="0016363C"/>
    <w:rsid w:val="001640AC"/>
    <w:rsid w:val="001644AF"/>
    <w:rsid w:val="0016555B"/>
    <w:rsid w:val="00165B11"/>
    <w:rsid w:val="0016650C"/>
    <w:rsid w:val="001701CD"/>
    <w:rsid w:val="001713B0"/>
    <w:rsid w:val="00173597"/>
    <w:rsid w:val="00173DF2"/>
    <w:rsid w:val="00174719"/>
    <w:rsid w:val="00176A88"/>
    <w:rsid w:val="00176CC0"/>
    <w:rsid w:val="00176FE1"/>
    <w:rsid w:val="00177EC0"/>
    <w:rsid w:val="00181848"/>
    <w:rsid w:val="00181DF9"/>
    <w:rsid w:val="001822E8"/>
    <w:rsid w:val="0018282A"/>
    <w:rsid w:val="00182BC1"/>
    <w:rsid w:val="00182D2C"/>
    <w:rsid w:val="00182D45"/>
    <w:rsid w:val="00183E1D"/>
    <w:rsid w:val="00184173"/>
    <w:rsid w:val="00184593"/>
    <w:rsid w:val="00184791"/>
    <w:rsid w:val="00185557"/>
    <w:rsid w:val="001861A5"/>
    <w:rsid w:val="001866FC"/>
    <w:rsid w:val="00186BFC"/>
    <w:rsid w:val="0018714C"/>
    <w:rsid w:val="00187801"/>
    <w:rsid w:val="001905C5"/>
    <w:rsid w:val="001926DC"/>
    <w:rsid w:val="00192AB3"/>
    <w:rsid w:val="0019358F"/>
    <w:rsid w:val="00193C6D"/>
    <w:rsid w:val="001941B9"/>
    <w:rsid w:val="00197D98"/>
    <w:rsid w:val="001A1560"/>
    <w:rsid w:val="001A16E3"/>
    <w:rsid w:val="001A1A9C"/>
    <w:rsid w:val="001A1ECC"/>
    <w:rsid w:val="001A281C"/>
    <w:rsid w:val="001A2C5A"/>
    <w:rsid w:val="001A6239"/>
    <w:rsid w:val="001A6651"/>
    <w:rsid w:val="001A6D19"/>
    <w:rsid w:val="001A7093"/>
    <w:rsid w:val="001A753E"/>
    <w:rsid w:val="001B0A6D"/>
    <w:rsid w:val="001B3257"/>
    <w:rsid w:val="001B3266"/>
    <w:rsid w:val="001B3B4F"/>
    <w:rsid w:val="001B3C1A"/>
    <w:rsid w:val="001B402F"/>
    <w:rsid w:val="001B4330"/>
    <w:rsid w:val="001B4C9B"/>
    <w:rsid w:val="001B65AB"/>
    <w:rsid w:val="001B6C37"/>
    <w:rsid w:val="001C043F"/>
    <w:rsid w:val="001C11DD"/>
    <w:rsid w:val="001C1EEA"/>
    <w:rsid w:val="001C26B7"/>
    <w:rsid w:val="001C295D"/>
    <w:rsid w:val="001C2A3D"/>
    <w:rsid w:val="001C3920"/>
    <w:rsid w:val="001C41AF"/>
    <w:rsid w:val="001C4B94"/>
    <w:rsid w:val="001C4BE1"/>
    <w:rsid w:val="001C6033"/>
    <w:rsid w:val="001C6191"/>
    <w:rsid w:val="001C68B4"/>
    <w:rsid w:val="001C712E"/>
    <w:rsid w:val="001D06E9"/>
    <w:rsid w:val="001D07F7"/>
    <w:rsid w:val="001D1203"/>
    <w:rsid w:val="001D1ACA"/>
    <w:rsid w:val="001D1EA8"/>
    <w:rsid w:val="001D24ED"/>
    <w:rsid w:val="001D2CE6"/>
    <w:rsid w:val="001D332B"/>
    <w:rsid w:val="001D34E6"/>
    <w:rsid w:val="001D47F5"/>
    <w:rsid w:val="001D4CE8"/>
    <w:rsid w:val="001D57AD"/>
    <w:rsid w:val="001D57E1"/>
    <w:rsid w:val="001D5DDF"/>
    <w:rsid w:val="001D6404"/>
    <w:rsid w:val="001D6BA6"/>
    <w:rsid w:val="001D6CA2"/>
    <w:rsid w:val="001D6DA1"/>
    <w:rsid w:val="001E05D5"/>
    <w:rsid w:val="001E072F"/>
    <w:rsid w:val="001E2067"/>
    <w:rsid w:val="001E25E2"/>
    <w:rsid w:val="001E3D95"/>
    <w:rsid w:val="001E3EB2"/>
    <w:rsid w:val="001E3F5E"/>
    <w:rsid w:val="001E6295"/>
    <w:rsid w:val="001E7086"/>
    <w:rsid w:val="001E7C47"/>
    <w:rsid w:val="001E7C55"/>
    <w:rsid w:val="001E7FD1"/>
    <w:rsid w:val="001F007B"/>
    <w:rsid w:val="001F0F77"/>
    <w:rsid w:val="001F1343"/>
    <w:rsid w:val="001F1E84"/>
    <w:rsid w:val="001F248F"/>
    <w:rsid w:val="001F2C75"/>
    <w:rsid w:val="001F38B2"/>
    <w:rsid w:val="001F456A"/>
    <w:rsid w:val="001F4836"/>
    <w:rsid w:val="001F4BC3"/>
    <w:rsid w:val="001F4F60"/>
    <w:rsid w:val="001F525E"/>
    <w:rsid w:val="001F5632"/>
    <w:rsid w:val="001F601E"/>
    <w:rsid w:val="001F691A"/>
    <w:rsid w:val="001F6B5D"/>
    <w:rsid w:val="001F7EAC"/>
    <w:rsid w:val="002012C6"/>
    <w:rsid w:val="0020284D"/>
    <w:rsid w:val="00202BB8"/>
    <w:rsid w:val="00203074"/>
    <w:rsid w:val="00203464"/>
    <w:rsid w:val="0020357C"/>
    <w:rsid w:val="0020447D"/>
    <w:rsid w:val="0020567A"/>
    <w:rsid w:val="00205A6A"/>
    <w:rsid w:val="00206659"/>
    <w:rsid w:val="002066C8"/>
    <w:rsid w:val="00206798"/>
    <w:rsid w:val="002104EC"/>
    <w:rsid w:val="002131FB"/>
    <w:rsid w:val="00214451"/>
    <w:rsid w:val="00214623"/>
    <w:rsid w:val="0021488E"/>
    <w:rsid w:val="00214DAC"/>
    <w:rsid w:val="00215214"/>
    <w:rsid w:val="00215524"/>
    <w:rsid w:val="0021573D"/>
    <w:rsid w:val="00216AB5"/>
    <w:rsid w:val="00217350"/>
    <w:rsid w:val="0022098A"/>
    <w:rsid w:val="00220DF6"/>
    <w:rsid w:val="0022181B"/>
    <w:rsid w:val="00222280"/>
    <w:rsid w:val="0022299E"/>
    <w:rsid w:val="00222A5E"/>
    <w:rsid w:val="00222BD7"/>
    <w:rsid w:val="0022454D"/>
    <w:rsid w:val="002279E1"/>
    <w:rsid w:val="0023043F"/>
    <w:rsid w:val="0023115F"/>
    <w:rsid w:val="00231529"/>
    <w:rsid w:val="00231929"/>
    <w:rsid w:val="00231A11"/>
    <w:rsid w:val="00231D64"/>
    <w:rsid w:val="002320C3"/>
    <w:rsid w:val="0023298C"/>
    <w:rsid w:val="00232D0F"/>
    <w:rsid w:val="0023416A"/>
    <w:rsid w:val="002343AB"/>
    <w:rsid w:val="00234733"/>
    <w:rsid w:val="00234CA9"/>
    <w:rsid w:val="00236731"/>
    <w:rsid w:val="00240B91"/>
    <w:rsid w:val="00241E8D"/>
    <w:rsid w:val="00242772"/>
    <w:rsid w:val="00242C76"/>
    <w:rsid w:val="00242CBE"/>
    <w:rsid w:val="002443AA"/>
    <w:rsid w:val="00244958"/>
    <w:rsid w:val="0024586A"/>
    <w:rsid w:val="00245B15"/>
    <w:rsid w:val="00245EEB"/>
    <w:rsid w:val="00247B5B"/>
    <w:rsid w:val="00247EC0"/>
    <w:rsid w:val="00250841"/>
    <w:rsid w:val="002510F8"/>
    <w:rsid w:val="00251682"/>
    <w:rsid w:val="00251E44"/>
    <w:rsid w:val="00252DE2"/>
    <w:rsid w:val="002534F0"/>
    <w:rsid w:val="002536DF"/>
    <w:rsid w:val="00254416"/>
    <w:rsid w:val="00254727"/>
    <w:rsid w:val="00254D5E"/>
    <w:rsid w:val="00254E71"/>
    <w:rsid w:val="00256291"/>
    <w:rsid w:val="002603C8"/>
    <w:rsid w:val="00260E2C"/>
    <w:rsid w:val="00262086"/>
    <w:rsid w:val="002622E1"/>
    <w:rsid w:val="0026257E"/>
    <w:rsid w:val="00262AA7"/>
    <w:rsid w:val="00262F45"/>
    <w:rsid w:val="002630AF"/>
    <w:rsid w:val="00263C89"/>
    <w:rsid w:val="00264D30"/>
    <w:rsid w:val="00265882"/>
    <w:rsid w:val="0027008C"/>
    <w:rsid w:val="002706CD"/>
    <w:rsid w:val="00270CE1"/>
    <w:rsid w:val="00270F51"/>
    <w:rsid w:val="00271922"/>
    <w:rsid w:val="00271D24"/>
    <w:rsid w:val="00273325"/>
    <w:rsid w:val="00273947"/>
    <w:rsid w:val="00273974"/>
    <w:rsid w:val="00273A82"/>
    <w:rsid w:val="00274324"/>
    <w:rsid w:val="002745ED"/>
    <w:rsid w:val="002755FB"/>
    <w:rsid w:val="00275C91"/>
    <w:rsid w:val="00276FEA"/>
    <w:rsid w:val="00280779"/>
    <w:rsid w:val="00280992"/>
    <w:rsid w:val="00280BED"/>
    <w:rsid w:val="00281172"/>
    <w:rsid w:val="00281D6A"/>
    <w:rsid w:val="002828A8"/>
    <w:rsid w:val="00282B08"/>
    <w:rsid w:val="00284E7E"/>
    <w:rsid w:val="0028505E"/>
    <w:rsid w:val="0028585A"/>
    <w:rsid w:val="002863E1"/>
    <w:rsid w:val="00286BC3"/>
    <w:rsid w:val="00286F23"/>
    <w:rsid w:val="0028790C"/>
    <w:rsid w:val="00287CA4"/>
    <w:rsid w:val="00290AF7"/>
    <w:rsid w:val="00291661"/>
    <w:rsid w:val="00291C75"/>
    <w:rsid w:val="00291D5A"/>
    <w:rsid w:val="00292610"/>
    <w:rsid w:val="00292E3C"/>
    <w:rsid w:val="00293EA5"/>
    <w:rsid w:val="00294D1F"/>
    <w:rsid w:val="00296625"/>
    <w:rsid w:val="00296BAB"/>
    <w:rsid w:val="00296D9D"/>
    <w:rsid w:val="0029711F"/>
    <w:rsid w:val="00297442"/>
    <w:rsid w:val="00297B4E"/>
    <w:rsid w:val="002A005D"/>
    <w:rsid w:val="002A0A33"/>
    <w:rsid w:val="002A1162"/>
    <w:rsid w:val="002A1456"/>
    <w:rsid w:val="002A281B"/>
    <w:rsid w:val="002A297C"/>
    <w:rsid w:val="002A2FC8"/>
    <w:rsid w:val="002A3051"/>
    <w:rsid w:val="002A3785"/>
    <w:rsid w:val="002A4784"/>
    <w:rsid w:val="002A58C9"/>
    <w:rsid w:val="002A5A7C"/>
    <w:rsid w:val="002A688F"/>
    <w:rsid w:val="002A6E1C"/>
    <w:rsid w:val="002B0ADE"/>
    <w:rsid w:val="002B13A4"/>
    <w:rsid w:val="002B1A12"/>
    <w:rsid w:val="002B1F7E"/>
    <w:rsid w:val="002B21B4"/>
    <w:rsid w:val="002B4610"/>
    <w:rsid w:val="002B58F5"/>
    <w:rsid w:val="002B6169"/>
    <w:rsid w:val="002B6438"/>
    <w:rsid w:val="002B6C8A"/>
    <w:rsid w:val="002C02CC"/>
    <w:rsid w:val="002C0E62"/>
    <w:rsid w:val="002C1441"/>
    <w:rsid w:val="002C1470"/>
    <w:rsid w:val="002C1552"/>
    <w:rsid w:val="002C19F8"/>
    <w:rsid w:val="002C1A8C"/>
    <w:rsid w:val="002C1B8D"/>
    <w:rsid w:val="002C1D10"/>
    <w:rsid w:val="002C2097"/>
    <w:rsid w:val="002C27A8"/>
    <w:rsid w:val="002C4343"/>
    <w:rsid w:val="002C5724"/>
    <w:rsid w:val="002C6A79"/>
    <w:rsid w:val="002C6FFE"/>
    <w:rsid w:val="002C72B3"/>
    <w:rsid w:val="002C7447"/>
    <w:rsid w:val="002C765E"/>
    <w:rsid w:val="002C78DD"/>
    <w:rsid w:val="002D01D8"/>
    <w:rsid w:val="002D022C"/>
    <w:rsid w:val="002D0E2C"/>
    <w:rsid w:val="002D1AA2"/>
    <w:rsid w:val="002D2329"/>
    <w:rsid w:val="002D3688"/>
    <w:rsid w:val="002D3BD2"/>
    <w:rsid w:val="002D3FFF"/>
    <w:rsid w:val="002D40AA"/>
    <w:rsid w:val="002D42E5"/>
    <w:rsid w:val="002D49EF"/>
    <w:rsid w:val="002D4C9A"/>
    <w:rsid w:val="002D70BF"/>
    <w:rsid w:val="002D7465"/>
    <w:rsid w:val="002D7DBB"/>
    <w:rsid w:val="002E0F3D"/>
    <w:rsid w:val="002E11B6"/>
    <w:rsid w:val="002E28D5"/>
    <w:rsid w:val="002E2C22"/>
    <w:rsid w:val="002E2DC4"/>
    <w:rsid w:val="002E38E3"/>
    <w:rsid w:val="002E4B19"/>
    <w:rsid w:val="002E5508"/>
    <w:rsid w:val="002E5E9B"/>
    <w:rsid w:val="002E5ED1"/>
    <w:rsid w:val="002E6C5D"/>
    <w:rsid w:val="002E6EAE"/>
    <w:rsid w:val="002E731F"/>
    <w:rsid w:val="002E7940"/>
    <w:rsid w:val="002E7B2F"/>
    <w:rsid w:val="002F0E4E"/>
    <w:rsid w:val="002F1683"/>
    <w:rsid w:val="002F244E"/>
    <w:rsid w:val="002F2801"/>
    <w:rsid w:val="002F2B2F"/>
    <w:rsid w:val="002F2EB9"/>
    <w:rsid w:val="002F3217"/>
    <w:rsid w:val="002F3B72"/>
    <w:rsid w:val="002F3BE8"/>
    <w:rsid w:val="002F4575"/>
    <w:rsid w:val="002F45E2"/>
    <w:rsid w:val="002F45EC"/>
    <w:rsid w:val="002F55DC"/>
    <w:rsid w:val="002F7936"/>
    <w:rsid w:val="003003BF"/>
    <w:rsid w:val="00300BD8"/>
    <w:rsid w:val="00300F5E"/>
    <w:rsid w:val="0030252C"/>
    <w:rsid w:val="003025CB"/>
    <w:rsid w:val="00303524"/>
    <w:rsid w:val="00304716"/>
    <w:rsid w:val="00304DAE"/>
    <w:rsid w:val="00305270"/>
    <w:rsid w:val="00305F44"/>
    <w:rsid w:val="0030605C"/>
    <w:rsid w:val="00306A90"/>
    <w:rsid w:val="00307312"/>
    <w:rsid w:val="00310219"/>
    <w:rsid w:val="003112B9"/>
    <w:rsid w:val="0031158A"/>
    <w:rsid w:val="003121A0"/>
    <w:rsid w:val="003139FC"/>
    <w:rsid w:val="00314191"/>
    <w:rsid w:val="0031509E"/>
    <w:rsid w:val="0031512D"/>
    <w:rsid w:val="003153D8"/>
    <w:rsid w:val="0031735D"/>
    <w:rsid w:val="00320170"/>
    <w:rsid w:val="00320186"/>
    <w:rsid w:val="003202E3"/>
    <w:rsid w:val="00320E76"/>
    <w:rsid w:val="00321335"/>
    <w:rsid w:val="00321E3E"/>
    <w:rsid w:val="0032246E"/>
    <w:rsid w:val="003236D8"/>
    <w:rsid w:val="00325682"/>
    <w:rsid w:val="00325DB8"/>
    <w:rsid w:val="00326824"/>
    <w:rsid w:val="0032748D"/>
    <w:rsid w:val="00327972"/>
    <w:rsid w:val="00327FD3"/>
    <w:rsid w:val="0033059E"/>
    <w:rsid w:val="003316EB"/>
    <w:rsid w:val="00333F55"/>
    <w:rsid w:val="00333F82"/>
    <w:rsid w:val="003343E3"/>
    <w:rsid w:val="003347C0"/>
    <w:rsid w:val="00335C37"/>
    <w:rsid w:val="00337204"/>
    <w:rsid w:val="0033724B"/>
    <w:rsid w:val="003403A5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6F33"/>
    <w:rsid w:val="0034752B"/>
    <w:rsid w:val="0034756A"/>
    <w:rsid w:val="00347741"/>
    <w:rsid w:val="0034788E"/>
    <w:rsid w:val="00350AA3"/>
    <w:rsid w:val="0035145C"/>
    <w:rsid w:val="00351D4C"/>
    <w:rsid w:val="0035414F"/>
    <w:rsid w:val="00354F60"/>
    <w:rsid w:val="003557D2"/>
    <w:rsid w:val="003607CF"/>
    <w:rsid w:val="00360A5B"/>
    <w:rsid w:val="00360F52"/>
    <w:rsid w:val="00361369"/>
    <w:rsid w:val="00361F5C"/>
    <w:rsid w:val="00361FA7"/>
    <w:rsid w:val="00362963"/>
    <w:rsid w:val="00363055"/>
    <w:rsid w:val="003659EF"/>
    <w:rsid w:val="00366862"/>
    <w:rsid w:val="00366AAF"/>
    <w:rsid w:val="00366ADB"/>
    <w:rsid w:val="00367001"/>
    <w:rsid w:val="003671BE"/>
    <w:rsid w:val="003671C3"/>
    <w:rsid w:val="003705ED"/>
    <w:rsid w:val="00371A95"/>
    <w:rsid w:val="003722AB"/>
    <w:rsid w:val="00372653"/>
    <w:rsid w:val="00372670"/>
    <w:rsid w:val="0037290A"/>
    <w:rsid w:val="00372ADB"/>
    <w:rsid w:val="0037363A"/>
    <w:rsid w:val="0037403F"/>
    <w:rsid w:val="00374868"/>
    <w:rsid w:val="00374B06"/>
    <w:rsid w:val="00375D77"/>
    <w:rsid w:val="00375E7F"/>
    <w:rsid w:val="00376C2C"/>
    <w:rsid w:val="00376C4A"/>
    <w:rsid w:val="00376F13"/>
    <w:rsid w:val="0037778E"/>
    <w:rsid w:val="00377B3F"/>
    <w:rsid w:val="003805F1"/>
    <w:rsid w:val="0038276F"/>
    <w:rsid w:val="003829DB"/>
    <w:rsid w:val="00382D64"/>
    <w:rsid w:val="00383554"/>
    <w:rsid w:val="00383B16"/>
    <w:rsid w:val="00385013"/>
    <w:rsid w:val="00385621"/>
    <w:rsid w:val="00386431"/>
    <w:rsid w:val="00387620"/>
    <w:rsid w:val="00387C65"/>
    <w:rsid w:val="0039063A"/>
    <w:rsid w:val="0039128A"/>
    <w:rsid w:val="00391D60"/>
    <w:rsid w:val="00391DDA"/>
    <w:rsid w:val="0039239C"/>
    <w:rsid w:val="00392E78"/>
    <w:rsid w:val="0039358A"/>
    <w:rsid w:val="00393B90"/>
    <w:rsid w:val="00393CCF"/>
    <w:rsid w:val="003945D7"/>
    <w:rsid w:val="00394FB8"/>
    <w:rsid w:val="003954E3"/>
    <w:rsid w:val="00395B9D"/>
    <w:rsid w:val="00395BE0"/>
    <w:rsid w:val="003966FD"/>
    <w:rsid w:val="003A025D"/>
    <w:rsid w:val="003A0B3D"/>
    <w:rsid w:val="003A14B5"/>
    <w:rsid w:val="003A1BFD"/>
    <w:rsid w:val="003A1CAD"/>
    <w:rsid w:val="003A218A"/>
    <w:rsid w:val="003A22C2"/>
    <w:rsid w:val="003A2DB0"/>
    <w:rsid w:val="003A4724"/>
    <w:rsid w:val="003A52E6"/>
    <w:rsid w:val="003A5353"/>
    <w:rsid w:val="003A536B"/>
    <w:rsid w:val="003A5CB2"/>
    <w:rsid w:val="003A6015"/>
    <w:rsid w:val="003A7359"/>
    <w:rsid w:val="003A7631"/>
    <w:rsid w:val="003B031A"/>
    <w:rsid w:val="003B07AB"/>
    <w:rsid w:val="003B1AE8"/>
    <w:rsid w:val="003B2949"/>
    <w:rsid w:val="003B2E60"/>
    <w:rsid w:val="003B306E"/>
    <w:rsid w:val="003B338E"/>
    <w:rsid w:val="003B38DC"/>
    <w:rsid w:val="003B4238"/>
    <w:rsid w:val="003B4301"/>
    <w:rsid w:val="003B686D"/>
    <w:rsid w:val="003B6B5F"/>
    <w:rsid w:val="003B6B6B"/>
    <w:rsid w:val="003B7C9A"/>
    <w:rsid w:val="003C05FE"/>
    <w:rsid w:val="003C0D84"/>
    <w:rsid w:val="003C1E36"/>
    <w:rsid w:val="003C1EAD"/>
    <w:rsid w:val="003C357A"/>
    <w:rsid w:val="003C441F"/>
    <w:rsid w:val="003C4961"/>
    <w:rsid w:val="003C4ADA"/>
    <w:rsid w:val="003C4B55"/>
    <w:rsid w:val="003C4CA9"/>
    <w:rsid w:val="003C50F9"/>
    <w:rsid w:val="003C5AEA"/>
    <w:rsid w:val="003C6087"/>
    <w:rsid w:val="003C6743"/>
    <w:rsid w:val="003C683F"/>
    <w:rsid w:val="003C7AA0"/>
    <w:rsid w:val="003C7CB1"/>
    <w:rsid w:val="003D0030"/>
    <w:rsid w:val="003D0C1B"/>
    <w:rsid w:val="003D1363"/>
    <w:rsid w:val="003D245A"/>
    <w:rsid w:val="003D2B96"/>
    <w:rsid w:val="003D310A"/>
    <w:rsid w:val="003D41D8"/>
    <w:rsid w:val="003D47ED"/>
    <w:rsid w:val="003D561F"/>
    <w:rsid w:val="003D5725"/>
    <w:rsid w:val="003D5774"/>
    <w:rsid w:val="003D5B8E"/>
    <w:rsid w:val="003D5BFE"/>
    <w:rsid w:val="003D6495"/>
    <w:rsid w:val="003D68D2"/>
    <w:rsid w:val="003D71CF"/>
    <w:rsid w:val="003D7B7D"/>
    <w:rsid w:val="003E0DA8"/>
    <w:rsid w:val="003E560B"/>
    <w:rsid w:val="003E56FE"/>
    <w:rsid w:val="003E5B05"/>
    <w:rsid w:val="003E5DDB"/>
    <w:rsid w:val="003E60A2"/>
    <w:rsid w:val="003E6BCD"/>
    <w:rsid w:val="003E7408"/>
    <w:rsid w:val="003E7459"/>
    <w:rsid w:val="003F07AF"/>
    <w:rsid w:val="003F1643"/>
    <w:rsid w:val="003F282B"/>
    <w:rsid w:val="003F28EA"/>
    <w:rsid w:val="003F2B28"/>
    <w:rsid w:val="003F34EE"/>
    <w:rsid w:val="003F59CC"/>
    <w:rsid w:val="003F5EA0"/>
    <w:rsid w:val="003F6139"/>
    <w:rsid w:val="003F645F"/>
    <w:rsid w:val="003F652D"/>
    <w:rsid w:val="003F6676"/>
    <w:rsid w:val="003F708D"/>
    <w:rsid w:val="003F7EDC"/>
    <w:rsid w:val="00400225"/>
    <w:rsid w:val="004008E9"/>
    <w:rsid w:val="004012E5"/>
    <w:rsid w:val="00402646"/>
    <w:rsid w:val="00402697"/>
    <w:rsid w:val="00402E56"/>
    <w:rsid w:val="00402FA4"/>
    <w:rsid w:val="00403A20"/>
    <w:rsid w:val="004043AD"/>
    <w:rsid w:val="00404557"/>
    <w:rsid w:val="004050E3"/>
    <w:rsid w:val="00405597"/>
    <w:rsid w:val="004056C9"/>
    <w:rsid w:val="00405C6D"/>
    <w:rsid w:val="00405F51"/>
    <w:rsid w:val="004061BA"/>
    <w:rsid w:val="0040794B"/>
    <w:rsid w:val="004112F3"/>
    <w:rsid w:val="00412B72"/>
    <w:rsid w:val="00413B3D"/>
    <w:rsid w:val="00413B7E"/>
    <w:rsid w:val="004146D0"/>
    <w:rsid w:val="00415EAB"/>
    <w:rsid w:val="0041604E"/>
    <w:rsid w:val="00416C42"/>
    <w:rsid w:val="00421581"/>
    <w:rsid w:val="0042278E"/>
    <w:rsid w:val="0042305F"/>
    <w:rsid w:val="00423E96"/>
    <w:rsid w:val="00424B4C"/>
    <w:rsid w:val="00426683"/>
    <w:rsid w:val="00426DCC"/>
    <w:rsid w:val="00426EFD"/>
    <w:rsid w:val="00427072"/>
    <w:rsid w:val="004270DC"/>
    <w:rsid w:val="004275D6"/>
    <w:rsid w:val="004311D9"/>
    <w:rsid w:val="00432165"/>
    <w:rsid w:val="00433C53"/>
    <w:rsid w:val="004341BB"/>
    <w:rsid w:val="004349CB"/>
    <w:rsid w:val="00434AF1"/>
    <w:rsid w:val="00434B6F"/>
    <w:rsid w:val="00435000"/>
    <w:rsid w:val="00435D48"/>
    <w:rsid w:val="00435F75"/>
    <w:rsid w:val="00436D57"/>
    <w:rsid w:val="00440074"/>
    <w:rsid w:val="00440363"/>
    <w:rsid w:val="00440C6D"/>
    <w:rsid w:val="00440F3B"/>
    <w:rsid w:val="00441561"/>
    <w:rsid w:val="004422E1"/>
    <w:rsid w:val="004450A4"/>
    <w:rsid w:val="00445512"/>
    <w:rsid w:val="00445846"/>
    <w:rsid w:val="004463C8"/>
    <w:rsid w:val="00446A5A"/>
    <w:rsid w:val="00446DB7"/>
    <w:rsid w:val="00446E7B"/>
    <w:rsid w:val="004473B3"/>
    <w:rsid w:val="00447C4B"/>
    <w:rsid w:val="00447FBC"/>
    <w:rsid w:val="004507F0"/>
    <w:rsid w:val="00451282"/>
    <w:rsid w:val="00451486"/>
    <w:rsid w:val="00452851"/>
    <w:rsid w:val="004536BD"/>
    <w:rsid w:val="00453A2A"/>
    <w:rsid w:val="00454368"/>
    <w:rsid w:val="00454699"/>
    <w:rsid w:val="00455132"/>
    <w:rsid w:val="00455EF1"/>
    <w:rsid w:val="0045720C"/>
    <w:rsid w:val="004572C8"/>
    <w:rsid w:val="004602D7"/>
    <w:rsid w:val="00462134"/>
    <w:rsid w:val="0046249F"/>
    <w:rsid w:val="00462779"/>
    <w:rsid w:val="004640BC"/>
    <w:rsid w:val="00464A20"/>
    <w:rsid w:val="00465B1F"/>
    <w:rsid w:val="0046781E"/>
    <w:rsid w:val="00470916"/>
    <w:rsid w:val="004720CF"/>
    <w:rsid w:val="00472E52"/>
    <w:rsid w:val="00473067"/>
    <w:rsid w:val="00473196"/>
    <w:rsid w:val="004741B5"/>
    <w:rsid w:val="00474699"/>
    <w:rsid w:val="00474A1C"/>
    <w:rsid w:val="00475C95"/>
    <w:rsid w:val="00475FAB"/>
    <w:rsid w:val="00475FBC"/>
    <w:rsid w:val="004768A4"/>
    <w:rsid w:val="00477382"/>
    <w:rsid w:val="00477500"/>
    <w:rsid w:val="00477E21"/>
    <w:rsid w:val="0048021E"/>
    <w:rsid w:val="00481E24"/>
    <w:rsid w:val="00482630"/>
    <w:rsid w:val="004826FB"/>
    <w:rsid w:val="004837D7"/>
    <w:rsid w:val="0048389E"/>
    <w:rsid w:val="0048398E"/>
    <w:rsid w:val="00483ECD"/>
    <w:rsid w:val="00484074"/>
    <w:rsid w:val="004849BA"/>
    <w:rsid w:val="00484E8D"/>
    <w:rsid w:val="00485C00"/>
    <w:rsid w:val="0048775F"/>
    <w:rsid w:val="00487762"/>
    <w:rsid w:val="00487E87"/>
    <w:rsid w:val="00491CEB"/>
    <w:rsid w:val="004923A8"/>
    <w:rsid w:val="00492484"/>
    <w:rsid w:val="004934BF"/>
    <w:rsid w:val="004943FB"/>
    <w:rsid w:val="0049474D"/>
    <w:rsid w:val="004958F9"/>
    <w:rsid w:val="00496E32"/>
    <w:rsid w:val="00497589"/>
    <w:rsid w:val="004A01BA"/>
    <w:rsid w:val="004A0A1E"/>
    <w:rsid w:val="004A0EDC"/>
    <w:rsid w:val="004A10BC"/>
    <w:rsid w:val="004A1173"/>
    <w:rsid w:val="004A1AA5"/>
    <w:rsid w:val="004A1EDB"/>
    <w:rsid w:val="004A225B"/>
    <w:rsid w:val="004A25DE"/>
    <w:rsid w:val="004A351D"/>
    <w:rsid w:val="004A3C74"/>
    <w:rsid w:val="004A517E"/>
    <w:rsid w:val="004A5849"/>
    <w:rsid w:val="004A66FA"/>
    <w:rsid w:val="004A73C5"/>
    <w:rsid w:val="004A7587"/>
    <w:rsid w:val="004A7AC0"/>
    <w:rsid w:val="004B01C3"/>
    <w:rsid w:val="004B2016"/>
    <w:rsid w:val="004B2D09"/>
    <w:rsid w:val="004B3780"/>
    <w:rsid w:val="004B3B09"/>
    <w:rsid w:val="004B42B1"/>
    <w:rsid w:val="004B4D2F"/>
    <w:rsid w:val="004B6126"/>
    <w:rsid w:val="004B63B1"/>
    <w:rsid w:val="004B66EA"/>
    <w:rsid w:val="004B68A8"/>
    <w:rsid w:val="004B7E10"/>
    <w:rsid w:val="004C05FA"/>
    <w:rsid w:val="004C22FD"/>
    <w:rsid w:val="004C3803"/>
    <w:rsid w:val="004C3D1D"/>
    <w:rsid w:val="004C3D3F"/>
    <w:rsid w:val="004C43FD"/>
    <w:rsid w:val="004C565B"/>
    <w:rsid w:val="004C6119"/>
    <w:rsid w:val="004C6B2F"/>
    <w:rsid w:val="004C6D1B"/>
    <w:rsid w:val="004C7D01"/>
    <w:rsid w:val="004D0391"/>
    <w:rsid w:val="004D0FA6"/>
    <w:rsid w:val="004D11CC"/>
    <w:rsid w:val="004D1B5B"/>
    <w:rsid w:val="004D2FB4"/>
    <w:rsid w:val="004D3D7A"/>
    <w:rsid w:val="004D3F6A"/>
    <w:rsid w:val="004D42DE"/>
    <w:rsid w:val="004D4664"/>
    <w:rsid w:val="004D4B3F"/>
    <w:rsid w:val="004D5455"/>
    <w:rsid w:val="004D60E7"/>
    <w:rsid w:val="004D6F99"/>
    <w:rsid w:val="004E0ACA"/>
    <w:rsid w:val="004E1502"/>
    <w:rsid w:val="004E17D7"/>
    <w:rsid w:val="004E1E4F"/>
    <w:rsid w:val="004E2BBE"/>
    <w:rsid w:val="004E3029"/>
    <w:rsid w:val="004E30DD"/>
    <w:rsid w:val="004E3553"/>
    <w:rsid w:val="004E36E2"/>
    <w:rsid w:val="004E41BB"/>
    <w:rsid w:val="004E4250"/>
    <w:rsid w:val="004E5392"/>
    <w:rsid w:val="004E59AD"/>
    <w:rsid w:val="004E67F8"/>
    <w:rsid w:val="004E72B6"/>
    <w:rsid w:val="004E733B"/>
    <w:rsid w:val="004E7DED"/>
    <w:rsid w:val="004F2037"/>
    <w:rsid w:val="004F267E"/>
    <w:rsid w:val="004F3A8B"/>
    <w:rsid w:val="004F4892"/>
    <w:rsid w:val="004F5094"/>
    <w:rsid w:val="004F57F8"/>
    <w:rsid w:val="004F6ABC"/>
    <w:rsid w:val="004F6F50"/>
    <w:rsid w:val="004F7A94"/>
    <w:rsid w:val="004F7B00"/>
    <w:rsid w:val="004F7D16"/>
    <w:rsid w:val="004F7F50"/>
    <w:rsid w:val="00501120"/>
    <w:rsid w:val="005011AC"/>
    <w:rsid w:val="005017E0"/>
    <w:rsid w:val="00503E07"/>
    <w:rsid w:val="00504C5A"/>
    <w:rsid w:val="00504FDC"/>
    <w:rsid w:val="005052E3"/>
    <w:rsid w:val="00505FE6"/>
    <w:rsid w:val="00506764"/>
    <w:rsid w:val="00510651"/>
    <w:rsid w:val="00510887"/>
    <w:rsid w:val="00510F46"/>
    <w:rsid w:val="00510FF7"/>
    <w:rsid w:val="00512079"/>
    <w:rsid w:val="005126CC"/>
    <w:rsid w:val="00512BB2"/>
    <w:rsid w:val="005137E2"/>
    <w:rsid w:val="00513B86"/>
    <w:rsid w:val="0051447D"/>
    <w:rsid w:val="005144C2"/>
    <w:rsid w:val="00514B5B"/>
    <w:rsid w:val="005178FE"/>
    <w:rsid w:val="00520555"/>
    <w:rsid w:val="0052076F"/>
    <w:rsid w:val="0052127C"/>
    <w:rsid w:val="005212D5"/>
    <w:rsid w:val="0052176D"/>
    <w:rsid w:val="00521ACB"/>
    <w:rsid w:val="00521DC9"/>
    <w:rsid w:val="005229AA"/>
    <w:rsid w:val="005233D3"/>
    <w:rsid w:val="00523B1F"/>
    <w:rsid w:val="00523DCF"/>
    <w:rsid w:val="0052430C"/>
    <w:rsid w:val="00524946"/>
    <w:rsid w:val="005249E6"/>
    <w:rsid w:val="00525F2F"/>
    <w:rsid w:val="0052635A"/>
    <w:rsid w:val="005265EB"/>
    <w:rsid w:val="00526BF7"/>
    <w:rsid w:val="00526C8A"/>
    <w:rsid w:val="0053057A"/>
    <w:rsid w:val="005308D9"/>
    <w:rsid w:val="005317DD"/>
    <w:rsid w:val="005322D3"/>
    <w:rsid w:val="00532C77"/>
    <w:rsid w:val="00532F7F"/>
    <w:rsid w:val="00533584"/>
    <w:rsid w:val="00533E32"/>
    <w:rsid w:val="005341FC"/>
    <w:rsid w:val="005355CC"/>
    <w:rsid w:val="00536DF0"/>
    <w:rsid w:val="00537897"/>
    <w:rsid w:val="005401A2"/>
    <w:rsid w:val="005401B3"/>
    <w:rsid w:val="0054023F"/>
    <w:rsid w:val="005406B3"/>
    <w:rsid w:val="0054129E"/>
    <w:rsid w:val="00541C46"/>
    <w:rsid w:val="00542043"/>
    <w:rsid w:val="00542735"/>
    <w:rsid w:val="00542E3A"/>
    <w:rsid w:val="00543A67"/>
    <w:rsid w:val="00544B68"/>
    <w:rsid w:val="00545724"/>
    <w:rsid w:val="00545977"/>
    <w:rsid w:val="005471F8"/>
    <w:rsid w:val="00547338"/>
    <w:rsid w:val="00547ECD"/>
    <w:rsid w:val="00550169"/>
    <w:rsid w:val="005511E9"/>
    <w:rsid w:val="0055129B"/>
    <w:rsid w:val="00551570"/>
    <w:rsid w:val="0055265A"/>
    <w:rsid w:val="005539B4"/>
    <w:rsid w:val="005539F4"/>
    <w:rsid w:val="00553AB4"/>
    <w:rsid w:val="00554163"/>
    <w:rsid w:val="00555248"/>
    <w:rsid w:val="00555D83"/>
    <w:rsid w:val="005566B6"/>
    <w:rsid w:val="005573DD"/>
    <w:rsid w:val="00560BBA"/>
    <w:rsid w:val="00561572"/>
    <w:rsid w:val="00561887"/>
    <w:rsid w:val="00561F9C"/>
    <w:rsid w:val="00562234"/>
    <w:rsid w:val="0056227B"/>
    <w:rsid w:val="0056375B"/>
    <w:rsid w:val="00563A80"/>
    <w:rsid w:val="005646D2"/>
    <w:rsid w:val="005647C4"/>
    <w:rsid w:val="00564964"/>
    <w:rsid w:val="00564AE3"/>
    <w:rsid w:val="00566B58"/>
    <w:rsid w:val="00567B56"/>
    <w:rsid w:val="005701DE"/>
    <w:rsid w:val="0057148E"/>
    <w:rsid w:val="005725C0"/>
    <w:rsid w:val="00573A45"/>
    <w:rsid w:val="005746EB"/>
    <w:rsid w:val="005760B1"/>
    <w:rsid w:val="005804DD"/>
    <w:rsid w:val="005804EC"/>
    <w:rsid w:val="0058087C"/>
    <w:rsid w:val="005814DE"/>
    <w:rsid w:val="00582403"/>
    <w:rsid w:val="005828E5"/>
    <w:rsid w:val="00582AFB"/>
    <w:rsid w:val="00583574"/>
    <w:rsid w:val="00583E7A"/>
    <w:rsid w:val="0058452C"/>
    <w:rsid w:val="00585019"/>
    <w:rsid w:val="0058729B"/>
    <w:rsid w:val="005877C0"/>
    <w:rsid w:val="005877C4"/>
    <w:rsid w:val="005877D3"/>
    <w:rsid w:val="005879AD"/>
    <w:rsid w:val="00587DE7"/>
    <w:rsid w:val="005903F7"/>
    <w:rsid w:val="00590E1B"/>
    <w:rsid w:val="00593968"/>
    <w:rsid w:val="00594102"/>
    <w:rsid w:val="00594243"/>
    <w:rsid w:val="00594250"/>
    <w:rsid w:val="0059455D"/>
    <w:rsid w:val="00594D60"/>
    <w:rsid w:val="00595235"/>
    <w:rsid w:val="0059592C"/>
    <w:rsid w:val="00595A2B"/>
    <w:rsid w:val="00596220"/>
    <w:rsid w:val="00596277"/>
    <w:rsid w:val="00597D32"/>
    <w:rsid w:val="005A0275"/>
    <w:rsid w:val="005A05B4"/>
    <w:rsid w:val="005A05D2"/>
    <w:rsid w:val="005A0AA1"/>
    <w:rsid w:val="005A0F3D"/>
    <w:rsid w:val="005A3011"/>
    <w:rsid w:val="005A3614"/>
    <w:rsid w:val="005A3789"/>
    <w:rsid w:val="005A3EF2"/>
    <w:rsid w:val="005A4042"/>
    <w:rsid w:val="005A4051"/>
    <w:rsid w:val="005A4A16"/>
    <w:rsid w:val="005A4C15"/>
    <w:rsid w:val="005A66DE"/>
    <w:rsid w:val="005A7752"/>
    <w:rsid w:val="005B03AE"/>
    <w:rsid w:val="005B0675"/>
    <w:rsid w:val="005B07C0"/>
    <w:rsid w:val="005B086F"/>
    <w:rsid w:val="005B0F24"/>
    <w:rsid w:val="005B22B1"/>
    <w:rsid w:val="005B28AD"/>
    <w:rsid w:val="005B2C76"/>
    <w:rsid w:val="005B3984"/>
    <w:rsid w:val="005B478D"/>
    <w:rsid w:val="005B48EA"/>
    <w:rsid w:val="005B4E1A"/>
    <w:rsid w:val="005B5288"/>
    <w:rsid w:val="005B60A8"/>
    <w:rsid w:val="005B747A"/>
    <w:rsid w:val="005B7E19"/>
    <w:rsid w:val="005C00EA"/>
    <w:rsid w:val="005C0A09"/>
    <w:rsid w:val="005C100C"/>
    <w:rsid w:val="005C21C6"/>
    <w:rsid w:val="005C272A"/>
    <w:rsid w:val="005C28E5"/>
    <w:rsid w:val="005C3706"/>
    <w:rsid w:val="005C707A"/>
    <w:rsid w:val="005C70EA"/>
    <w:rsid w:val="005C7B92"/>
    <w:rsid w:val="005C7CD7"/>
    <w:rsid w:val="005C7D21"/>
    <w:rsid w:val="005D0550"/>
    <w:rsid w:val="005D0E98"/>
    <w:rsid w:val="005D15FE"/>
    <w:rsid w:val="005D1F82"/>
    <w:rsid w:val="005D297A"/>
    <w:rsid w:val="005D30F6"/>
    <w:rsid w:val="005D394C"/>
    <w:rsid w:val="005D3F41"/>
    <w:rsid w:val="005D48BF"/>
    <w:rsid w:val="005D4AEF"/>
    <w:rsid w:val="005D4DF3"/>
    <w:rsid w:val="005D5340"/>
    <w:rsid w:val="005D54C0"/>
    <w:rsid w:val="005D697A"/>
    <w:rsid w:val="005D71A1"/>
    <w:rsid w:val="005D72D0"/>
    <w:rsid w:val="005D7EC7"/>
    <w:rsid w:val="005E092C"/>
    <w:rsid w:val="005E145F"/>
    <w:rsid w:val="005E1967"/>
    <w:rsid w:val="005E1C5A"/>
    <w:rsid w:val="005E1F1E"/>
    <w:rsid w:val="005E27A6"/>
    <w:rsid w:val="005E2D39"/>
    <w:rsid w:val="005E3426"/>
    <w:rsid w:val="005E3BDC"/>
    <w:rsid w:val="005E3D0E"/>
    <w:rsid w:val="005E4938"/>
    <w:rsid w:val="005E765B"/>
    <w:rsid w:val="005F0C5F"/>
    <w:rsid w:val="005F1707"/>
    <w:rsid w:val="005F2394"/>
    <w:rsid w:val="005F24C4"/>
    <w:rsid w:val="005F2C4F"/>
    <w:rsid w:val="005F361B"/>
    <w:rsid w:val="005F36AE"/>
    <w:rsid w:val="005F43FA"/>
    <w:rsid w:val="005F5565"/>
    <w:rsid w:val="005F742F"/>
    <w:rsid w:val="005F7526"/>
    <w:rsid w:val="006015D5"/>
    <w:rsid w:val="00601806"/>
    <w:rsid w:val="0060187A"/>
    <w:rsid w:val="00601B9B"/>
    <w:rsid w:val="006020D8"/>
    <w:rsid w:val="00602A38"/>
    <w:rsid w:val="0060307D"/>
    <w:rsid w:val="00603A0C"/>
    <w:rsid w:val="00605F19"/>
    <w:rsid w:val="006063A3"/>
    <w:rsid w:val="00606917"/>
    <w:rsid w:val="00606DC2"/>
    <w:rsid w:val="006075C2"/>
    <w:rsid w:val="00607A14"/>
    <w:rsid w:val="006107A5"/>
    <w:rsid w:val="00611449"/>
    <w:rsid w:val="006117AC"/>
    <w:rsid w:val="00611B2A"/>
    <w:rsid w:val="00611B94"/>
    <w:rsid w:val="00612B26"/>
    <w:rsid w:val="006131CA"/>
    <w:rsid w:val="00613679"/>
    <w:rsid w:val="0061442D"/>
    <w:rsid w:val="00614B52"/>
    <w:rsid w:val="0061509A"/>
    <w:rsid w:val="00615243"/>
    <w:rsid w:val="00615304"/>
    <w:rsid w:val="00615B91"/>
    <w:rsid w:val="00616B62"/>
    <w:rsid w:val="00616BD8"/>
    <w:rsid w:val="00617AF5"/>
    <w:rsid w:val="00621AB9"/>
    <w:rsid w:val="00621F5D"/>
    <w:rsid w:val="00622D18"/>
    <w:rsid w:val="0062366F"/>
    <w:rsid w:val="00623AD5"/>
    <w:rsid w:val="00623B77"/>
    <w:rsid w:val="00624D44"/>
    <w:rsid w:val="00627185"/>
    <w:rsid w:val="00627F23"/>
    <w:rsid w:val="00630E13"/>
    <w:rsid w:val="0063123E"/>
    <w:rsid w:val="00631702"/>
    <w:rsid w:val="006317FB"/>
    <w:rsid w:val="00631889"/>
    <w:rsid w:val="00632616"/>
    <w:rsid w:val="006333BA"/>
    <w:rsid w:val="00633BBA"/>
    <w:rsid w:val="00633F36"/>
    <w:rsid w:val="0063452C"/>
    <w:rsid w:val="0063598B"/>
    <w:rsid w:val="00635AEC"/>
    <w:rsid w:val="006373F7"/>
    <w:rsid w:val="00637509"/>
    <w:rsid w:val="006418B5"/>
    <w:rsid w:val="006421F9"/>
    <w:rsid w:val="0064333D"/>
    <w:rsid w:val="00644C90"/>
    <w:rsid w:val="00644D2B"/>
    <w:rsid w:val="00644F86"/>
    <w:rsid w:val="00645392"/>
    <w:rsid w:val="0064699E"/>
    <w:rsid w:val="00650FBE"/>
    <w:rsid w:val="00651383"/>
    <w:rsid w:val="0065170C"/>
    <w:rsid w:val="00651DA8"/>
    <w:rsid w:val="006533AF"/>
    <w:rsid w:val="00653789"/>
    <w:rsid w:val="006543BA"/>
    <w:rsid w:val="00654DBF"/>
    <w:rsid w:val="00655395"/>
    <w:rsid w:val="006555A2"/>
    <w:rsid w:val="006570C1"/>
    <w:rsid w:val="0065786C"/>
    <w:rsid w:val="00657E7B"/>
    <w:rsid w:val="00660989"/>
    <w:rsid w:val="006616E6"/>
    <w:rsid w:val="00661B0F"/>
    <w:rsid w:val="00661D8B"/>
    <w:rsid w:val="00662BC3"/>
    <w:rsid w:val="00663DDC"/>
    <w:rsid w:val="00665592"/>
    <w:rsid w:val="006659B0"/>
    <w:rsid w:val="00666DA0"/>
    <w:rsid w:val="00667195"/>
    <w:rsid w:val="00667ECC"/>
    <w:rsid w:val="006707C0"/>
    <w:rsid w:val="00670D2A"/>
    <w:rsid w:val="0067123D"/>
    <w:rsid w:val="00672FBB"/>
    <w:rsid w:val="006732B3"/>
    <w:rsid w:val="006738CB"/>
    <w:rsid w:val="006751D7"/>
    <w:rsid w:val="00675547"/>
    <w:rsid w:val="006758F0"/>
    <w:rsid w:val="006760FF"/>
    <w:rsid w:val="00677A5C"/>
    <w:rsid w:val="0068109C"/>
    <w:rsid w:val="00681137"/>
    <w:rsid w:val="00681282"/>
    <w:rsid w:val="00681639"/>
    <w:rsid w:val="00682878"/>
    <w:rsid w:val="00683041"/>
    <w:rsid w:val="0068374B"/>
    <w:rsid w:val="0068458A"/>
    <w:rsid w:val="00684C75"/>
    <w:rsid w:val="00684E4B"/>
    <w:rsid w:val="0068506D"/>
    <w:rsid w:val="00685C59"/>
    <w:rsid w:val="00686422"/>
    <w:rsid w:val="006874AB"/>
    <w:rsid w:val="0068790D"/>
    <w:rsid w:val="00687A8F"/>
    <w:rsid w:val="00687ECA"/>
    <w:rsid w:val="006900D9"/>
    <w:rsid w:val="00690941"/>
    <w:rsid w:val="00690CED"/>
    <w:rsid w:val="0069114E"/>
    <w:rsid w:val="006912C8"/>
    <w:rsid w:val="00692552"/>
    <w:rsid w:val="00692B0F"/>
    <w:rsid w:val="00693820"/>
    <w:rsid w:val="00693916"/>
    <w:rsid w:val="00693BBB"/>
    <w:rsid w:val="00694FF6"/>
    <w:rsid w:val="006952D4"/>
    <w:rsid w:val="0069546E"/>
    <w:rsid w:val="006954D0"/>
    <w:rsid w:val="0069553B"/>
    <w:rsid w:val="00695BAE"/>
    <w:rsid w:val="00695E2E"/>
    <w:rsid w:val="00697298"/>
    <w:rsid w:val="006A12F6"/>
    <w:rsid w:val="006A13BB"/>
    <w:rsid w:val="006A1AAA"/>
    <w:rsid w:val="006A3883"/>
    <w:rsid w:val="006A406A"/>
    <w:rsid w:val="006A5F09"/>
    <w:rsid w:val="006A6D2D"/>
    <w:rsid w:val="006B0A06"/>
    <w:rsid w:val="006B12AB"/>
    <w:rsid w:val="006B1B10"/>
    <w:rsid w:val="006B1C59"/>
    <w:rsid w:val="006B41DC"/>
    <w:rsid w:val="006B5A9E"/>
    <w:rsid w:val="006B5F68"/>
    <w:rsid w:val="006B759C"/>
    <w:rsid w:val="006B7743"/>
    <w:rsid w:val="006B7CE1"/>
    <w:rsid w:val="006C10C6"/>
    <w:rsid w:val="006C126D"/>
    <w:rsid w:val="006C1610"/>
    <w:rsid w:val="006C1C7B"/>
    <w:rsid w:val="006C2CF4"/>
    <w:rsid w:val="006C4023"/>
    <w:rsid w:val="006C40FF"/>
    <w:rsid w:val="006C6299"/>
    <w:rsid w:val="006C7529"/>
    <w:rsid w:val="006C7961"/>
    <w:rsid w:val="006D029A"/>
    <w:rsid w:val="006D1D78"/>
    <w:rsid w:val="006D1F0F"/>
    <w:rsid w:val="006D22BC"/>
    <w:rsid w:val="006D3110"/>
    <w:rsid w:val="006D4C89"/>
    <w:rsid w:val="006D4F49"/>
    <w:rsid w:val="006D5F48"/>
    <w:rsid w:val="006D7AEF"/>
    <w:rsid w:val="006D7F35"/>
    <w:rsid w:val="006D7FA4"/>
    <w:rsid w:val="006E14E1"/>
    <w:rsid w:val="006E1551"/>
    <w:rsid w:val="006E2607"/>
    <w:rsid w:val="006E27A8"/>
    <w:rsid w:val="006E2C7A"/>
    <w:rsid w:val="006E2DCD"/>
    <w:rsid w:val="006E2FE0"/>
    <w:rsid w:val="006E456F"/>
    <w:rsid w:val="006E4F47"/>
    <w:rsid w:val="006E5679"/>
    <w:rsid w:val="006E584F"/>
    <w:rsid w:val="006E7909"/>
    <w:rsid w:val="006F2046"/>
    <w:rsid w:val="006F4BD8"/>
    <w:rsid w:val="006F53F4"/>
    <w:rsid w:val="006F5AD2"/>
    <w:rsid w:val="006F7257"/>
    <w:rsid w:val="007003D2"/>
    <w:rsid w:val="00700496"/>
    <w:rsid w:val="00700E75"/>
    <w:rsid w:val="0070260C"/>
    <w:rsid w:val="00702926"/>
    <w:rsid w:val="00702BDD"/>
    <w:rsid w:val="00704535"/>
    <w:rsid w:val="0070492F"/>
    <w:rsid w:val="007054E0"/>
    <w:rsid w:val="00706FC9"/>
    <w:rsid w:val="007077CC"/>
    <w:rsid w:val="007111C2"/>
    <w:rsid w:val="007113B2"/>
    <w:rsid w:val="007123A5"/>
    <w:rsid w:val="00712B4E"/>
    <w:rsid w:val="0071361E"/>
    <w:rsid w:val="00714B1C"/>
    <w:rsid w:val="00715460"/>
    <w:rsid w:val="00715597"/>
    <w:rsid w:val="00716134"/>
    <w:rsid w:val="00716E1B"/>
    <w:rsid w:val="00716EB6"/>
    <w:rsid w:val="007171D6"/>
    <w:rsid w:val="007206D4"/>
    <w:rsid w:val="00722BA8"/>
    <w:rsid w:val="00724135"/>
    <w:rsid w:val="007241A5"/>
    <w:rsid w:val="00724CBD"/>
    <w:rsid w:val="0072511D"/>
    <w:rsid w:val="00725420"/>
    <w:rsid w:val="00725BA4"/>
    <w:rsid w:val="007263C3"/>
    <w:rsid w:val="00726571"/>
    <w:rsid w:val="0072664F"/>
    <w:rsid w:val="007274C5"/>
    <w:rsid w:val="007301FE"/>
    <w:rsid w:val="00730D3A"/>
    <w:rsid w:val="00731391"/>
    <w:rsid w:val="00731E8C"/>
    <w:rsid w:val="007320F2"/>
    <w:rsid w:val="00733374"/>
    <w:rsid w:val="00733803"/>
    <w:rsid w:val="00735589"/>
    <w:rsid w:val="0073580B"/>
    <w:rsid w:val="00737D26"/>
    <w:rsid w:val="007408DF"/>
    <w:rsid w:val="00740F11"/>
    <w:rsid w:val="0074130C"/>
    <w:rsid w:val="007418E0"/>
    <w:rsid w:val="00741B1C"/>
    <w:rsid w:val="00741C29"/>
    <w:rsid w:val="00742AC8"/>
    <w:rsid w:val="00742B76"/>
    <w:rsid w:val="007432DC"/>
    <w:rsid w:val="00743A3B"/>
    <w:rsid w:val="00743DB7"/>
    <w:rsid w:val="00743E2E"/>
    <w:rsid w:val="0074430A"/>
    <w:rsid w:val="00746773"/>
    <w:rsid w:val="00750C37"/>
    <w:rsid w:val="0075305E"/>
    <w:rsid w:val="00753122"/>
    <w:rsid w:val="007556B7"/>
    <w:rsid w:val="00755C2D"/>
    <w:rsid w:val="00756D12"/>
    <w:rsid w:val="00757073"/>
    <w:rsid w:val="007571BC"/>
    <w:rsid w:val="00757484"/>
    <w:rsid w:val="00760E00"/>
    <w:rsid w:val="00761C1A"/>
    <w:rsid w:val="00761C46"/>
    <w:rsid w:val="00761EC4"/>
    <w:rsid w:val="00762728"/>
    <w:rsid w:val="00762DA8"/>
    <w:rsid w:val="00763262"/>
    <w:rsid w:val="0076370A"/>
    <w:rsid w:val="00763FEE"/>
    <w:rsid w:val="00764CFD"/>
    <w:rsid w:val="00764F06"/>
    <w:rsid w:val="00765ED4"/>
    <w:rsid w:val="00767A5F"/>
    <w:rsid w:val="00767B46"/>
    <w:rsid w:val="00770052"/>
    <w:rsid w:val="0077146A"/>
    <w:rsid w:val="0077161A"/>
    <w:rsid w:val="00772288"/>
    <w:rsid w:val="00772673"/>
    <w:rsid w:val="0077268B"/>
    <w:rsid w:val="00772703"/>
    <w:rsid w:val="00772A2B"/>
    <w:rsid w:val="00772ED2"/>
    <w:rsid w:val="007738A3"/>
    <w:rsid w:val="00773F09"/>
    <w:rsid w:val="00774608"/>
    <w:rsid w:val="007749A0"/>
    <w:rsid w:val="007760AE"/>
    <w:rsid w:val="007768B7"/>
    <w:rsid w:val="00776F26"/>
    <w:rsid w:val="007801AE"/>
    <w:rsid w:val="0078070B"/>
    <w:rsid w:val="00780B75"/>
    <w:rsid w:val="00780F5F"/>
    <w:rsid w:val="0078193D"/>
    <w:rsid w:val="00781AEE"/>
    <w:rsid w:val="00782073"/>
    <w:rsid w:val="007837BE"/>
    <w:rsid w:val="00783E42"/>
    <w:rsid w:val="0078503B"/>
    <w:rsid w:val="00785529"/>
    <w:rsid w:val="007859E8"/>
    <w:rsid w:val="00786993"/>
    <w:rsid w:val="007903D0"/>
    <w:rsid w:val="00790738"/>
    <w:rsid w:val="00790A7C"/>
    <w:rsid w:val="00790B01"/>
    <w:rsid w:val="007915D0"/>
    <w:rsid w:val="007918D9"/>
    <w:rsid w:val="00791F2B"/>
    <w:rsid w:val="007928A5"/>
    <w:rsid w:val="00794363"/>
    <w:rsid w:val="007946B2"/>
    <w:rsid w:val="007967B1"/>
    <w:rsid w:val="00797C26"/>
    <w:rsid w:val="00797E37"/>
    <w:rsid w:val="00797FFB"/>
    <w:rsid w:val="007A1D5F"/>
    <w:rsid w:val="007A2918"/>
    <w:rsid w:val="007A3834"/>
    <w:rsid w:val="007A4BAD"/>
    <w:rsid w:val="007A4F04"/>
    <w:rsid w:val="007A56D5"/>
    <w:rsid w:val="007A59A2"/>
    <w:rsid w:val="007A5C30"/>
    <w:rsid w:val="007A6298"/>
    <w:rsid w:val="007A79D0"/>
    <w:rsid w:val="007B052C"/>
    <w:rsid w:val="007B146E"/>
    <w:rsid w:val="007B1A7A"/>
    <w:rsid w:val="007B2DD5"/>
    <w:rsid w:val="007B44B6"/>
    <w:rsid w:val="007B456C"/>
    <w:rsid w:val="007B5A7A"/>
    <w:rsid w:val="007B68AF"/>
    <w:rsid w:val="007B71E5"/>
    <w:rsid w:val="007B769D"/>
    <w:rsid w:val="007B7A5C"/>
    <w:rsid w:val="007B7EEA"/>
    <w:rsid w:val="007C06FA"/>
    <w:rsid w:val="007C0D00"/>
    <w:rsid w:val="007C105B"/>
    <w:rsid w:val="007C136F"/>
    <w:rsid w:val="007C2C6A"/>
    <w:rsid w:val="007C2CEF"/>
    <w:rsid w:val="007C2D48"/>
    <w:rsid w:val="007C38E5"/>
    <w:rsid w:val="007C5D63"/>
    <w:rsid w:val="007C6380"/>
    <w:rsid w:val="007C6E4F"/>
    <w:rsid w:val="007D001F"/>
    <w:rsid w:val="007D1246"/>
    <w:rsid w:val="007D276F"/>
    <w:rsid w:val="007D40B2"/>
    <w:rsid w:val="007D4688"/>
    <w:rsid w:val="007D4E59"/>
    <w:rsid w:val="007D521B"/>
    <w:rsid w:val="007D52B4"/>
    <w:rsid w:val="007D69BC"/>
    <w:rsid w:val="007D6C16"/>
    <w:rsid w:val="007D6F07"/>
    <w:rsid w:val="007D7F9B"/>
    <w:rsid w:val="007E1420"/>
    <w:rsid w:val="007E1577"/>
    <w:rsid w:val="007E1858"/>
    <w:rsid w:val="007E1CA4"/>
    <w:rsid w:val="007E2933"/>
    <w:rsid w:val="007E2C25"/>
    <w:rsid w:val="007E2D18"/>
    <w:rsid w:val="007E47FC"/>
    <w:rsid w:val="007E4A37"/>
    <w:rsid w:val="007E50E1"/>
    <w:rsid w:val="007F1AA0"/>
    <w:rsid w:val="007F2601"/>
    <w:rsid w:val="007F262E"/>
    <w:rsid w:val="007F2657"/>
    <w:rsid w:val="007F475F"/>
    <w:rsid w:val="007F478E"/>
    <w:rsid w:val="007F4A8D"/>
    <w:rsid w:val="007F54CB"/>
    <w:rsid w:val="007F5A86"/>
    <w:rsid w:val="007F5DFB"/>
    <w:rsid w:val="007F71E0"/>
    <w:rsid w:val="008006E6"/>
    <w:rsid w:val="00801A5C"/>
    <w:rsid w:val="00802A1F"/>
    <w:rsid w:val="00802CBE"/>
    <w:rsid w:val="00803256"/>
    <w:rsid w:val="00803BC3"/>
    <w:rsid w:val="008055E3"/>
    <w:rsid w:val="0080593A"/>
    <w:rsid w:val="008073F0"/>
    <w:rsid w:val="00807871"/>
    <w:rsid w:val="00807DC4"/>
    <w:rsid w:val="00807E8D"/>
    <w:rsid w:val="0081020F"/>
    <w:rsid w:val="00811946"/>
    <w:rsid w:val="00811DB6"/>
    <w:rsid w:val="008133AA"/>
    <w:rsid w:val="0081403B"/>
    <w:rsid w:val="008148E1"/>
    <w:rsid w:val="00815A14"/>
    <w:rsid w:val="008167C1"/>
    <w:rsid w:val="00817503"/>
    <w:rsid w:val="00817D3A"/>
    <w:rsid w:val="00817EA7"/>
    <w:rsid w:val="0082114F"/>
    <w:rsid w:val="008218CF"/>
    <w:rsid w:val="00822188"/>
    <w:rsid w:val="00822B4A"/>
    <w:rsid w:val="00826E5D"/>
    <w:rsid w:val="00830F87"/>
    <w:rsid w:val="008319CA"/>
    <w:rsid w:val="008322D1"/>
    <w:rsid w:val="00833359"/>
    <w:rsid w:val="00833B9F"/>
    <w:rsid w:val="00833E38"/>
    <w:rsid w:val="00833FD3"/>
    <w:rsid w:val="0083429B"/>
    <w:rsid w:val="00834B90"/>
    <w:rsid w:val="00835F4F"/>
    <w:rsid w:val="008362ED"/>
    <w:rsid w:val="00836328"/>
    <w:rsid w:val="00836EE8"/>
    <w:rsid w:val="008373A3"/>
    <w:rsid w:val="008379ED"/>
    <w:rsid w:val="0084003B"/>
    <w:rsid w:val="00840798"/>
    <w:rsid w:val="00840E2F"/>
    <w:rsid w:val="00840FD5"/>
    <w:rsid w:val="0084134E"/>
    <w:rsid w:val="00841DED"/>
    <w:rsid w:val="00841E36"/>
    <w:rsid w:val="00841EFE"/>
    <w:rsid w:val="0084208E"/>
    <w:rsid w:val="008420EC"/>
    <w:rsid w:val="0084250E"/>
    <w:rsid w:val="0084269C"/>
    <w:rsid w:val="00842D81"/>
    <w:rsid w:val="00844B38"/>
    <w:rsid w:val="00844BE8"/>
    <w:rsid w:val="008459E5"/>
    <w:rsid w:val="00845C74"/>
    <w:rsid w:val="008472E3"/>
    <w:rsid w:val="00847BC9"/>
    <w:rsid w:val="00847F87"/>
    <w:rsid w:val="00850949"/>
    <w:rsid w:val="00851171"/>
    <w:rsid w:val="008511B6"/>
    <w:rsid w:val="00851847"/>
    <w:rsid w:val="008520ED"/>
    <w:rsid w:val="00852817"/>
    <w:rsid w:val="00853776"/>
    <w:rsid w:val="00854666"/>
    <w:rsid w:val="00855057"/>
    <w:rsid w:val="0085530B"/>
    <w:rsid w:val="0085546C"/>
    <w:rsid w:val="0085572E"/>
    <w:rsid w:val="00855EA9"/>
    <w:rsid w:val="0085689E"/>
    <w:rsid w:val="0085708B"/>
    <w:rsid w:val="0085730A"/>
    <w:rsid w:val="00857768"/>
    <w:rsid w:val="0086177A"/>
    <w:rsid w:val="008628F3"/>
    <w:rsid w:val="00863873"/>
    <w:rsid w:val="008648D6"/>
    <w:rsid w:val="008655B2"/>
    <w:rsid w:val="0086576F"/>
    <w:rsid w:val="00865B09"/>
    <w:rsid w:val="00865B72"/>
    <w:rsid w:val="00866410"/>
    <w:rsid w:val="0086798C"/>
    <w:rsid w:val="00867AE9"/>
    <w:rsid w:val="00867B90"/>
    <w:rsid w:val="0087042E"/>
    <w:rsid w:val="0087086C"/>
    <w:rsid w:val="00870FF7"/>
    <w:rsid w:val="008712A1"/>
    <w:rsid w:val="008720DA"/>
    <w:rsid w:val="00872202"/>
    <w:rsid w:val="00872618"/>
    <w:rsid w:val="0087290A"/>
    <w:rsid w:val="0087402C"/>
    <w:rsid w:val="0087409F"/>
    <w:rsid w:val="00874AF5"/>
    <w:rsid w:val="00874BB8"/>
    <w:rsid w:val="00874C6A"/>
    <w:rsid w:val="00875058"/>
    <w:rsid w:val="00875535"/>
    <w:rsid w:val="00875896"/>
    <w:rsid w:val="008760C9"/>
    <w:rsid w:val="00876175"/>
    <w:rsid w:val="00876CA3"/>
    <w:rsid w:val="008776AE"/>
    <w:rsid w:val="00877E3C"/>
    <w:rsid w:val="008808DB"/>
    <w:rsid w:val="00882F1F"/>
    <w:rsid w:val="00883549"/>
    <w:rsid w:val="00883B83"/>
    <w:rsid w:val="008848DE"/>
    <w:rsid w:val="00884C20"/>
    <w:rsid w:val="00884D16"/>
    <w:rsid w:val="0088501F"/>
    <w:rsid w:val="008855C3"/>
    <w:rsid w:val="00886630"/>
    <w:rsid w:val="008866BF"/>
    <w:rsid w:val="008870B5"/>
    <w:rsid w:val="008912B0"/>
    <w:rsid w:val="00892288"/>
    <w:rsid w:val="00892B4D"/>
    <w:rsid w:val="00892F49"/>
    <w:rsid w:val="00893627"/>
    <w:rsid w:val="008938AA"/>
    <w:rsid w:val="008946E5"/>
    <w:rsid w:val="00894A15"/>
    <w:rsid w:val="00894C3A"/>
    <w:rsid w:val="008951BF"/>
    <w:rsid w:val="008966B4"/>
    <w:rsid w:val="00896B9F"/>
    <w:rsid w:val="00897470"/>
    <w:rsid w:val="008977ED"/>
    <w:rsid w:val="00897CE0"/>
    <w:rsid w:val="008A0CC7"/>
    <w:rsid w:val="008A1972"/>
    <w:rsid w:val="008A1A7F"/>
    <w:rsid w:val="008A2CAA"/>
    <w:rsid w:val="008A2EBC"/>
    <w:rsid w:val="008A2FB7"/>
    <w:rsid w:val="008A341A"/>
    <w:rsid w:val="008A424C"/>
    <w:rsid w:val="008A4B3E"/>
    <w:rsid w:val="008A4CF7"/>
    <w:rsid w:val="008A512A"/>
    <w:rsid w:val="008A65F2"/>
    <w:rsid w:val="008A699C"/>
    <w:rsid w:val="008A6A9C"/>
    <w:rsid w:val="008A726E"/>
    <w:rsid w:val="008B073A"/>
    <w:rsid w:val="008B0DC5"/>
    <w:rsid w:val="008B0E64"/>
    <w:rsid w:val="008B1D90"/>
    <w:rsid w:val="008B32BE"/>
    <w:rsid w:val="008B436D"/>
    <w:rsid w:val="008B4709"/>
    <w:rsid w:val="008B480B"/>
    <w:rsid w:val="008B49A7"/>
    <w:rsid w:val="008B5198"/>
    <w:rsid w:val="008B52D9"/>
    <w:rsid w:val="008B5D87"/>
    <w:rsid w:val="008B6A3C"/>
    <w:rsid w:val="008B6C14"/>
    <w:rsid w:val="008B714C"/>
    <w:rsid w:val="008B7177"/>
    <w:rsid w:val="008B7F3D"/>
    <w:rsid w:val="008C0860"/>
    <w:rsid w:val="008C2B34"/>
    <w:rsid w:val="008C2C3C"/>
    <w:rsid w:val="008C36DC"/>
    <w:rsid w:val="008C3A8F"/>
    <w:rsid w:val="008C49B6"/>
    <w:rsid w:val="008C5531"/>
    <w:rsid w:val="008C5D7D"/>
    <w:rsid w:val="008C6A91"/>
    <w:rsid w:val="008C7360"/>
    <w:rsid w:val="008C79BB"/>
    <w:rsid w:val="008D0203"/>
    <w:rsid w:val="008D04A0"/>
    <w:rsid w:val="008D07FE"/>
    <w:rsid w:val="008D1219"/>
    <w:rsid w:val="008D2871"/>
    <w:rsid w:val="008D338E"/>
    <w:rsid w:val="008D38D9"/>
    <w:rsid w:val="008D3B20"/>
    <w:rsid w:val="008D414F"/>
    <w:rsid w:val="008D48EC"/>
    <w:rsid w:val="008D5403"/>
    <w:rsid w:val="008D5732"/>
    <w:rsid w:val="008D767F"/>
    <w:rsid w:val="008D7D3F"/>
    <w:rsid w:val="008E029A"/>
    <w:rsid w:val="008E1907"/>
    <w:rsid w:val="008E228F"/>
    <w:rsid w:val="008E2A18"/>
    <w:rsid w:val="008E3685"/>
    <w:rsid w:val="008E5189"/>
    <w:rsid w:val="008E57C2"/>
    <w:rsid w:val="008E5E56"/>
    <w:rsid w:val="008E6335"/>
    <w:rsid w:val="008E69A0"/>
    <w:rsid w:val="008E6D16"/>
    <w:rsid w:val="008E7987"/>
    <w:rsid w:val="008E7E1B"/>
    <w:rsid w:val="008E7EFF"/>
    <w:rsid w:val="008F0DA9"/>
    <w:rsid w:val="008F0E0C"/>
    <w:rsid w:val="008F1389"/>
    <w:rsid w:val="008F2E0F"/>
    <w:rsid w:val="008F416D"/>
    <w:rsid w:val="008F5EC0"/>
    <w:rsid w:val="008F662C"/>
    <w:rsid w:val="008F6C60"/>
    <w:rsid w:val="008F6D54"/>
    <w:rsid w:val="008F7046"/>
    <w:rsid w:val="00900744"/>
    <w:rsid w:val="00900B2E"/>
    <w:rsid w:val="00900B73"/>
    <w:rsid w:val="00901DD2"/>
    <w:rsid w:val="00902286"/>
    <w:rsid w:val="0090245C"/>
    <w:rsid w:val="00902F4F"/>
    <w:rsid w:val="0090302C"/>
    <w:rsid w:val="00903161"/>
    <w:rsid w:val="0090371D"/>
    <w:rsid w:val="00904510"/>
    <w:rsid w:val="00904D03"/>
    <w:rsid w:val="009066B1"/>
    <w:rsid w:val="00906892"/>
    <w:rsid w:val="00907BF2"/>
    <w:rsid w:val="00907F56"/>
    <w:rsid w:val="00907F6A"/>
    <w:rsid w:val="0091156A"/>
    <w:rsid w:val="00911A26"/>
    <w:rsid w:val="00912118"/>
    <w:rsid w:val="009126C8"/>
    <w:rsid w:val="009129AD"/>
    <w:rsid w:val="00913374"/>
    <w:rsid w:val="009133F7"/>
    <w:rsid w:val="009137B4"/>
    <w:rsid w:val="009144BA"/>
    <w:rsid w:val="009149F2"/>
    <w:rsid w:val="00915285"/>
    <w:rsid w:val="00915A6E"/>
    <w:rsid w:val="009167BC"/>
    <w:rsid w:val="00916856"/>
    <w:rsid w:val="00916894"/>
    <w:rsid w:val="00917B5E"/>
    <w:rsid w:val="00917E6D"/>
    <w:rsid w:val="009207E2"/>
    <w:rsid w:val="00920B78"/>
    <w:rsid w:val="00920CD0"/>
    <w:rsid w:val="00922D23"/>
    <w:rsid w:val="009240F3"/>
    <w:rsid w:val="009244FF"/>
    <w:rsid w:val="00924AA2"/>
    <w:rsid w:val="00924D66"/>
    <w:rsid w:val="0092558A"/>
    <w:rsid w:val="009257ED"/>
    <w:rsid w:val="00926334"/>
    <w:rsid w:val="009268E9"/>
    <w:rsid w:val="00926902"/>
    <w:rsid w:val="00930321"/>
    <w:rsid w:val="00930967"/>
    <w:rsid w:val="00930BC1"/>
    <w:rsid w:val="00930CCA"/>
    <w:rsid w:val="00931126"/>
    <w:rsid w:val="00931EBF"/>
    <w:rsid w:val="00932359"/>
    <w:rsid w:val="00933233"/>
    <w:rsid w:val="00933365"/>
    <w:rsid w:val="009344FD"/>
    <w:rsid w:val="00934A6C"/>
    <w:rsid w:val="009355D2"/>
    <w:rsid w:val="00936AB8"/>
    <w:rsid w:val="00941BB6"/>
    <w:rsid w:val="00942917"/>
    <w:rsid w:val="00942BF4"/>
    <w:rsid w:val="00943159"/>
    <w:rsid w:val="00943CCC"/>
    <w:rsid w:val="009447E6"/>
    <w:rsid w:val="00944A4E"/>
    <w:rsid w:val="00944B4F"/>
    <w:rsid w:val="009460FF"/>
    <w:rsid w:val="00946D74"/>
    <w:rsid w:val="0095153B"/>
    <w:rsid w:val="00951F98"/>
    <w:rsid w:val="00953DB4"/>
    <w:rsid w:val="009545BF"/>
    <w:rsid w:val="00954AD5"/>
    <w:rsid w:val="00957A7E"/>
    <w:rsid w:val="00961427"/>
    <w:rsid w:val="00961920"/>
    <w:rsid w:val="00961D19"/>
    <w:rsid w:val="00962A97"/>
    <w:rsid w:val="00962D63"/>
    <w:rsid w:val="00962E5D"/>
    <w:rsid w:val="0096345C"/>
    <w:rsid w:val="00963783"/>
    <w:rsid w:val="00963A11"/>
    <w:rsid w:val="00964C22"/>
    <w:rsid w:val="00964E5A"/>
    <w:rsid w:val="00965163"/>
    <w:rsid w:val="00965196"/>
    <w:rsid w:val="00965219"/>
    <w:rsid w:val="0096736E"/>
    <w:rsid w:val="0096784B"/>
    <w:rsid w:val="009678FD"/>
    <w:rsid w:val="00967AF5"/>
    <w:rsid w:val="00967CCA"/>
    <w:rsid w:val="00970294"/>
    <w:rsid w:val="009713AC"/>
    <w:rsid w:val="009726D4"/>
    <w:rsid w:val="00974436"/>
    <w:rsid w:val="00974503"/>
    <w:rsid w:val="00974B76"/>
    <w:rsid w:val="009750B7"/>
    <w:rsid w:val="00975F70"/>
    <w:rsid w:val="00976060"/>
    <w:rsid w:val="00976576"/>
    <w:rsid w:val="00977067"/>
    <w:rsid w:val="0097739F"/>
    <w:rsid w:val="00977932"/>
    <w:rsid w:val="009801E4"/>
    <w:rsid w:val="0098024D"/>
    <w:rsid w:val="00981571"/>
    <w:rsid w:val="00981A3F"/>
    <w:rsid w:val="00982D13"/>
    <w:rsid w:val="00982DBD"/>
    <w:rsid w:val="00984C53"/>
    <w:rsid w:val="00984CE4"/>
    <w:rsid w:val="009856D5"/>
    <w:rsid w:val="00985C5C"/>
    <w:rsid w:val="00986418"/>
    <w:rsid w:val="009871FA"/>
    <w:rsid w:val="00987657"/>
    <w:rsid w:val="0098794C"/>
    <w:rsid w:val="00987FE9"/>
    <w:rsid w:val="00990543"/>
    <w:rsid w:val="00990C6F"/>
    <w:rsid w:val="00992DA9"/>
    <w:rsid w:val="00993A2A"/>
    <w:rsid w:val="00994105"/>
    <w:rsid w:val="00994387"/>
    <w:rsid w:val="00994679"/>
    <w:rsid w:val="00994D08"/>
    <w:rsid w:val="00995C71"/>
    <w:rsid w:val="009961FC"/>
    <w:rsid w:val="00996F92"/>
    <w:rsid w:val="00997C54"/>
    <w:rsid w:val="00997D8A"/>
    <w:rsid w:val="009A082B"/>
    <w:rsid w:val="009A0F94"/>
    <w:rsid w:val="009A1251"/>
    <w:rsid w:val="009A2015"/>
    <w:rsid w:val="009A205F"/>
    <w:rsid w:val="009A211F"/>
    <w:rsid w:val="009A2560"/>
    <w:rsid w:val="009A2896"/>
    <w:rsid w:val="009A29A0"/>
    <w:rsid w:val="009A3A31"/>
    <w:rsid w:val="009A3A8A"/>
    <w:rsid w:val="009A41D4"/>
    <w:rsid w:val="009A7391"/>
    <w:rsid w:val="009A7812"/>
    <w:rsid w:val="009A7E4D"/>
    <w:rsid w:val="009B03D3"/>
    <w:rsid w:val="009B1015"/>
    <w:rsid w:val="009B1510"/>
    <w:rsid w:val="009B1A4B"/>
    <w:rsid w:val="009B272E"/>
    <w:rsid w:val="009B2B2B"/>
    <w:rsid w:val="009B2BEC"/>
    <w:rsid w:val="009B2CFC"/>
    <w:rsid w:val="009B3182"/>
    <w:rsid w:val="009B3AB4"/>
    <w:rsid w:val="009B3D6D"/>
    <w:rsid w:val="009B43AE"/>
    <w:rsid w:val="009B463B"/>
    <w:rsid w:val="009B4AAB"/>
    <w:rsid w:val="009B4E7A"/>
    <w:rsid w:val="009B6BC0"/>
    <w:rsid w:val="009C0E61"/>
    <w:rsid w:val="009C1C42"/>
    <w:rsid w:val="009C1E24"/>
    <w:rsid w:val="009C318A"/>
    <w:rsid w:val="009C3222"/>
    <w:rsid w:val="009C3CEA"/>
    <w:rsid w:val="009C4C1C"/>
    <w:rsid w:val="009C4EE2"/>
    <w:rsid w:val="009C5EB3"/>
    <w:rsid w:val="009C6A79"/>
    <w:rsid w:val="009C7447"/>
    <w:rsid w:val="009D05C8"/>
    <w:rsid w:val="009D0EEB"/>
    <w:rsid w:val="009D1867"/>
    <w:rsid w:val="009D1D6E"/>
    <w:rsid w:val="009D1DB4"/>
    <w:rsid w:val="009D2284"/>
    <w:rsid w:val="009D3F74"/>
    <w:rsid w:val="009D664A"/>
    <w:rsid w:val="009D71E5"/>
    <w:rsid w:val="009D735D"/>
    <w:rsid w:val="009E1695"/>
    <w:rsid w:val="009E17B3"/>
    <w:rsid w:val="009E1925"/>
    <w:rsid w:val="009E1B74"/>
    <w:rsid w:val="009E2944"/>
    <w:rsid w:val="009E2AB6"/>
    <w:rsid w:val="009E2E2F"/>
    <w:rsid w:val="009E2FD1"/>
    <w:rsid w:val="009E36CC"/>
    <w:rsid w:val="009E4027"/>
    <w:rsid w:val="009E435E"/>
    <w:rsid w:val="009E468F"/>
    <w:rsid w:val="009E4BD5"/>
    <w:rsid w:val="009E4C7F"/>
    <w:rsid w:val="009E697A"/>
    <w:rsid w:val="009E7EEF"/>
    <w:rsid w:val="009F06E5"/>
    <w:rsid w:val="009F11D1"/>
    <w:rsid w:val="009F19D4"/>
    <w:rsid w:val="009F32FF"/>
    <w:rsid w:val="009F3396"/>
    <w:rsid w:val="009F35F7"/>
    <w:rsid w:val="009F4108"/>
    <w:rsid w:val="009F440C"/>
    <w:rsid w:val="009F4756"/>
    <w:rsid w:val="009F4AB7"/>
    <w:rsid w:val="009F55C6"/>
    <w:rsid w:val="009F5937"/>
    <w:rsid w:val="009F6091"/>
    <w:rsid w:val="009F66FC"/>
    <w:rsid w:val="009F68CB"/>
    <w:rsid w:val="009F741A"/>
    <w:rsid w:val="00A00383"/>
    <w:rsid w:val="00A028B9"/>
    <w:rsid w:val="00A029CA"/>
    <w:rsid w:val="00A03537"/>
    <w:rsid w:val="00A03612"/>
    <w:rsid w:val="00A03BBB"/>
    <w:rsid w:val="00A03C7F"/>
    <w:rsid w:val="00A046F6"/>
    <w:rsid w:val="00A04AB1"/>
    <w:rsid w:val="00A0574D"/>
    <w:rsid w:val="00A05CD7"/>
    <w:rsid w:val="00A05DF7"/>
    <w:rsid w:val="00A0670A"/>
    <w:rsid w:val="00A06843"/>
    <w:rsid w:val="00A07353"/>
    <w:rsid w:val="00A0750A"/>
    <w:rsid w:val="00A07E32"/>
    <w:rsid w:val="00A103CE"/>
    <w:rsid w:val="00A112A5"/>
    <w:rsid w:val="00A11719"/>
    <w:rsid w:val="00A11972"/>
    <w:rsid w:val="00A13604"/>
    <w:rsid w:val="00A152D5"/>
    <w:rsid w:val="00A16299"/>
    <w:rsid w:val="00A168D6"/>
    <w:rsid w:val="00A179FF"/>
    <w:rsid w:val="00A17CEA"/>
    <w:rsid w:val="00A217F2"/>
    <w:rsid w:val="00A21B97"/>
    <w:rsid w:val="00A245CA"/>
    <w:rsid w:val="00A250DB"/>
    <w:rsid w:val="00A258C0"/>
    <w:rsid w:val="00A2789D"/>
    <w:rsid w:val="00A31F1D"/>
    <w:rsid w:val="00A322D1"/>
    <w:rsid w:val="00A3266D"/>
    <w:rsid w:val="00A33426"/>
    <w:rsid w:val="00A3586B"/>
    <w:rsid w:val="00A358F1"/>
    <w:rsid w:val="00A36010"/>
    <w:rsid w:val="00A36159"/>
    <w:rsid w:val="00A36EDF"/>
    <w:rsid w:val="00A37370"/>
    <w:rsid w:val="00A37B90"/>
    <w:rsid w:val="00A37E02"/>
    <w:rsid w:val="00A37E64"/>
    <w:rsid w:val="00A37F6E"/>
    <w:rsid w:val="00A37FC5"/>
    <w:rsid w:val="00A42344"/>
    <w:rsid w:val="00A433BA"/>
    <w:rsid w:val="00A433E2"/>
    <w:rsid w:val="00A44584"/>
    <w:rsid w:val="00A457FD"/>
    <w:rsid w:val="00A466F1"/>
    <w:rsid w:val="00A46929"/>
    <w:rsid w:val="00A4702A"/>
    <w:rsid w:val="00A51FB7"/>
    <w:rsid w:val="00A5229E"/>
    <w:rsid w:val="00A52555"/>
    <w:rsid w:val="00A54AEC"/>
    <w:rsid w:val="00A54B6D"/>
    <w:rsid w:val="00A554E9"/>
    <w:rsid w:val="00A56D4B"/>
    <w:rsid w:val="00A572BB"/>
    <w:rsid w:val="00A60672"/>
    <w:rsid w:val="00A60746"/>
    <w:rsid w:val="00A6210F"/>
    <w:rsid w:val="00A626E9"/>
    <w:rsid w:val="00A62AAE"/>
    <w:rsid w:val="00A643F8"/>
    <w:rsid w:val="00A66289"/>
    <w:rsid w:val="00A66B5D"/>
    <w:rsid w:val="00A7044A"/>
    <w:rsid w:val="00A7067D"/>
    <w:rsid w:val="00A70DA4"/>
    <w:rsid w:val="00A70FEB"/>
    <w:rsid w:val="00A711E4"/>
    <w:rsid w:val="00A726E2"/>
    <w:rsid w:val="00A74284"/>
    <w:rsid w:val="00A74F2D"/>
    <w:rsid w:val="00A7540D"/>
    <w:rsid w:val="00A75C2B"/>
    <w:rsid w:val="00A766AA"/>
    <w:rsid w:val="00A81B40"/>
    <w:rsid w:val="00A821C4"/>
    <w:rsid w:val="00A829F0"/>
    <w:rsid w:val="00A82D16"/>
    <w:rsid w:val="00A8308B"/>
    <w:rsid w:val="00A834E9"/>
    <w:rsid w:val="00A8362F"/>
    <w:rsid w:val="00A84313"/>
    <w:rsid w:val="00A85421"/>
    <w:rsid w:val="00A874A9"/>
    <w:rsid w:val="00A8774F"/>
    <w:rsid w:val="00A87B84"/>
    <w:rsid w:val="00A87E3F"/>
    <w:rsid w:val="00A90888"/>
    <w:rsid w:val="00A90903"/>
    <w:rsid w:val="00A90D66"/>
    <w:rsid w:val="00A911AB"/>
    <w:rsid w:val="00A92DBB"/>
    <w:rsid w:val="00A92E5E"/>
    <w:rsid w:val="00A92F0E"/>
    <w:rsid w:val="00A93992"/>
    <w:rsid w:val="00A94006"/>
    <w:rsid w:val="00A9405C"/>
    <w:rsid w:val="00A94320"/>
    <w:rsid w:val="00A945D1"/>
    <w:rsid w:val="00A9544D"/>
    <w:rsid w:val="00A963DD"/>
    <w:rsid w:val="00A967BE"/>
    <w:rsid w:val="00A96C79"/>
    <w:rsid w:val="00A9741D"/>
    <w:rsid w:val="00A97A09"/>
    <w:rsid w:val="00AA248C"/>
    <w:rsid w:val="00AA26CE"/>
    <w:rsid w:val="00AA3917"/>
    <w:rsid w:val="00AA3C2E"/>
    <w:rsid w:val="00AA3E6A"/>
    <w:rsid w:val="00AA446B"/>
    <w:rsid w:val="00AA48F7"/>
    <w:rsid w:val="00AA4A5C"/>
    <w:rsid w:val="00AA587E"/>
    <w:rsid w:val="00AA5CE2"/>
    <w:rsid w:val="00AA5E85"/>
    <w:rsid w:val="00AA6221"/>
    <w:rsid w:val="00AA6826"/>
    <w:rsid w:val="00AA698B"/>
    <w:rsid w:val="00AA6E41"/>
    <w:rsid w:val="00AA7358"/>
    <w:rsid w:val="00AB14C9"/>
    <w:rsid w:val="00AB16AA"/>
    <w:rsid w:val="00AB345F"/>
    <w:rsid w:val="00AB4E07"/>
    <w:rsid w:val="00AB5DF1"/>
    <w:rsid w:val="00AB6A95"/>
    <w:rsid w:val="00AB6AE8"/>
    <w:rsid w:val="00AC1275"/>
    <w:rsid w:val="00AC198C"/>
    <w:rsid w:val="00AC2D6A"/>
    <w:rsid w:val="00AC3133"/>
    <w:rsid w:val="00AC332C"/>
    <w:rsid w:val="00AC3EF4"/>
    <w:rsid w:val="00AC4254"/>
    <w:rsid w:val="00AC44F5"/>
    <w:rsid w:val="00AC49F0"/>
    <w:rsid w:val="00AC4EB5"/>
    <w:rsid w:val="00AC5453"/>
    <w:rsid w:val="00AC67CF"/>
    <w:rsid w:val="00AC68EE"/>
    <w:rsid w:val="00AC76A6"/>
    <w:rsid w:val="00AC7A5F"/>
    <w:rsid w:val="00AD1492"/>
    <w:rsid w:val="00AD161E"/>
    <w:rsid w:val="00AD392B"/>
    <w:rsid w:val="00AD3FE4"/>
    <w:rsid w:val="00AD4B00"/>
    <w:rsid w:val="00AD5620"/>
    <w:rsid w:val="00AD752C"/>
    <w:rsid w:val="00AD7826"/>
    <w:rsid w:val="00AD7D28"/>
    <w:rsid w:val="00AE05A7"/>
    <w:rsid w:val="00AE0B16"/>
    <w:rsid w:val="00AE0FB3"/>
    <w:rsid w:val="00AE33AD"/>
    <w:rsid w:val="00AE4320"/>
    <w:rsid w:val="00AE5662"/>
    <w:rsid w:val="00AE5982"/>
    <w:rsid w:val="00AE5CF0"/>
    <w:rsid w:val="00AE61E0"/>
    <w:rsid w:val="00AF033D"/>
    <w:rsid w:val="00AF04DF"/>
    <w:rsid w:val="00AF3C3C"/>
    <w:rsid w:val="00AF42B1"/>
    <w:rsid w:val="00AF442C"/>
    <w:rsid w:val="00AF4627"/>
    <w:rsid w:val="00AF483C"/>
    <w:rsid w:val="00AF4D6A"/>
    <w:rsid w:val="00AF74CA"/>
    <w:rsid w:val="00B00372"/>
    <w:rsid w:val="00B0133C"/>
    <w:rsid w:val="00B01A2B"/>
    <w:rsid w:val="00B02F48"/>
    <w:rsid w:val="00B03879"/>
    <w:rsid w:val="00B04D29"/>
    <w:rsid w:val="00B05305"/>
    <w:rsid w:val="00B065DA"/>
    <w:rsid w:val="00B06C8B"/>
    <w:rsid w:val="00B07CC7"/>
    <w:rsid w:val="00B10250"/>
    <w:rsid w:val="00B10D92"/>
    <w:rsid w:val="00B111A0"/>
    <w:rsid w:val="00B11634"/>
    <w:rsid w:val="00B12082"/>
    <w:rsid w:val="00B12BD3"/>
    <w:rsid w:val="00B12C10"/>
    <w:rsid w:val="00B1381E"/>
    <w:rsid w:val="00B143AF"/>
    <w:rsid w:val="00B144DC"/>
    <w:rsid w:val="00B15639"/>
    <w:rsid w:val="00B15A81"/>
    <w:rsid w:val="00B1650A"/>
    <w:rsid w:val="00B16AF2"/>
    <w:rsid w:val="00B22BE5"/>
    <w:rsid w:val="00B23542"/>
    <w:rsid w:val="00B247B4"/>
    <w:rsid w:val="00B24F30"/>
    <w:rsid w:val="00B24FC9"/>
    <w:rsid w:val="00B26547"/>
    <w:rsid w:val="00B30132"/>
    <w:rsid w:val="00B3065A"/>
    <w:rsid w:val="00B3078F"/>
    <w:rsid w:val="00B309DA"/>
    <w:rsid w:val="00B3138E"/>
    <w:rsid w:val="00B31637"/>
    <w:rsid w:val="00B31644"/>
    <w:rsid w:val="00B31D24"/>
    <w:rsid w:val="00B31D42"/>
    <w:rsid w:val="00B34B0B"/>
    <w:rsid w:val="00B35064"/>
    <w:rsid w:val="00B36575"/>
    <w:rsid w:val="00B376BC"/>
    <w:rsid w:val="00B37707"/>
    <w:rsid w:val="00B37812"/>
    <w:rsid w:val="00B40BE3"/>
    <w:rsid w:val="00B41110"/>
    <w:rsid w:val="00B41F95"/>
    <w:rsid w:val="00B42470"/>
    <w:rsid w:val="00B43C5F"/>
    <w:rsid w:val="00B441BB"/>
    <w:rsid w:val="00B44F81"/>
    <w:rsid w:val="00B45217"/>
    <w:rsid w:val="00B4565B"/>
    <w:rsid w:val="00B46652"/>
    <w:rsid w:val="00B4717A"/>
    <w:rsid w:val="00B476C7"/>
    <w:rsid w:val="00B478DC"/>
    <w:rsid w:val="00B47B8C"/>
    <w:rsid w:val="00B501D5"/>
    <w:rsid w:val="00B506AF"/>
    <w:rsid w:val="00B50DCB"/>
    <w:rsid w:val="00B50E8C"/>
    <w:rsid w:val="00B51402"/>
    <w:rsid w:val="00B51906"/>
    <w:rsid w:val="00B51B56"/>
    <w:rsid w:val="00B52109"/>
    <w:rsid w:val="00B527AF"/>
    <w:rsid w:val="00B53366"/>
    <w:rsid w:val="00B53450"/>
    <w:rsid w:val="00B54EFC"/>
    <w:rsid w:val="00B558BD"/>
    <w:rsid w:val="00B56A17"/>
    <w:rsid w:val="00B56B2C"/>
    <w:rsid w:val="00B57845"/>
    <w:rsid w:val="00B57CD5"/>
    <w:rsid w:val="00B60480"/>
    <w:rsid w:val="00B607B2"/>
    <w:rsid w:val="00B62175"/>
    <w:rsid w:val="00B62ED5"/>
    <w:rsid w:val="00B63904"/>
    <w:rsid w:val="00B63ECE"/>
    <w:rsid w:val="00B643DC"/>
    <w:rsid w:val="00B650CE"/>
    <w:rsid w:val="00B65331"/>
    <w:rsid w:val="00B65B79"/>
    <w:rsid w:val="00B65D3D"/>
    <w:rsid w:val="00B66049"/>
    <w:rsid w:val="00B6606A"/>
    <w:rsid w:val="00B662A8"/>
    <w:rsid w:val="00B66FB4"/>
    <w:rsid w:val="00B674E5"/>
    <w:rsid w:val="00B67970"/>
    <w:rsid w:val="00B70238"/>
    <w:rsid w:val="00B70603"/>
    <w:rsid w:val="00B711FA"/>
    <w:rsid w:val="00B71CDC"/>
    <w:rsid w:val="00B72092"/>
    <w:rsid w:val="00B7412A"/>
    <w:rsid w:val="00B74AAB"/>
    <w:rsid w:val="00B74E38"/>
    <w:rsid w:val="00B7568C"/>
    <w:rsid w:val="00B75A85"/>
    <w:rsid w:val="00B7602C"/>
    <w:rsid w:val="00B76118"/>
    <w:rsid w:val="00B769C5"/>
    <w:rsid w:val="00B76B20"/>
    <w:rsid w:val="00B7729A"/>
    <w:rsid w:val="00B800D1"/>
    <w:rsid w:val="00B80D6B"/>
    <w:rsid w:val="00B81485"/>
    <w:rsid w:val="00B81489"/>
    <w:rsid w:val="00B81636"/>
    <w:rsid w:val="00B82071"/>
    <w:rsid w:val="00B8247E"/>
    <w:rsid w:val="00B824FC"/>
    <w:rsid w:val="00B82695"/>
    <w:rsid w:val="00B82B69"/>
    <w:rsid w:val="00B8371F"/>
    <w:rsid w:val="00B83A91"/>
    <w:rsid w:val="00B83CF1"/>
    <w:rsid w:val="00B8450C"/>
    <w:rsid w:val="00B8462E"/>
    <w:rsid w:val="00B84D1B"/>
    <w:rsid w:val="00B84DFD"/>
    <w:rsid w:val="00B8519F"/>
    <w:rsid w:val="00B8524D"/>
    <w:rsid w:val="00B855EA"/>
    <w:rsid w:val="00B8685B"/>
    <w:rsid w:val="00B86B67"/>
    <w:rsid w:val="00B86EB0"/>
    <w:rsid w:val="00B8791D"/>
    <w:rsid w:val="00B90440"/>
    <w:rsid w:val="00B9081E"/>
    <w:rsid w:val="00B91C7E"/>
    <w:rsid w:val="00B91FA9"/>
    <w:rsid w:val="00B9254D"/>
    <w:rsid w:val="00B92EE3"/>
    <w:rsid w:val="00B9389F"/>
    <w:rsid w:val="00B945EC"/>
    <w:rsid w:val="00B94724"/>
    <w:rsid w:val="00B9483D"/>
    <w:rsid w:val="00B955B8"/>
    <w:rsid w:val="00B96195"/>
    <w:rsid w:val="00B961F1"/>
    <w:rsid w:val="00B96656"/>
    <w:rsid w:val="00B97986"/>
    <w:rsid w:val="00B97E48"/>
    <w:rsid w:val="00BA0939"/>
    <w:rsid w:val="00BA0C6E"/>
    <w:rsid w:val="00BA1925"/>
    <w:rsid w:val="00BA2C0F"/>
    <w:rsid w:val="00BA30AD"/>
    <w:rsid w:val="00BA3815"/>
    <w:rsid w:val="00BA3F63"/>
    <w:rsid w:val="00BA54DD"/>
    <w:rsid w:val="00BA5E98"/>
    <w:rsid w:val="00BA5F9D"/>
    <w:rsid w:val="00BA6EF7"/>
    <w:rsid w:val="00BB0391"/>
    <w:rsid w:val="00BB094D"/>
    <w:rsid w:val="00BB0A23"/>
    <w:rsid w:val="00BB1FEF"/>
    <w:rsid w:val="00BB20F9"/>
    <w:rsid w:val="00BB25DF"/>
    <w:rsid w:val="00BB27CA"/>
    <w:rsid w:val="00BB2DD5"/>
    <w:rsid w:val="00BB57B7"/>
    <w:rsid w:val="00BB626C"/>
    <w:rsid w:val="00BB63FD"/>
    <w:rsid w:val="00BB7530"/>
    <w:rsid w:val="00BC01CA"/>
    <w:rsid w:val="00BC05D1"/>
    <w:rsid w:val="00BC09E1"/>
    <w:rsid w:val="00BC0A4A"/>
    <w:rsid w:val="00BC111C"/>
    <w:rsid w:val="00BC1D98"/>
    <w:rsid w:val="00BC278C"/>
    <w:rsid w:val="00BC2E39"/>
    <w:rsid w:val="00BC2EE7"/>
    <w:rsid w:val="00BC336D"/>
    <w:rsid w:val="00BC3B50"/>
    <w:rsid w:val="00BC4406"/>
    <w:rsid w:val="00BC49B4"/>
    <w:rsid w:val="00BC58A7"/>
    <w:rsid w:val="00BC64B5"/>
    <w:rsid w:val="00BC704A"/>
    <w:rsid w:val="00BC70B2"/>
    <w:rsid w:val="00BC759A"/>
    <w:rsid w:val="00BC76C8"/>
    <w:rsid w:val="00BC7A5A"/>
    <w:rsid w:val="00BD0CA6"/>
    <w:rsid w:val="00BD10B1"/>
    <w:rsid w:val="00BD1B14"/>
    <w:rsid w:val="00BD2308"/>
    <w:rsid w:val="00BD2FEB"/>
    <w:rsid w:val="00BD3618"/>
    <w:rsid w:val="00BD36D3"/>
    <w:rsid w:val="00BD3F66"/>
    <w:rsid w:val="00BD4161"/>
    <w:rsid w:val="00BD611F"/>
    <w:rsid w:val="00BD619F"/>
    <w:rsid w:val="00BD7B29"/>
    <w:rsid w:val="00BE0E81"/>
    <w:rsid w:val="00BE12C8"/>
    <w:rsid w:val="00BE175D"/>
    <w:rsid w:val="00BE2DE1"/>
    <w:rsid w:val="00BE2E4C"/>
    <w:rsid w:val="00BE2FA7"/>
    <w:rsid w:val="00BE3072"/>
    <w:rsid w:val="00BE40B7"/>
    <w:rsid w:val="00BE46C8"/>
    <w:rsid w:val="00BE4DA2"/>
    <w:rsid w:val="00BE692C"/>
    <w:rsid w:val="00BE6E9D"/>
    <w:rsid w:val="00BE72A2"/>
    <w:rsid w:val="00BF15ED"/>
    <w:rsid w:val="00BF298E"/>
    <w:rsid w:val="00BF360F"/>
    <w:rsid w:val="00BF39C5"/>
    <w:rsid w:val="00BF4115"/>
    <w:rsid w:val="00BF41E0"/>
    <w:rsid w:val="00BF5791"/>
    <w:rsid w:val="00BF5C07"/>
    <w:rsid w:val="00BF650A"/>
    <w:rsid w:val="00BF7234"/>
    <w:rsid w:val="00BF73EB"/>
    <w:rsid w:val="00BF76D8"/>
    <w:rsid w:val="00C005F2"/>
    <w:rsid w:val="00C00A26"/>
    <w:rsid w:val="00C02589"/>
    <w:rsid w:val="00C02BDF"/>
    <w:rsid w:val="00C0318E"/>
    <w:rsid w:val="00C03E14"/>
    <w:rsid w:val="00C03E52"/>
    <w:rsid w:val="00C03FDD"/>
    <w:rsid w:val="00C046EB"/>
    <w:rsid w:val="00C05117"/>
    <w:rsid w:val="00C060AA"/>
    <w:rsid w:val="00C06139"/>
    <w:rsid w:val="00C0659D"/>
    <w:rsid w:val="00C068B5"/>
    <w:rsid w:val="00C10731"/>
    <w:rsid w:val="00C10BDD"/>
    <w:rsid w:val="00C10D8C"/>
    <w:rsid w:val="00C11D94"/>
    <w:rsid w:val="00C11DC6"/>
    <w:rsid w:val="00C142A2"/>
    <w:rsid w:val="00C144B6"/>
    <w:rsid w:val="00C14DCE"/>
    <w:rsid w:val="00C1575A"/>
    <w:rsid w:val="00C172AB"/>
    <w:rsid w:val="00C20270"/>
    <w:rsid w:val="00C207EF"/>
    <w:rsid w:val="00C21066"/>
    <w:rsid w:val="00C21484"/>
    <w:rsid w:val="00C2178A"/>
    <w:rsid w:val="00C21AB4"/>
    <w:rsid w:val="00C21C7F"/>
    <w:rsid w:val="00C24814"/>
    <w:rsid w:val="00C24A7A"/>
    <w:rsid w:val="00C26145"/>
    <w:rsid w:val="00C27487"/>
    <w:rsid w:val="00C30146"/>
    <w:rsid w:val="00C302CD"/>
    <w:rsid w:val="00C30503"/>
    <w:rsid w:val="00C3065B"/>
    <w:rsid w:val="00C310D3"/>
    <w:rsid w:val="00C31312"/>
    <w:rsid w:val="00C31D46"/>
    <w:rsid w:val="00C31EF5"/>
    <w:rsid w:val="00C32682"/>
    <w:rsid w:val="00C33053"/>
    <w:rsid w:val="00C33282"/>
    <w:rsid w:val="00C33760"/>
    <w:rsid w:val="00C34457"/>
    <w:rsid w:val="00C3446D"/>
    <w:rsid w:val="00C35645"/>
    <w:rsid w:val="00C35FC2"/>
    <w:rsid w:val="00C36CAE"/>
    <w:rsid w:val="00C408CF"/>
    <w:rsid w:val="00C4107C"/>
    <w:rsid w:val="00C418C7"/>
    <w:rsid w:val="00C41F54"/>
    <w:rsid w:val="00C42938"/>
    <w:rsid w:val="00C429D6"/>
    <w:rsid w:val="00C445A9"/>
    <w:rsid w:val="00C454AB"/>
    <w:rsid w:val="00C455CF"/>
    <w:rsid w:val="00C45B06"/>
    <w:rsid w:val="00C45C4E"/>
    <w:rsid w:val="00C45E08"/>
    <w:rsid w:val="00C46984"/>
    <w:rsid w:val="00C46FB1"/>
    <w:rsid w:val="00C4728A"/>
    <w:rsid w:val="00C47BE5"/>
    <w:rsid w:val="00C5058D"/>
    <w:rsid w:val="00C509B9"/>
    <w:rsid w:val="00C521C8"/>
    <w:rsid w:val="00C52E98"/>
    <w:rsid w:val="00C53311"/>
    <w:rsid w:val="00C5556F"/>
    <w:rsid w:val="00C5584A"/>
    <w:rsid w:val="00C55CC6"/>
    <w:rsid w:val="00C55D4D"/>
    <w:rsid w:val="00C56292"/>
    <w:rsid w:val="00C569B9"/>
    <w:rsid w:val="00C56E63"/>
    <w:rsid w:val="00C570D9"/>
    <w:rsid w:val="00C573CD"/>
    <w:rsid w:val="00C57B73"/>
    <w:rsid w:val="00C57DE2"/>
    <w:rsid w:val="00C6022D"/>
    <w:rsid w:val="00C60A27"/>
    <w:rsid w:val="00C61363"/>
    <w:rsid w:val="00C622FA"/>
    <w:rsid w:val="00C6248B"/>
    <w:rsid w:val="00C63A4B"/>
    <w:rsid w:val="00C64395"/>
    <w:rsid w:val="00C64E5E"/>
    <w:rsid w:val="00C67CB6"/>
    <w:rsid w:val="00C70444"/>
    <w:rsid w:val="00C70789"/>
    <w:rsid w:val="00C709CD"/>
    <w:rsid w:val="00C72103"/>
    <w:rsid w:val="00C7471C"/>
    <w:rsid w:val="00C74C95"/>
    <w:rsid w:val="00C7549F"/>
    <w:rsid w:val="00C77AA4"/>
    <w:rsid w:val="00C8057A"/>
    <w:rsid w:val="00C80DBD"/>
    <w:rsid w:val="00C82577"/>
    <w:rsid w:val="00C82AAE"/>
    <w:rsid w:val="00C82EC2"/>
    <w:rsid w:val="00C839AF"/>
    <w:rsid w:val="00C85CCF"/>
    <w:rsid w:val="00C85EC2"/>
    <w:rsid w:val="00C86BC7"/>
    <w:rsid w:val="00C86CE3"/>
    <w:rsid w:val="00C86F21"/>
    <w:rsid w:val="00C871FC"/>
    <w:rsid w:val="00C8757A"/>
    <w:rsid w:val="00C87947"/>
    <w:rsid w:val="00C907AD"/>
    <w:rsid w:val="00C908B5"/>
    <w:rsid w:val="00C92504"/>
    <w:rsid w:val="00C925AE"/>
    <w:rsid w:val="00C92E38"/>
    <w:rsid w:val="00C9330C"/>
    <w:rsid w:val="00C9343C"/>
    <w:rsid w:val="00C94497"/>
    <w:rsid w:val="00C9458F"/>
    <w:rsid w:val="00C9471A"/>
    <w:rsid w:val="00C95BEF"/>
    <w:rsid w:val="00C96DFB"/>
    <w:rsid w:val="00CA0AE6"/>
    <w:rsid w:val="00CA14BC"/>
    <w:rsid w:val="00CA2232"/>
    <w:rsid w:val="00CA2378"/>
    <w:rsid w:val="00CA24DF"/>
    <w:rsid w:val="00CA38D4"/>
    <w:rsid w:val="00CA59F5"/>
    <w:rsid w:val="00CA69B5"/>
    <w:rsid w:val="00CA6BFD"/>
    <w:rsid w:val="00CA7229"/>
    <w:rsid w:val="00CA7577"/>
    <w:rsid w:val="00CA7678"/>
    <w:rsid w:val="00CB05C8"/>
    <w:rsid w:val="00CB1B38"/>
    <w:rsid w:val="00CB2463"/>
    <w:rsid w:val="00CB3A44"/>
    <w:rsid w:val="00CB3BAA"/>
    <w:rsid w:val="00CB3FDB"/>
    <w:rsid w:val="00CB4403"/>
    <w:rsid w:val="00CB4902"/>
    <w:rsid w:val="00CB5227"/>
    <w:rsid w:val="00CB57F8"/>
    <w:rsid w:val="00CB5E6E"/>
    <w:rsid w:val="00CB6231"/>
    <w:rsid w:val="00CB75ED"/>
    <w:rsid w:val="00CB7906"/>
    <w:rsid w:val="00CC0B73"/>
    <w:rsid w:val="00CC1051"/>
    <w:rsid w:val="00CC1496"/>
    <w:rsid w:val="00CC149F"/>
    <w:rsid w:val="00CC26C5"/>
    <w:rsid w:val="00CC289A"/>
    <w:rsid w:val="00CC2BF6"/>
    <w:rsid w:val="00CC4E58"/>
    <w:rsid w:val="00CC51E4"/>
    <w:rsid w:val="00CC5A17"/>
    <w:rsid w:val="00CC5F3B"/>
    <w:rsid w:val="00CC625E"/>
    <w:rsid w:val="00CC70D8"/>
    <w:rsid w:val="00CC7222"/>
    <w:rsid w:val="00CC7302"/>
    <w:rsid w:val="00CD038B"/>
    <w:rsid w:val="00CD0681"/>
    <w:rsid w:val="00CD1366"/>
    <w:rsid w:val="00CD14FA"/>
    <w:rsid w:val="00CD208C"/>
    <w:rsid w:val="00CD20A6"/>
    <w:rsid w:val="00CD21BD"/>
    <w:rsid w:val="00CD27A6"/>
    <w:rsid w:val="00CD3850"/>
    <w:rsid w:val="00CD3C1F"/>
    <w:rsid w:val="00CD3E62"/>
    <w:rsid w:val="00CD4C43"/>
    <w:rsid w:val="00CD5671"/>
    <w:rsid w:val="00CD5978"/>
    <w:rsid w:val="00CD681A"/>
    <w:rsid w:val="00CD6DFF"/>
    <w:rsid w:val="00CD6E99"/>
    <w:rsid w:val="00CD7333"/>
    <w:rsid w:val="00CD7C5C"/>
    <w:rsid w:val="00CE0107"/>
    <w:rsid w:val="00CE08CE"/>
    <w:rsid w:val="00CE0E35"/>
    <w:rsid w:val="00CE0F46"/>
    <w:rsid w:val="00CE165F"/>
    <w:rsid w:val="00CE2505"/>
    <w:rsid w:val="00CE2FA3"/>
    <w:rsid w:val="00CE34FB"/>
    <w:rsid w:val="00CE4288"/>
    <w:rsid w:val="00CE47A7"/>
    <w:rsid w:val="00CE4F03"/>
    <w:rsid w:val="00CE5A43"/>
    <w:rsid w:val="00CE6A9E"/>
    <w:rsid w:val="00CE718A"/>
    <w:rsid w:val="00CE7BB5"/>
    <w:rsid w:val="00CF014E"/>
    <w:rsid w:val="00CF09FB"/>
    <w:rsid w:val="00CF0A4B"/>
    <w:rsid w:val="00CF0CFA"/>
    <w:rsid w:val="00CF3217"/>
    <w:rsid w:val="00CF4F02"/>
    <w:rsid w:val="00CF5046"/>
    <w:rsid w:val="00CF77F2"/>
    <w:rsid w:val="00D00266"/>
    <w:rsid w:val="00D0099C"/>
    <w:rsid w:val="00D00EE7"/>
    <w:rsid w:val="00D01031"/>
    <w:rsid w:val="00D0349E"/>
    <w:rsid w:val="00D0441C"/>
    <w:rsid w:val="00D06991"/>
    <w:rsid w:val="00D07E75"/>
    <w:rsid w:val="00D10224"/>
    <w:rsid w:val="00D10DC3"/>
    <w:rsid w:val="00D11D26"/>
    <w:rsid w:val="00D12FA1"/>
    <w:rsid w:val="00D167D9"/>
    <w:rsid w:val="00D16E7D"/>
    <w:rsid w:val="00D17582"/>
    <w:rsid w:val="00D2091C"/>
    <w:rsid w:val="00D20C56"/>
    <w:rsid w:val="00D20CDC"/>
    <w:rsid w:val="00D224CC"/>
    <w:rsid w:val="00D252E0"/>
    <w:rsid w:val="00D258D8"/>
    <w:rsid w:val="00D273E0"/>
    <w:rsid w:val="00D30672"/>
    <w:rsid w:val="00D306C2"/>
    <w:rsid w:val="00D307DA"/>
    <w:rsid w:val="00D30B74"/>
    <w:rsid w:val="00D30D0E"/>
    <w:rsid w:val="00D30DE9"/>
    <w:rsid w:val="00D32029"/>
    <w:rsid w:val="00D329EE"/>
    <w:rsid w:val="00D33871"/>
    <w:rsid w:val="00D33AFA"/>
    <w:rsid w:val="00D34E90"/>
    <w:rsid w:val="00D34E9A"/>
    <w:rsid w:val="00D35D3F"/>
    <w:rsid w:val="00D3730C"/>
    <w:rsid w:val="00D37336"/>
    <w:rsid w:val="00D3773C"/>
    <w:rsid w:val="00D37B6E"/>
    <w:rsid w:val="00D402DA"/>
    <w:rsid w:val="00D40687"/>
    <w:rsid w:val="00D40AE4"/>
    <w:rsid w:val="00D41286"/>
    <w:rsid w:val="00D41688"/>
    <w:rsid w:val="00D42729"/>
    <w:rsid w:val="00D436FB"/>
    <w:rsid w:val="00D43A0B"/>
    <w:rsid w:val="00D45839"/>
    <w:rsid w:val="00D46BD9"/>
    <w:rsid w:val="00D47526"/>
    <w:rsid w:val="00D4763E"/>
    <w:rsid w:val="00D47E06"/>
    <w:rsid w:val="00D50A39"/>
    <w:rsid w:val="00D51C1A"/>
    <w:rsid w:val="00D527C7"/>
    <w:rsid w:val="00D52CFD"/>
    <w:rsid w:val="00D5342B"/>
    <w:rsid w:val="00D53852"/>
    <w:rsid w:val="00D547BD"/>
    <w:rsid w:val="00D5487B"/>
    <w:rsid w:val="00D54A29"/>
    <w:rsid w:val="00D5743C"/>
    <w:rsid w:val="00D575EA"/>
    <w:rsid w:val="00D6008F"/>
    <w:rsid w:val="00D60382"/>
    <w:rsid w:val="00D60EF0"/>
    <w:rsid w:val="00D61DF0"/>
    <w:rsid w:val="00D62926"/>
    <w:rsid w:val="00D62A09"/>
    <w:rsid w:val="00D6392F"/>
    <w:rsid w:val="00D63A4F"/>
    <w:rsid w:val="00D655D3"/>
    <w:rsid w:val="00D66BCE"/>
    <w:rsid w:val="00D6707E"/>
    <w:rsid w:val="00D703D5"/>
    <w:rsid w:val="00D70428"/>
    <w:rsid w:val="00D70F4B"/>
    <w:rsid w:val="00D70FAE"/>
    <w:rsid w:val="00D71180"/>
    <w:rsid w:val="00D71E5A"/>
    <w:rsid w:val="00D72152"/>
    <w:rsid w:val="00D74821"/>
    <w:rsid w:val="00D7483B"/>
    <w:rsid w:val="00D749FC"/>
    <w:rsid w:val="00D75189"/>
    <w:rsid w:val="00D75DCC"/>
    <w:rsid w:val="00D75E0D"/>
    <w:rsid w:val="00D76573"/>
    <w:rsid w:val="00D76892"/>
    <w:rsid w:val="00D7744E"/>
    <w:rsid w:val="00D77AEE"/>
    <w:rsid w:val="00D77C67"/>
    <w:rsid w:val="00D81163"/>
    <w:rsid w:val="00D820EB"/>
    <w:rsid w:val="00D82635"/>
    <w:rsid w:val="00D8269E"/>
    <w:rsid w:val="00D832EE"/>
    <w:rsid w:val="00D83E8E"/>
    <w:rsid w:val="00D84B15"/>
    <w:rsid w:val="00D84C1B"/>
    <w:rsid w:val="00D8590C"/>
    <w:rsid w:val="00D861E0"/>
    <w:rsid w:val="00D8649F"/>
    <w:rsid w:val="00D867A3"/>
    <w:rsid w:val="00D870A6"/>
    <w:rsid w:val="00D87CCB"/>
    <w:rsid w:val="00D90664"/>
    <w:rsid w:val="00D9076A"/>
    <w:rsid w:val="00D91A7E"/>
    <w:rsid w:val="00D930D4"/>
    <w:rsid w:val="00D93684"/>
    <w:rsid w:val="00D93C72"/>
    <w:rsid w:val="00D93D9E"/>
    <w:rsid w:val="00D94197"/>
    <w:rsid w:val="00D94634"/>
    <w:rsid w:val="00D948A9"/>
    <w:rsid w:val="00D954FE"/>
    <w:rsid w:val="00D95A4F"/>
    <w:rsid w:val="00D963A5"/>
    <w:rsid w:val="00DA34C8"/>
    <w:rsid w:val="00DA3D2D"/>
    <w:rsid w:val="00DA4692"/>
    <w:rsid w:val="00DA52B0"/>
    <w:rsid w:val="00DA5613"/>
    <w:rsid w:val="00DA5986"/>
    <w:rsid w:val="00DA648C"/>
    <w:rsid w:val="00DA6B54"/>
    <w:rsid w:val="00DA75B5"/>
    <w:rsid w:val="00DA78A1"/>
    <w:rsid w:val="00DB0F14"/>
    <w:rsid w:val="00DB11AF"/>
    <w:rsid w:val="00DB138B"/>
    <w:rsid w:val="00DB21FA"/>
    <w:rsid w:val="00DB2352"/>
    <w:rsid w:val="00DB27A9"/>
    <w:rsid w:val="00DB293A"/>
    <w:rsid w:val="00DB29D7"/>
    <w:rsid w:val="00DB2F51"/>
    <w:rsid w:val="00DB41D2"/>
    <w:rsid w:val="00DB45AE"/>
    <w:rsid w:val="00DB4AB7"/>
    <w:rsid w:val="00DB5E4A"/>
    <w:rsid w:val="00DB7D2E"/>
    <w:rsid w:val="00DB7EFC"/>
    <w:rsid w:val="00DC052F"/>
    <w:rsid w:val="00DC0C38"/>
    <w:rsid w:val="00DC1A12"/>
    <w:rsid w:val="00DC2D8F"/>
    <w:rsid w:val="00DC2F94"/>
    <w:rsid w:val="00DC4C00"/>
    <w:rsid w:val="00DC4E48"/>
    <w:rsid w:val="00DC75CA"/>
    <w:rsid w:val="00DC7C76"/>
    <w:rsid w:val="00DD29C0"/>
    <w:rsid w:val="00DD32A6"/>
    <w:rsid w:val="00DD358F"/>
    <w:rsid w:val="00DD3BFD"/>
    <w:rsid w:val="00DD4344"/>
    <w:rsid w:val="00DD4A1F"/>
    <w:rsid w:val="00DD4AEF"/>
    <w:rsid w:val="00DD54F4"/>
    <w:rsid w:val="00DD5A2F"/>
    <w:rsid w:val="00DD742B"/>
    <w:rsid w:val="00DE146F"/>
    <w:rsid w:val="00DE1986"/>
    <w:rsid w:val="00DE2171"/>
    <w:rsid w:val="00DE39D7"/>
    <w:rsid w:val="00DE56AD"/>
    <w:rsid w:val="00DE635A"/>
    <w:rsid w:val="00DE79AD"/>
    <w:rsid w:val="00DE7C7C"/>
    <w:rsid w:val="00DF0009"/>
    <w:rsid w:val="00DF04EB"/>
    <w:rsid w:val="00DF0A33"/>
    <w:rsid w:val="00DF0B53"/>
    <w:rsid w:val="00DF15B0"/>
    <w:rsid w:val="00DF16AC"/>
    <w:rsid w:val="00DF2E4B"/>
    <w:rsid w:val="00DF44DB"/>
    <w:rsid w:val="00DF5FBE"/>
    <w:rsid w:val="00DF6BD6"/>
    <w:rsid w:val="00E022E3"/>
    <w:rsid w:val="00E02E52"/>
    <w:rsid w:val="00E0329F"/>
    <w:rsid w:val="00E03B7C"/>
    <w:rsid w:val="00E03C43"/>
    <w:rsid w:val="00E052C6"/>
    <w:rsid w:val="00E05317"/>
    <w:rsid w:val="00E05B86"/>
    <w:rsid w:val="00E06D79"/>
    <w:rsid w:val="00E0795C"/>
    <w:rsid w:val="00E10773"/>
    <w:rsid w:val="00E10BBD"/>
    <w:rsid w:val="00E10FC0"/>
    <w:rsid w:val="00E12342"/>
    <w:rsid w:val="00E12E21"/>
    <w:rsid w:val="00E1420C"/>
    <w:rsid w:val="00E14777"/>
    <w:rsid w:val="00E14C1A"/>
    <w:rsid w:val="00E16AF7"/>
    <w:rsid w:val="00E17E2D"/>
    <w:rsid w:val="00E202A2"/>
    <w:rsid w:val="00E210CA"/>
    <w:rsid w:val="00E2142D"/>
    <w:rsid w:val="00E2226D"/>
    <w:rsid w:val="00E225AC"/>
    <w:rsid w:val="00E225C2"/>
    <w:rsid w:val="00E23E15"/>
    <w:rsid w:val="00E24DC2"/>
    <w:rsid w:val="00E2507D"/>
    <w:rsid w:val="00E253A3"/>
    <w:rsid w:val="00E26609"/>
    <w:rsid w:val="00E27EDA"/>
    <w:rsid w:val="00E30427"/>
    <w:rsid w:val="00E30992"/>
    <w:rsid w:val="00E31125"/>
    <w:rsid w:val="00E31139"/>
    <w:rsid w:val="00E31A1A"/>
    <w:rsid w:val="00E32D1F"/>
    <w:rsid w:val="00E3335D"/>
    <w:rsid w:val="00E335A2"/>
    <w:rsid w:val="00E343C3"/>
    <w:rsid w:val="00E372A4"/>
    <w:rsid w:val="00E40104"/>
    <w:rsid w:val="00E4037A"/>
    <w:rsid w:val="00E405E5"/>
    <w:rsid w:val="00E40CBB"/>
    <w:rsid w:val="00E42DC5"/>
    <w:rsid w:val="00E43035"/>
    <w:rsid w:val="00E45F18"/>
    <w:rsid w:val="00E46813"/>
    <w:rsid w:val="00E513DE"/>
    <w:rsid w:val="00E52A17"/>
    <w:rsid w:val="00E52FFD"/>
    <w:rsid w:val="00E55ADD"/>
    <w:rsid w:val="00E565C8"/>
    <w:rsid w:val="00E57308"/>
    <w:rsid w:val="00E57986"/>
    <w:rsid w:val="00E615C3"/>
    <w:rsid w:val="00E62E93"/>
    <w:rsid w:val="00E636A1"/>
    <w:rsid w:val="00E64274"/>
    <w:rsid w:val="00E644D3"/>
    <w:rsid w:val="00E6596F"/>
    <w:rsid w:val="00E65C47"/>
    <w:rsid w:val="00E66706"/>
    <w:rsid w:val="00E66DEC"/>
    <w:rsid w:val="00E67DFF"/>
    <w:rsid w:val="00E704C3"/>
    <w:rsid w:val="00E718D8"/>
    <w:rsid w:val="00E72E91"/>
    <w:rsid w:val="00E738A2"/>
    <w:rsid w:val="00E73F06"/>
    <w:rsid w:val="00E742EF"/>
    <w:rsid w:val="00E74EB1"/>
    <w:rsid w:val="00E767F3"/>
    <w:rsid w:val="00E768DC"/>
    <w:rsid w:val="00E7745B"/>
    <w:rsid w:val="00E7758A"/>
    <w:rsid w:val="00E81203"/>
    <w:rsid w:val="00E81537"/>
    <w:rsid w:val="00E82775"/>
    <w:rsid w:val="00E827D1"/>
    <w:rsid w:val="00E82E2E"/>
    <w:rsid w:val="00E84833"/>
    <w:rsid w:val="00E84D02"/>
    <w:rsid w:val="00E857E7"/>
    <w:rsid w:val="00E85B18"/>
    <w:rsid w:val="00E86900"/>
    <w:rsid w:val="00E8720E"/>
    <w:rsid w:val="00E876FA"/>
    <w:rsid w:val="00E879D1"/>
    <w:rsid w:val="00E87E27"/>
    <w:rsid w:val="00E9140C"/>
    <w:rsid w:val="00E917C1"/>
    <w:rsid w:val="00E91FC6"/>
    <w:rsid w:val="00E92254"/>
    <w:rsid w:val="00E92F23"/>
    <w:rsid w:val="00E94756"/>
    <w:rsid w:val="00E95B5F"/>
    <w:rsid w:val="00E95C89"/>
    <w:rsid w:val="00E95E5F"/>
    <w:rsid w:val="00E95FF9"/>
    <w:rsid w:val="00E966C7"/>
    <w:rsid w:val="00E9733C"/>
    <w:rsid w:val="00E97AFD"/>
    <w:rsid w:val="00EA07AA"/>
    <w:rsid w:val="00EA2915"/>
    <w:rsid w:val="00EA39E8"/>
    <w:rsid w:val="00EA5644"/>
    <w:rsid w:val="00EA622F"/>
    <w:rsid w:val="00EA6589"/>
    <w:rsid w:val="00EA730A"/>
    <w:rsid w:val="00EB1785"/>
    <w:rsid w:val="00EB504C"/>
    <w:rsid w:val="00EB537F"/>
    <w:rsid w:val="00EB5AC5"/>
    <w:rsid w:val="00EB5F2F"/>
    <w:rsid w:val="00EB7741"/>
    <w:rsid w:val="00EC10F6"/>
    <w:rsid w:val="00EC2395"/>
    <w:rsid w:val="00EC23EE"/>
    <w:rsid w:val="00EC2B04"/>
    <w:rsid w:val="00EC2B69"/>
    <w:rsid w:val="00EC3107"/>
    <w:rsid w:val="00EC349F"/>
    <w:rsid w:val="00EC452E"/>
    <w:rsid w:val="00EC54F3"/>
    <w:rsid w:val="00EC59AD"/>
    <w:rsid w:val="00EC5FD4"/>
    <w:rsid w:val="00EC6074"/>
    <w:rsid w:val="00EC70DF"/>
    <w:rsid w:val="00ED0584"/>
    <w:rsid w:val="00ED0E09"/>
    <w:rsid w:val="00ED1168"/>
    <w:rsid w:val="00ED1BF8"/>
    <w:rsid w:val="00ED1D57"/>
    <w:rsid w:val="00ED1D5F"/>
    <w:rsid w:val="00ED314D"/>
    <w:rsid w:val="00ED34C7"/>
    <w:rsid w:val="00ED4C0D"/>
    <w:rsid w:val="00ED67B1"/>
    <w:rsid w:val="00ED6960"/>
    <w:rsid w:val="00ED6FF6"/>
    <w:rsid w:val="00ED721B"/>
    <w:rsid w:val="00ED7DE0"/>
    <w:rsid w:val="00ED7FF7"/>
    <w:rsid w:val="00EE0046"/>
    <w:rsid w:val="00EE05D9"/>
    <w:rsid w:val="00EE0B0D"/>
    <w:rsid w:val="00EE1A38"/>
    <w:rsid w:val="00EE1B30"/>
    <w:rsid w:val="00EE1EFD"/>
    <w:rsid w:val="00EE24AB"/>
    <w:rsid w:val="00EE2500"/>
    <w:rsid w:val="00EE2AB4"/>
    <w:rsid w:val="00EE4520"/>
    <w:rsid w:val="00EE4F99"/>
    <w:rsid w:val="00EE5469"/>
    <w:rsid w:val="00EE5D39"/>
    <w:rsid w:val="00EE685D"/>
    <w:rsid w:val="00EE6A79"/>
    <w:rsid w:val="00EE716E"/>
    <w:rsid w:val="00EE7A8C"/>
    <w:rsid w:val="00EF0637"/>
    <w:rsid w:val="00EF1264"/>
    <w:rsid w:val="00EF13CA"/>
    <w:rsid w:val="00EF14CF"/>
    <w:rsid w:val="00EF1559"/>
    <w:rsid w:val="00EF16E0"/>
    <w:rsid w:val="00EF1864"/>
    <w:rsid w:val="00EF1AE1"/>
    <w:rsid w:val="00EF1B21"/>
    <w:rsid w:val="00EF1CBA"/>
    <w:rsid w:val="00EF20A1"/>
    <w:rsid w:val="00EF2DD2"/>
    <w:rsid w:val="00EF2F9A"/>
    <w:rsid w:val="00EF3F73"/>
    <w:rsid w:val="00EF4D7C"/>
    <w:rsid w:val="00EF5024"/>
    <w:rsid w:val="00EF53F2"/>
    <w:rsid w:val="00EF55E3"/>
    <w:rsid w:val="00EF5751"/>
    <w:rsid w:val="00EF5D20"/>
    <w:rsid w:val="00EF65F9"/>
    <w:rsid w:val="00EF6B5E"/>
    <w:rsid w:val="00EF6DC6"/>
    <w:rsid w:val="00EF726E"/>
    <w:rsid w:val="00F00D67"/>
    <w:rsid w:val="00F0271E"/>
    <w:rsid w:val="00F03DBC"/>
    <w:rsid w:val="00F03E31"/>
    <w:rsid w:val="00F03E41"/>
    <w:rsid w:val="00F05645"/>
    <w:rsid w:val="00F05AFA"/>
    <w:rsid w:val="00F06A78"/>
    <w:rsid w:val="00F06D80"/>
    <w:rsid w:val="00F076E2"/>
    <w:rsid w:val="00F07C28"/>
    <w:rsid w:val="00F07DE0"/>
    <w:rsid w:val="00F10020"/>
    <w:rsid w:val="00F10160"/>
    <w:rsid w:val="00F1016F"/>
    <w:rsid w:val="00F1025B"/>
    <w:rsid w:val="00F1061C"/>
    <w:rsid w:val="00F10FF3"/>
    <w:rsid w:val="00F11198"/>
    <w:rsid w:val="00F11331"/>
    <w:rsid w:val="00F12CA7"/>
    <w:rsid w:val="00F13493"/>
    <w:rsid w:val="00F1390E"/>
    <w:rsid w:val="00F13961"/>
    <w:rsid w:val="00F1466E"/>
    <w:rsid w:val="00F148AD"/>
    <w:rsid w:val="00F14AB6"/>
    <w:rsid w:val="00F15B84"/>
    <w:rsid w:val="00F16529"/>
    <w:rsid w:val="00F16832"/>
    <w:rsid w:val="00F174E2"/>
    <w:rsid w:val="00F20674"/>
    <w:rsid w:val="00F21DBB"/>
    <w:rsid w:val="00F241D9"/>
    <w:rsid w:val="00F24784"/>
    <w:rsid w:val="00F24E85"/>
    <w:rsid w:val="00F250E6"/>
    <w:rsid w:val="00F25BB5"/>
    <w:rsid w:val="00F2657B"/>
    <w:rsid w:val="00F267BE"/>
    <w:rsid w:val="00F27210"/>
    <w:rsid w:val="00F2789C"/>
    <w:rsid w:val="00F27C1D"/>
    <w:rsid w:val="00F30486"/>
    <w:rsid w:val="00F30675"/>
    <w:rsid w:val="00F30D4B"/>
    <w:rsid w:val="00F3227F"/>
    <w:rsid w:val="00F34BA9"/>
    <w:rsid w:val="00F35669"/>
    <w:rsid w:val="00F35B0B"/>
    <w:rsid w:val="00F35C32"/>
    <w:rsid w:val="00F35DED"/>
    <w:rsid w:val="00F36620"/>
    <w:rsid w:val="00F3795F"/>
    <w:rsid w:val="00F37E39"/>
    <w:rsid w:val="00F4000F"/>
    <w:rsid w:val="00F40B68"/>
    <w:rsid w:val="00F40ECD"/>
    <w:rsid w:val="00F4294D"/>
    <w:rsid w:val="00F44C1B"/>
    <w:rsid w:val="00F44EA6"/>
    <w:rsid w:val="00F46653"/>
    <w:rsid w:val="00F4704E"/>
    <w:rsid w:val="00F474F0"/>
    <w:rsid w:val="00F47664"/>
    <w:rsid w:val="00F4776F"/>
    <w:rsid w:val="00F47EE0"/>
    <w:rsid w:val="00F50AAE"/>
    <w:rsid w:val="00F50E7F"/>
    <w:rsid w:val="00F50F2A"/>
    <w:rsid w:val="00F51740"/>
    <w:rsid w:val="00F521B9"/>
    <w:rsid w:val="00F52281"/>
    <w:rsid w:val="00F52847"/>
    <w:rsid w:val="00F52F2E"/>
    <w:rsid w:val="00F52F96"/>
    <w:rsid w:val="00F5314E"/>
    <w:rsid w:val="00F53214"/>
    <w:rsid w:val="00F54150"/>
    <w:rsid w:val="00F549CF"/>
    <w:rsid w:val="00F5586C"/>
    <w:rsid w:val="00F56644"/>
    <w:rsid w:val="00F566E9"/>
    <w:rsid w:val="00F56FFB"/>
    <w:rsid w:val="00F5749C"/>
    <w:rsid w:val="00F61607"/>
    <w:rsid w:val="00F618ED"/>
    <w:rsid w:val="00F61F8F"/>
    <w:rsid w:val="00F61FE5"/>
    <w:rsid w:val="00F6220F"/>
    <w:rsid w:val="00F62F61"/>
    <w:rsid w:val="00F63B2E"/>
    <w:rsid w:val="00F649A1"/>
    <w:rsid w:val="00F6564D"/>
    <w:rsid w:val="00F65697"/>
    <w:rsid w:val="00F66232"/>
    <w:rsid w:val="00F6772C"/>
    <w:rsid w:val="00F67BCF"/>
    <w:rsid w:val="00F67D1E"/>
    <w:rsid w:val="00F67D49"/>
    <w:rsid w:val="00F70756"/>
    <w:rsid w:val="00F709B2"/>
    <w:rsid w:val="00F71DD9"/>
    <w:rsid w:val="00F72EC6"/>
    <w:rsid w:val="00F7375B"/>
    <w:rsid w:val="00F747DB"/>
    <w:rsid w:val="00F74FFB"/>
    <w:rsid w:val="00F750F4"/>
    <w:rsid w:val="00F75190"/>
    <w:rsid w:val="00F751C8"/>
    <w:rsid w:val="00F771FC"/>
    <w:rsid w:val="00F80CFA"/>
    <w:rsid w:val="00F811E8"/>
    <w:rsid w:val="00F818CA"/>
    <w:rsid w:val="00F8243D"/>
    <w:rsid w:val="00F8348D"/>
    <w:rsid w:val="00F85A38"/>
    <w:rsid w:val="00F86045"/>
    <w:rsid w:val="00F86667"/>
    <w:rsid w:val="00F878AC"/>
    <w:rsid w:val="00F87B12"/>
    <w:rsid w:val="00F901F8"/>
    <w:rsid w:val="00F90214"/>
    <w:rsid w:val="00F905E4"/>
    <w:rsid w:val="00F90817"/>
    <w:rsid w:val="00F909CA"/>
    <w:rsid w:val="00F90A0D"/>
    <w:rsid w:val="00F90EB4"/>
    <w:rsid w:val="00F92203"/>
    <w:rsid w:val="00F9231F"/>
    <w:rsid w:val="00F929AC"/>
    <w:rsid w:val="00F92A08"/>
    <w:rsid w:val="00F942DE"/>
    <w:rsid w:val="00F94487"/>
    <w:rsid w:val="00F94BFA"/>
    <w:rsid w:val="00F95EDA"/>
    <w:rsid w:val="00F961F5"/>
    <w:rsid w:val="00F96A65"/>
    <w:rsid w:val="00F96BE0"/>
    <w:rsid w:val="00F96CE7"/>
    <w:rsid w:val="00F96D2A"/>
    <w:rsid w:val="00FA0DF2"/>
    <w:rsid w:val="00FA18B2"/>
    <w:rsid w:val="00FA1B42"/>
    <w:rsid w:val="00FA1B49"/>
    <w:rsid w:val="00FA1FD9"/>
    <w:rsid w:val="00FA21F1"/>
    <w:rsid w:val="00FA25BC"/>
    <w:rsid w:val="00FA2B84"/>
    <w:rsid w:val="00FA54BE"/>
    <w:rsid w:val="00FA57BE"/>
    <w:rsid w:val="00FA5B25"/>
    <w:rsid w:val="00FA64EE"/>
    <w:rsid w:val="00FA6995"/>
    <w:rsid w:val="00FA6B67"/>
    <w:rsid w:val="00FA7550"/>
    <w:rsid w:val="00FB00B3"/>
    <w:rsid w:val="00FB15D1"/>
    <w:rsid w:val="00FB28B3"/>
    <w:rsid w:val="00FB3187"/>
    <w:rsid w:val="00FB33B1"/>
    <w:rsid w:val="00FB4379"/>
    <w:rsid w:val="00FB43A6"/>
    <w:rsid w:val="00FB4EF7"/>
    <w:rsid w:val="00FB57DB"/>
    <w:rsid w:val="00FB5979"/>
    <w:rsid w:val="00FB5B32"/>
    <w:rsid w:val="00FB5B49"/>
    <w:rsid w:val="00FB5FEE"/>
    <w:rsid w:val="00FB63E0"/>
    <w:rsid w:val="00FB659B"/>
    <w:rsid w:val="00FB6970"/>
    <w:rsid w:val="00FB69A5"/>
    <w:rsid w:val="00FB6AD1"/>
    <w:rsid w:val="00FC11D5"/>
    <w:rsid w:val="00FC1BEE"/>
    <w:rsid w:val="00FC1D54"/>
    <w:rsid w:val="00FC1DA4"/>
    <w:rsid w:val="00FC20C3"/>
    <w:rsid w:val="00FC33DD"/>
    <w:rsid w:val="00FC38F3"/>
    <w:rsid w:val="00FC3ADA"/>
    <w:rsid w:val="00FC3FDE"/>
    <w:rsid w:val="00FC4052"/>
    <w:rsid w:val="00FC5115"/>
    <w:rsid w:val="00FC5BD8"/>
    <w:rsid w:val="00FC601C"/>
    <w:rsid w:val="00FC7263"/>
    <w:rsid w:val="00FD0658"/>
    <w:rsid w:val="00FD09B4"/>
    <w:rsid w:val="00FD1824"/>
    <w:rsid w:val="00FD1F0E"/>
    <w:rsid w:val="00FD21D5"/>
    <w:rsid w:val="00FD2298"/>
    <w:rsid w:val="00FD3095"/>
    <w:rsid w:val="00FD4C58"/>
    <w:rsid w:val="00FD4E57"/>
    <w:rsid w:val="00FD5127"/>
    <w:rsid w:val="00FD5954"/>
    <w:rsid w:val="00FD61C4"/>
    <w:rsid w:val="00FD6AC3"/>
    <w:rsid w:val="00FD7901"/>
    <w:rsid w:val="00FD79BC"/>
    <w:rsid w:val="00FE10D4"/>
    <w:rsid w:val="00FE149E"/>
    <w:rsid w:val="00FE17ED"/>
    <w:rsid w:val="00FE18C9"/>
    <w:rsid w:val="00FE1D23"/>
    <w:rsid w:val="00FE1FC9"/>
    <w:rsid w:val="00FE2599"/>
    <w:rsid w:val="00FE300E"/>
    <w:rsid w:val="00FE3D7B"/>
    <w:rsid w:val="00FE3E0C"/>
    <w:rsid w:val="00FE5277"/>
    <w:rsid w:val="00FE52D5"/>
    <w:rsid w:val="00FE5900"/>
    <w:rsid w:val="00FE5C2B"/>
    <w:rsid w:val="00FE619F"/>
    <w:rsid w:val="00FE6301"/>
    <w:rsid w:val="00FE6E69"/>
    <w:rsid w:val="00FE7432"/>
    <w:rsid w:val="00FF1BA9"/>
    <w:rsid w:val="00FF1D5C"/>
    <w:rsid w:val="00FF20DA"/>
    <w:rsid w:val="00FF2351"/>
    <w:rsid w:val="00FF29FF"/>
    <w:rsid w:val="00FF36FC"/>
    <w:rsid w:val="00FF44EF"/>
    <w:rsid w:val="00FF5010"/>
    <w:rsid w:val="00FF5386"/>
    <w:rsid w:val="00FF54D8"/>
    <w:rsid w:val="00FF54DE"/>
    <w:rsid w:val="00FF5BFA"/>
    <w:rsid w:val="00FF666D"/>
    <w:rsid w:val="00FF6DE2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basedOn w:val="Policepardfaut"/>
    <w:uiPriority w:val="99"/>
    <w:rsid w:val="00A572BB"/>
    <w:rPr>
      <w:rFonts w:cs="Times New Roman"/>
    </w:rPr>
  </w:style>
  <w:style w:type="character" w:customStyle="1" w:styleId="hpsatn">
    <w:name w:val="hps atn"/>
    <w:basedOn w:val="Policepardfaut"/>
    <w:uiPriority w:val="99"/>
    <w:rsid w:val="005A3EF2"/>
    <w:rPr>
      <w:rFonts w:cs="Times New Roman"/>
    </w:rPr>
  </w:style>
  <w:style w:type="character" w:customStyle="1" w:styleId="longtext">
    <w:name w:val="long_text"/>
    <w:basedOn w:val="Policepardfaut"/>
    <w:uiPriority w:val="99"/>
    <w:rsid w:val="004341BB"/>
    <w:rPr>
      <w:rFonts w:cs="Times New Roman"/>
    </w:rPr>
  </w:style>
  <w:style w:type="character" w:customStyle="1" w:styleId="atn">
    <w:name w:val="atn"/>
    <w:basedOn w:val="Policepardfaut"/>
    <w:uiPriority w:val="99"/>
    <w:rsid w:val="004341BB"/>
    <w:rPr>
      <w:rFonts w:cs="Times New Roman"/>
    </w:rPr>
  </w:style>
  <w:style w:type="character" w:customStyle="1" w:styleId="gt-icon-text">
    <w:name w:val="gt-icon-text"/>
    <w:basedOn w:val="Policepardfaut"/>
    <w:uiPriority w:val="99"/>
    <w:rsid w:val="004341BB"/>
    <w:rPr>
      <w:rFonts w:cs="Times New Roman"/>
    </w:rPr>
  </w:style>
  <w:style w:type="character" w:customStyle="1" w:styleId="hpsalt-edited">
    <w:name w:val="hps alt-edited"/>
    <w:basedOn w:val="Policepardfaut"/>
    <w:uiPriority w:val="99"/>
    <w:rsid w:val="00CD3850"/>
    <w:rPr>
      <w:rFonts w:cs="Times New Roman"/>
    </w:rPr>
  </w:style>
  <w:style w:type="character" w:customStyle="1" w:styleId="shorttext">
    <w:name w:val="short_text"/>
    <w:basedOn w:val="Policepardfau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cp.m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 sz="1200" b="1" i="0" strike="noStrike">
                <a:solidFill>
                  <a:srgbClr val="800000"/>
                </a:solidFill>
                <a:latin typeface="Arial"/>
                <a:cs typeface="Arial"/>
              </a:rPr>
              <a:t>عائدات الاسفار</a:t>
            </a:r>
            <a:r>
              <a:rPr lang="ar-MA" sz="1200" b="1" i="0" strike="noStrike">
                <a:solidFill>
                  <a:srgbClr val="000000"/>
                </a:solidFill>
                <a:latin typeface="Arial"/>
                <a:cs typeface="Arial"/>
              </a:rPr>
              <a:t> </a:t>
            </a:r>
          </a:p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MA" sz="1200" b="1" i="0" strike="noStrike">
              <a:solidFill>
                <a:srgbClr val="000000"/>
              </a:solidFill>
              <a:latin typeface="Arial"/>
              <a:cs typeface="Arial"/>
            </a:endParaRPr>
          </a:p>
        </c:rich>
      </c:tx>
      <c:overlay val="1"/>
      <c:spPr>
        <a:noFill/>
        <a:ln w="25405">
          <a:noFill/>
        </a:ln>
      </c:spPr>
    </c:title>
    <c:plotArea>
      <c:layout>
        <c:manualLayout>
          <c:layoutTarget val="inner"/>
          <c:xMode val="edge"/>
          <c:yMode val="edge"/>
          <c:x val="0.10224326389581052"/>
          <c:y val="0.10541427076860165"/>
          <c:w val="0.90614886731391664"/>
          <c:h val="0.65354330708661412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800000"/>
            </a:solidFill>
            <a:ln>
              <a:solidFill>
                <a:srgbClr val="800000"/>
              </a:solidFill>
            </a:ln>
          </c:spPr>
          <c:cat>
            <c:strRef>
              <c:f>séries_recettes!$A$7:$A$36</c:f>
              <c:strCache>
                <c:ptCount val="30"/>
                <c:pt idx="0">
                  <c:v>I-06</c:v>
                </c:pt>
                <c:pt idx="1">
                  <c:v>II-06</c:v>
                </c:pt>
                <c:pt idx="2">
                  <c:v>III-06</c:v>
                </c:pt>
                <c:pt idx="3">
                  <c:v>IV-06</c:v>
                </c:pt>
                <c:pt idx="4">
                  <c:v>I-07</c:v>
                </c:pt>
                <c:pt idx="5">
                  <c:v>II-07</c:v>
                </c:pt>
                <c:pt idx="6">
                  <c:v>III-07</c:v>
                </c:pt>
                <c:pt idx="7">
                  <c:v>IV-07</c:v>
                </c:pt>
                <c:pt idx="8">
                  <c:v>I-08</c:v>
                </c:pt>
                <c:pt idx="9">
                  <c:v>II-08</c:v>
                </c:pt>
                <c:pt idx="10">
                  <c:v>III-08</c:v>
                </c:pt>
                <c:pt idx="11">
                  <c:v>IV-08</c:v>
                </c:pt>
                <c:pt idx="12">
                  <c:v>I-09</c:v>
                </c:pt>
                <c:pt idx="13">
                  <c:v>II-09</c:v>
                </c:pt>
                <c:pt idx="14">
                  <c:v>III-09</c:v>
                </c:pt>
                <c:pt idx="15">
                  <c:v>IV-09</c:v>
                </c:pt>
                <c:pt idx="16">
                  <c:v>I-10</c:v>
                </c:pt>
                <c:pt idx="17">
                  <c:v>II-10</c:v>
                </c:pt>
                <c:pt idx="18">
                  <c:v>III-10</c:v>
                </c:pt>
                <c:pt idx="19">
                  <c:v>IV-10</c:v>
                </c:pt>
                <c:pt idx="20">
                  <c:v>I-11</c:v>
                </c:pt>
                <c:pt idx="21">
                  <c:v>II-11</c:v>
                </c:pt>
                <c:pt idx="22">
                  <c:v>III-11</c:v>
                </c:pt>
                <c:pt idx="23">
                  <c:v>IV-11</c:v>
                </c:pt>
                <c:pt idx="24">
                  <c:v>I-12</c:v>
                </c:pt>
                <c:pt idx="25">
                  <c:v>II-12</c:v>
                </c:pt>
                <c:pt idx="26">
                  <c:v>III-12</c:v>
                </c:pt>
                <c:pt idx="27">
                  <c:v>IV-12</c:v>
                </c:pt>
                <c:pt idx="28">
                  <c:v>I-13</c:v>
                </c:pt>
                <c:pt idx="29">
                  <c:v>II-13</c:v>
                </c:pt>
              </c:strCache>
            </c:strRef>
          </c:cat>
          <c:val>
            <c:numRef>
              <c:f>séries_recettes!$L$7:$L$36</c:f>
              <c:numCache>
                <c:formatCode>0.0</c:formatCode>
                <c:ptCount val="30"/>
                <c:pt idx="0">
                  <c:v>21.976232546859237</c:v>
                </c:pt>
                <c:pt idx="1">
                  <c:v>54.008625901890404</c:v>
                </c:pt>
                <c:pt idx="2">
                  <c:v>17.899194252500816</c:v>
                </c:pt>
                <c:pt idx="3">
                  <c:v>30.871061988992835</c:v>
                </c:pt>
                <c:pt idx="4">
                  <c:v>13.476869473006502</c:v>
                </c:pt>
                <c:pt idx="5">
                  <c:v>0.22246649916248859</c:v>
                </c:pt>
                <c:pt idx="6">
                  <c:v>14.884500843696594</c:v>
                </c:pt>
                <c:pt idx="7">
                  <c:v>16.659600058840333</c:v>
                </c:pt>
                <c:pt idx="8">
                  <c:v>-0.84854654073357461</c:v>
                </c:pt>
                <c:pt idx="9">
                  <c:v>9.5021718503817354</c:v>
                </c:pt>
                <c:pt idx="10">
                  <c:v>-8.3425419452271665</c:v>
                </c:pt>
                <c:pt idx="11">
                  <c:v>-17.067942441774207</c:v>
                </c:pt>
                <c:pt idx="12">
                  <c:v>-23.334876088694465</c:v>
                </c:pt>
                <c:pt idx="13">
                  <c:v>-8.1847450216622324</c:v>
                </c:pt>
                <c:pt idx="14">
                  <c:v>-2.4473926126117354</c:v>
                </c:pt>
                <c:pt idx="15">
                  <c:v>14.066846139398475</c:v>
                </c:pt>
                <c:pt idx="16">
                  <c:v>14.04533230887437</c:v>
                </c:pt>
                <c:pt idx="17">
                  <c:v>26.721443475701001</c:v>
                </c:pt>
                <c:pt idx="18">
                  <c:v>3.6818282465743737</c:v>
                </c:pt>
                <c:pt idx="19">
                  <c:v>8.1474395665571464</c:v>
                </c:pt>
                <c:pt idx="20">
                  <c:v>17.054696297436966</c:v>
                </c:pt>
                <c:pt idx="21">
                  <c:v>-9.1574315737691574</c:v>
                </c:pt>
                <c:pt idx="22">
                  <c:v>-1.1398232901409151</c:v>
                </c:pt>
                <c:pt idx="23">
                  <c:v>-0.30015660344527889</c:v>
                </c:pt>
                <c:pt idx="24">
                  <c:v>-1.8672762105228378</c:v>
                </c:pt>
                <c:pt idx="25">
                  <c:v>-3.5341721884189825</c:v>
                </c:pt>
                <c:pt idx="26">
                  <c:v>-6.6073186905934005</c:v>
                </c:pt>
                <c:pt idx="27">
                  <c:v>5.8146806870573275</c:v>
                </c:pt>
                <c:pt idx="28">
                  <c:v>-1.4914118139924586</c:v>
                </c:pt>
                <c:pt idx="29">
                  <c:v>5.4888507718696484</c:v>
                </c:pt>
              </c:numCache>
            </c:numRef>
          </c:val>
        </c:ser>
        <c:axId val="159695232"/>
        <c:axId val="159696768"/>
      </c:barChart>
      <c:catAx>
        <c:axId val="159695232"/>
        <c:scaling>
          <c:orientation val="minMax"/>
        </c:scaling>
        <c:axPos val="b"/>
        <c:majorGridlines/>
        <c:numFmt formatCode="mmm\-yy" sourceLinked="1"/>
        <c:tickLblPos val="low"/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59696768"/>
        <c:crosses val="autoZero"/>
        <c:auto val="1"/>
        <c:lblAlgn val="ctr"/>
        <c:lblOffset val="100"/>
        <c:tickLblSkip val="4"/>
        <c:tickMarkSkip val="4"/>
      </c:catAx>
      <c:valAx>
        <c:axId val="159696768"/>
        <c:scaling>
          <c:orientation val="minMax"/>
          <c:max val="32"/>
          <c:min val="-24"/>
        </c:scaling>
        <c:axPos val="l"/>
        <c:numFmt formatCode="0" sourceLinked="0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59695232"/>
        <c:crosses val="autoZero"/>
        <c:crossBetween val="between"/>
        <c:majorUnit val="8"/>
      </c:valAx>
      <c:spPr>
        <a:noFill/>
        <a:ln w="25405"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0.14275</cdr:x>
      <cdr:y>0.9115</cdr:y>
    </cdr:from>
    <cdr:to>
      <cdr:x>1</cdr:x>
      <cdr:y>1</cdr:y>
    </cdr:to>
    <cdr:sp macro="" textlink="">
      <cdr:nvSpPr>
        <cdr:cNvPr id="420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0145" y="2205238"/>
          <a:ext cx="2523080" cy="2141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0" bIns="0" anchor="t" upright="1"/>
        <a:lstStyle xmlns:a="http://schemas.openxmlformats.org/drawingml/2006/main"/>
        <a:p xmlns:a="http://schemas.openxmlformats.org/drawingml/2006/main">
          <a:pPr algn="r" rtl="0">
            <a:defRPr sz="1000"/>
          </a:pPr>
          <a:r>
            <a:rPr lang="ar-MA" sz="700" b="0" i="0" strike="noStrike">
              <a:solidFill>
                <a:srgbClr val="000000"/>
              </a:solidFill>
              <a:latin typeface="Times New Roman"/>
              <a:cs typeface="Times New Roman"/>
            </a:rPr>
            <a:t>المصدر : مكتب الصرف ٬ اعداد المندوبية السامية للتخطيط.</a:t>
          </a:r>
        </a:p>
      </cdr:txBody>
    </cdr:sp>
  </cdr:relSizeAnchor>
  <cdr:relSizeAnchor xmlns:cdr="http://schemas.openxmlformats.org/drawingml/2006/chartDrawing">
    <cdr:from>
      <cdr:x>0.08925</cdr:x>
      <cdr:y>0.08425</cdr:y>
    </cdr:from>
    <cdr:to>
      <cdr:x>0.24525</cdr:x>
      <cdr:y>0.146</cdr:y>
    </cdr:to>
    <cdr:sp macro="" textlink="">
      <cdr:nvSpPr>
        <cdr:cNvPr id="4198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8091" y="177434"/>
          <a:ext cx="460633" cy="13067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18288" rIns="27432" bIns="1828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ar-MA" sz="575" b="0" i="0" strike="noStrike">
              <a:solidFill>
                <a:srgbClr val="000000"/>
              </a:solidFill>
              <a:latin typeface="Arial"/>
              <a:cs typeface="Arial"/>
            </a:rPr>
            <a:t>تغير سنوي ب 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2013-07-23T13:29:00Z</cp:lastPrinted>
  <dcterms:created xsi:type="dcterms:W3CDTF">2013-07-23T14:07:00Z</dcterms:created>
  <dcterms:modified xsi:type="dcterms:W3CDTF">2013-07-23T14:07:00Z</dcterms:modified>
</cp:coreProperties>
</file>