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D4" w:rsidRDefault="00110AD4" w:rsidP="00110AD4">
      <w:pPr>
        <w:spacing w:after="0" w:line="360" w:lineRule="auto"/>
        <w:jc w:val="center"/>
        <w:rPr>
          <w:b/>
          <w:bCs/>
          <w:sz w:val="26"/>
          <w:szCs w:val="26"/>
        </w:rPr>
      </w:pPr>
    </w:p>
    <w:p w:rsidR="00110AD4" w:rsidRDefault="00110AD4" w:rsidP="00110AD4">
      <w:pPr>
        <w:spacing w:after="0" w:line="360" w:lineRule="auto"/>
        <w:jc w:val="center"/>
        <w:rPr>
          <w:b/>
          <w:bCs/>
          <w:sz w:val="26"/>
          <w:szCs w:val="26"/>
        </w:rPr>
      </w:pPr>
    </w:p>
    <w:p w:rsidR="00110AD4" w:rsidRDefault="00110AD4" w:rsidP="00110AD4">
      <w:pPr>
        <w:spacing w:after="0" w:line="360" w:lineRule="auto"/>
        <w:jc w:val="center"/>
        <w:rPr>
          <w:b/>
          <w:bCs/>
          <w:sz w:val="26"/>
          <w:szCs w:val="26"/>
        </w:rPr>
      </w:pPr>
    </w:p>
    <w:p w:rsidR="00110AD4" w:rsidRDefault="00110AD4" w:rsidP="00110AD4">
      <w:pPr>
        <w:spacing w:after="0" w:line="360" w:lineRule="auto"/>
        <w:jc w:val="center"/>
        <w:rPr>
          <w:b/>
          <w:bCs/>
          <w:sz w:val="26"/>
          <w:szCs w:val="26"/>
        </w:rPr>
      </w:pPr>
    </w:p>
    <w:p w:rsidR="00110AD4" w:rsidRDefault="00110AD4" w:rsidP="00110AD4">
      <w:pPr>
        <w:spacing w:after="0" w:line="360" w:lineRule="auto"/>
        <w:jc w:val="center"/>
        <w:rPr>
          <w:b/>
          <w:bCs/>
          <w:sz w:val="26"/>
          <w:szCs w:val="26"/>
        </w:rPr>
      </w:pPr>
    </w:p>
    <w:p w:rsidR="00110AD4" w:rsidRDefault="00110AD4" w:rsidP="00110AD4">
      <w:pPr>
        <w:spacing w:after="0" w:line="360" w:lineRule="auto"/>
        <w:jc w:val="center"/>
        <w:rPr>
          <w:b/>
          <w:bCs/>
          <w:sz w:val="26"/>
          <w:szCs w:val="26"/>
        </w:rPr>
      </w:pPr>
      <w:r w:rsidRPr="00C941EA">
        <w:rPr>
          <w:b/>
          <w:bCs/>
          <w:sz w:val="26"/>
          <w:szCs w:val="26"/>
        </w:rPr>
        <w:t>Exposé succinct par M. Ahmed LAHLIMI ALAMI de quelques résultats</w:t>
      </w:r>
    </w:p>
    <w:p w:rsidR="00110AD4" w:rsidRPr="00C941EA" w:rsidRDefault="00110AD4" w:rsidP="00110AD4">
      <w:pPr>
        <w:spacing w:after="0" w:line="360" w:lineRule="auto"/>
        <w:jc w:val="center"/>
        <w:rPr>
          <w:b/>
          <w:bCs/>
          <w:sz w:val="26"/>
          <w:szCs w:val="26"/>
        </w:rPr>
      </w:pPr>
      <w:r w:rsidRPr="00C941EA">
        <w:rPr>
          <w:b/>
          <w:bCs/>
          <w:sz w:val="26"/>
          <w:szCs w:val="26"/>
        </w:rPr>
        <w:t>de l’Enquête Nationale sur la Perception par les ménages de quelques cibles des principaux Objectifs de Développement Durable</w:t>
      </w:r>
    </w:p>
    <w:p w:rsidR="00110AD4" w:rsidRDefault="00110AD4" w:rsidP="00110AD4">
      <w:pPr>
        <w:spacing w:line="360" w:lineRule="auto"/>
        <w:jc w:val="center"/>
        <w:rPr>
          <w:b/>
          <w:bCs/>
          <w:sz w:val="24"/>
          <w:szCs w:val="24"/>
        </w:rPr>
      </w:pPr>
    </w:p>
    <w:p w:rsidR="00110AD4" w:rsidRPr="001E6C71" w:rsidRDefault="00110AD4" w:rsidP="00110AD4">
      <w:pPr>
        <w:spacing w:line="360" w:lineRule="auto"/>
        <w:jc w:val="both"/>
        <w:rPr>
          <w:b/>
          <w:bCs/>
          <w:sz w:val="26"/>
          <w:szCs w:val="26"/>
        </w:rPr>
      </w:pPr>
      <w:bookmarkStart w:id="0" w:name="_GoBack"/>
      <w:r>
        <w:rPr>
          <w:b/>
          <w:bCs/>
          <w:sz w:val="26"/>
          <w:szCs w:val="26"/>
          <w:u w:val="single"/>
        </w:rPr>
        <w:t xml:space="preserve">Au plan de </w:t>
      </w:r>
      <w:r w:rsidRPr="001E6C71">
        <w:rPr>
          <w:b/>
          <w:bCs/>
          <w:sz w:val="26"/>
          <w:szCs w:val="26"/>
          <w:u w:val="single"/>
        </w:rPr>
        <w:t>la dimension environnementale</w:t>
      </w:r>
      <w:r>
        <w:rPr>
          <w:b/>
          <w:bCs/>
          <w:sz w:val="26"/>
          <w:szCs w:val="26"/>
        </w:rPr>
        <w:t> :</w:t>
      </w:r>
    </w:p>
    <w:p w:rsidR="00110AD4" w:rsidRPr="00101211" w:rsidRDefault="00110AD4" w:rsidP="00110AD4">
      <w:pPr>
        <w:spacing w:line="360" w:lineRule="auto"/>
        <w:ind w:firstLine="708"/>
        <w:jc w:val="both"/>
        <w:rPr>
          <w:sz w:val="26"/>
          <w:szCs w:val="26"/>
        </w:rPr>
      </w:pPr>
      <w:r w:rsidRPr="00101211">
        <w:rPr>
          <w:sz w:val="26"/>
          <w:szCs w:val="26"/>
        </w:rPr>
        <w:t xml:space="preserve">Je me limiterai à relever la large perception par nos concitoyens (60%) des changements climatiques et de leurs effets sur la régularité des pluies, le niveau des températures et le niveau des ressources en eau. </w:t>
      </w:r>
    </w:p>
    <w:p w:rsidR="00110AD4" w:rsidRPr="00101211" w:rsidRDefault="00110AD4" w:rsidP="00110AD4">
      <w:pPr>
        <w:spacing w:line="360" w:lineRule="auto"/>
        <w:ind w:firstLine="708"/>
        <w:jc w:val="both"/>
        <w:rPr>
          <w:sz w:val="26"/>
          <w:szCs w:val="26"/>
        </w:rPr>
      </w:pPr>
      <w:r w:rsidRPr="00101211">
        <w:rPr>
          <w:sz w:val="26"/>
          <w:szCs w:val="26"/>
        </w:rPr>
        <w:t xml:space="preserve">Les perceptions négatives se réfèrent aux insuffisances en matière d’assainissement liquide (26%), de gestion des déchets (65%), ainsi qu’à la promiscuité démographique </w:t>
      </w:r>
      <w:r>
        <w:rPr>
          <w:sz w:val="26"/>
          <w:szCs w:val="26"/>
        </w:rPr>
        <w:t xml:space="preserve">dans les lieux d’habitat </w:t>
      </w:r>
      <w:r w:rsidRPr="00101211">
        <w:rPr>
          <w:sz w:val="26"/>
          <w:szCs w:val="26"/>
        </w:rPr>
        <w:t xml:space="preserve">et la pollution de l’air. </w:t>
      </w:r>
    </w:p>
    <w:p w:rsidR="00110AD4" w:rsidRPr="00101211" w:rsidRDefault="00110AD4" w:rsidP="00110AD4">
      <w:pPr>
        <w:spacing w:line="360" w:lineRule="auto"/>
        <w:ind w:firstLine="708"/>
        <w:jc w:val="both"/>
        <w:rPr>
          <w:sz w:val="26"/>
          <w:szCs w:val="26"/>
          <w:u w:val="single"/>
        </w:rPr>
      </w:pPr>
      <w:r w:rsidRPr="00101211">
        <w:rPr>
          <w:sz w:val="26"/>
          <w:szCs w:val="26"/>
        </w:rPr>
        <w:t xml:space="preserve">En dehors de sa facture jugée élevée par la majorité, l’accès à l’eau et l’électricité est largement perçu comme satisfaisant. Un point de vue négatif est exprimé sur le niveau de qualité et de sécurité des transports routiers ainsi que sur celui des espaces verts et de la forêt avec une large demande, pour les protéger, d’une plus grande sévérité dans le contrôle et la sanction. </w:t>
      </w:r>
    </w:p>
    <w:p w:rsidR="00110AD4" w:rsidRPr="00101211" w:rsidRDefault="00110AD4" w:rsidP="00110AD4">
      <w:pPr>
        <w:spacing w:line="360" w:lineRule="auto"/>
        <w:jc w:val="both"/>
        <w:rPr>
          <w:b/>
          <w:bCs/>
          <w:sz w:val="26"/>
          <w:szCs w:val="26"/>
        </w:rPr>
      </w:pPr>
      <w:r>
        <w:rPr>
          <w:b/>
          <w:bCs/>
          <w:sz w:val="26"/>
          <w:szCs w:val="26"/>
          <w:u w:val="single"/>
        </w:rPr>
        <w:t>Aux plans de l</w:t>
      </w:r>
      <w:r w:rsidRPr="008906EB">
        <w:rPr>
          <w:b/>
          <w:bCs/>
          <w:sz w:val="26"/>
          <w:szCs w:val="26"/>
          <w:u w:val="single"/>
        </w:rPr>
        <w:t xml:space="preserve">a santé </w:t>
      </w:r>
      <w:r>
        <w:rPr>
          <w:b/>
          <w:bCs/>
          <w:sz w:val="26"/>
          <w:szCs w:val="26"/>
          <w:u w:val="single"/>
        </w:rPr>
        <w:t>et de l’enseignement</w:t>
      </w:r>
      <w:r>
        <w:rPr>
          <w:b/>
          <w:bCs/>
          <w:sz w:val="26"/>
          <w:szCs w:val="26"/>
        </w:rPr>
        <w:t> :</w:t>
      </w:r>
    </w:p>
    <w:p w:rsidR="00110AD4" w:rsidRPr="00555A91" w:rsidRDefault="00110AD4" w:rsidP="00110AD4">
      <w:pPr>
        <w:spacing w:line="360" w:lineRule="auto"/>
        <w:ind w:firstLine="708"/>
        <w:jc w:val="both"/>
        <w:rPr>
          <w:sz w:val="26"/>
          <w:szCs w:val="26"/>
          <w:u w:val="single"/>
        </w:rPr>
      </w:pPr>
      <w:r w:rsidRPr="00555A91">
        <w:rPr>
          <w:sz w:val="26"/>
          <w:szCs w:val="26"/>
        </w:rPr>
        <w:t xml:space="preserve">Les reproches récurrents ciblent largement l’éloignement et le faible équipement </w:t>
      </w:r>
      <w:r>
        <w:rPr>
          <w:sz w:val="26"/>
          <w:szCs w:val="26"/>
        </w:rPr>
        <w:t>des</w:t>
      </w:r>
      <w:r w:rsidRPr="00555A91">
        <w:rPr>
          <w:sz w:val="26"/>
          <w:szCs w:val="26"/>
        </w:rPr>
        <w:t xml:space="preserve"> structures</w:t>
      </w:r>
      <w:r>
        <w:rPr>
          <w:sz w:val="26"/>
          <w:szCs w:val="26"/>
        </w:rPr>
        <w:t xml:space="preserve"> sanitaires et scolaires</w:t>
      </w:r>
      <w:r w:rsidRPr="00555A91">
        <w:rPr>
          <w:sz w:val="26"/>
          <w:szCs w:val="26"/>
        </w:rPr>
        <w:t>, avec une mention particulière du mauvais accueil et de la corruption dans les centres sanitaires</w:t>
      </w:r>
      <w:r>
        <w:rPr>
          <w:sz w:val="26"/>
          <w:szCs w:val="26"/>
        </w:rPr>
        <w:t>. L</w:t>
      </w:r>
      <w:r w:rsidRPr="00555A91">
        <w:rPr>
          <w:sz w:val="26"/>
          <w:szCs w:val="26"/>
        </w:rPr>
        <w:t xml:space="preserve">a faiblesse des équipements sociaux, </w:t>
      </w:r>
      <w:r>
        <w:rPr>
          <w:sz w:val="26"/>
          <w:szCs w:val="26"/>
        </w:rPr>
        <w:t>le</w:t>
      </w:r>
      <w:r w:rsidRPr="00555A91">
        <w:rPr>
          <w:sz w:val="26"/>
          <w:szCs w:val="26"/>
        </w:rPr>
        <w:t xml:space="preserve"> faible niveau du personnel et </w:t>
      </w:r>
      <w:r>
        <w:rPr>
          <w:sz w:val="26"/>
          <w:szCs w:val="26"/>
        </w:rPr>
        <w:t>le</w:t>
      </w:r>
      <w:r w:rsidRPr="00555A91">
        <w:rPr>
          <w:sz w:val="26"/>
          <w:szCs w:val="26"/>
        </w:rPr>
        <w:t xml:space="preserve"> faible rendement externe de l’enseignement</w:t>
      </w:r>
      <w:r>
        <w:rPr>
          <w:sz w:val="26"/>
          <w:szCs w:val="26"/>
        </w:rPr>
        <w:t xml:space="preserve"> sont largement mis en exergue</w:t>
      </w:r>
      <w:r w:rsidRPr="00555A91">
        <w:rPr>
          <w:sz w:val="26"/>
          <w:szCs w:val="26"/>
        </w:rPr>
        <w:t>. Si</w:t>
      </w:r>
      <w:r>
        <w:rPr>
          <w:sz w:val="26"/>
          <w:szCs w:val="26"/>
        </w:rPr>
        <w:t>,</w:t>
      </w:r>
      <w:r w:rsidRPr="00555A91">
        <w:rPr>
          <w:sz w:val="26"/>
          <w:szCs w:val="26"/>
        </w:rPr>
        <w:t xml:space="preserve"> à cet égard</w:t>
      </w:r>
      <w:r>
        <w:rPr>
          <w:sz w:val="26"/>
          <w:szCs w:val="26"/>
        </w:rPr>
        <w:t>,</w:t>
      </w:r>
      <w:r w:rsidRPr="00555A91">
        <w:rPr>
          <w:sz w:val="26"/>
          <w:szCs w:val="26"/>
        </w:rPr>
        <w:t xml:space="preserve"> 80% de nos concitoyens </w:t>
      </w:r>
      <w:r w:rsidRPr="00555A91">
        <w:rPr>
          <w:sz w:val="26"/>
          <w:szCs w:val="26"/>
        </w:rPr>
        <w:lastRenderedPageBreak/>
        <w:t>ont inscrit leurs enfants dans les établissements d’enseignement public, 43% accordent leur préférence à ce secteur de l’enseignement, alors que 30% souhaitent une politique d’encouragement à l’enseignement privé.</w:t>
      </w:r>
    </w:p>
    <w:p w:rsidR="00110AD4" w:rsidRDefault="00110AD4" w:rsidP="00110AD4">
      <w:pPr>
        <w:spacing w:line="360" w:lineRule="auto"/>
        <w:jc w:val="both"/>
        <w:rPr>
          <w:b/>
          <w:bCs/>
          <w:sz w:val="26"/>
          <w:szCs w:val="26"/>
          <w:u w:val="single"/>
        </w:rPr>
      </w:pPr>
    </w:p>
    <w:p w:rsidR="00110AD4" w:rsidRPr="00101211" w:rsidRDefault="00110AD4" w:rsidP="00110AD4">
      <w:pPr>
        <w:spacing w:line="360" w:lineRule="auto"/>
        <w:jc w:val="both"/>
        <w:rPr>
          <w:b/>
          <w:bCs/>
          <w:sz w:val="26"/>
          <w:szCs w:val="26"/>
        </w:rPr>
      </w:pPr>
      <w:r>
        <w:rPr>
          <w:b/>
          <w:bCs/>
          <w:sz w:val="26"/>
          <w:szCs w:val="26"/>
          <w:u w:val="single"/>
        </w:rPr>
        <w:t>Aux plans de la c</w:t>
      </w:r>
      <w:r w:rsidRPr="008906EB">
        <w:rPr>
          <w:b/>
          <w:bCs/>
          <w:sz w:val="26"/>
          <w:szCs w:val="26"/>
          <w:u w:val="single"/>
        </w:rPr>
        <w:t xml:space="preserve">roissance et </w:t>
      </w:r>
      <w:r>
        <w:rPr>
          <w:b/>
          <w:bCs/>
          <w:sz w:val="26"/>
          <w:szCs w:val="26"/>
          <w:u w:val="single"/>
        </w:rPr>
        <w:t>de l’</w:t>
      </w:r>
      <w:r w:rsidRPr="008906EB">
        <w:rPr>
          <w:b/>
          <w:bCs/>
          <w:sz w:val="26"/>
          <w:szCs w:val="26"/>
          <w:u w:val="single"/>
        </w:rPr>
        <w:t>emploi</w:t>
      </w:r>
      <w:r>
        <w:rPr>
          <w:b/>
          <w:bCs/>
          <w:sz w:val="26"/>
          <w:szCs w:val="26"/>
        </w:rPr>
        <w:t xml:space="preserve"> : </w:t>
      </w:r>
    </w:p>
    <w:p w:rsidR="00110AD4" w:rsidRPr="00555A91" w:rsidRDefault="00110AD4" w:rsidP="00110AD4">
      <w:pPr>
        <w:spacing w:line="360" w:lineRule="auto"/>
        <w:jc w:val="both"/>
        <w:rPr>
          <w:sz w:val="26"/>
          <w:szCs w:val="26"/>
        </w:rPr>
      </w:pPr>
      <w:r w:rsidRPr="00555A91">
        <w:rPr>
          <w:sz w:val="26"/>
          <w:szCs w:val="26"/>
        </w:rPr>
        <w:t xml:space="preserve">Pour 57%, la finalité de la politique économique doit être l’emploi, pour 33% l’amélioration des conditions de vie et pour 10% la création de la richesse nationale. Il est à cet égard remarquable que </w:t>
      </w:r>
      <w:r>
        <w:rPr>
          <w:sz w:val="26"/>
          <w:szCs w:val="26"/>
        </w:rPr>
        <w:t xml:space="preserve">parmi les différentes catégories d’emploi, </w:t>
      </w:r>
      <w:r w:rsidRPr="00555A91">
        <w:rPr>
          <w:sz w:val="26"/>
          <w:szCs w:val="26"/>
        </w:rPr>
        <w:t xml:space="preserve">41% privilégie l’auto-emploi, 33% l’emploi public et 5% l’emploi dans le secteur privé. </w:t>
      </w:r>
    </w:p>
    <w:p w:rsidR="00110AD4" w:rsidRPr="00BB6064" w:rsidRDefault="00110AD4" w:rsidP="00110AD4">
      <w:pPr>
        <w:spacing w:line="360" w:lineRule="auto"/>
        <w:jc w:val="both"/>
        <w:rPr>
          <w:b/>
          <w:bCs/>
          <w:sz w:val="26"/>
          <w:szCs w:val="26"/>
        </w:rPr>
      </w:pPr>
      <w:r>
        <w:rPr>
          <w:b/>
          <w:bCs/>
          <w:sz w:val="26"/>
          <w:szCs w:val="26"/>
          <w:u w:val="single"/>
        </w:rPr>
        <w:t>Au plan de l</w:t>
      </w:r>
      <w:r w:rsidRPr="008906EB">
        <w:rPr>
          <w:b/>
          <w:bCs/>
          <w:sz w:val="26"/>
          <w:szCs w:val="26"/>
          <w:u w:val="single"/>
        </w:rPr>
        <w:t xml:space="preserve">a </w:t>
      </w:r>
      <w:r>
        <w:rPr>
          <w:b/>
          <w:bCs/>
          <w:sz w:val="26"/>
          <w:szCs w:val="26"/>
          <w:u w:val="single"/>
        </w:rPr>
        <w:t>paix sociale</w:t>
      </w:r>
      <w:r>
        <w:rPr>
          <w:b/>
          <w:bCs/>
          <w:sz w:val="26"/>
          <w:szCs w:val="26"/>
        </w:rPr>
        <w:t> :</w:t>
      </w:r>
    </w:p>
    <w:p w:rsidR="00110AD4" w:rsidRPr="00555A91" w:rsidRDefault="00110AD4" w:rsidP="00110AD4">
      <w:pPr>
        <w:spacing w:line="360" w:lineRule="auto"/>
        <w:ind w:firstLine="708"/>
        <w:jc w:val="both"/>
        <w:rPr>
          <w:sz w:val="26"/>
          <w:szCs w:val="26"/>
        </w:rPr>
      </w:pPr>
      <w:r w:rsidRPr="00555A91">
        <w:rPr>
          <w:sz w:val="26"/>
          <w:szCs w:val="26"/>
        </w:rPr>
        <w:t>Pour les 2/3 des ménages, la criminalité dans leur environnement c’est d’abord les vols ou les actes de violence physique. Le chômage et la drogue en sont perçus comme les principales causes. Plus de 50% perçoivent</w:t>
      </w:r>
      <w:r>
        <w:rPr>
          <w:sz w:val="26"/>
          <w:szCs w:val="26"/>
        </w:rPr>
        <w:t xml:space="preserve">, par ailleurs, </w:t>
      </w:r>
      <w:r w:rsidRPr="00555A91">
        <w:rPr>
          <w:sz w:val="26"/>
          <w:szCs w:val="26"/>
        </w:rPr>
        <w:t xml:space="preserve">une hausse de la corruption pratiquement dans tous les domaines </w:t>
      </w:r>
      <w:r>
        <w:rPr>
          <w:sz w:val="26"/>
          <w:szCs w:val="26"/>
        </w:rPr>
        <w:t xml:space="preserve">et institutions </w:t>
      </w:r>
      <w:r w:rsidRPr="00555A91">
        <w:rPr>
          <w:sz w:val="26"/>
          <w:szCs w:val="26"/>
        </w:rPr>
        <w:t xml:space="preserve">et, en particulier, </w:t>
      </w:r>
      <w:r>
        <w:rPr>
          <w:sz w:val="26"/>
          <w:szCs w:val="26"/>
        </w:rPr>
        <w:t xml:space="preserve">dans </w:t>
      </w:r>
      <w:r w:rsidRPr="00555A91">
        <w:rPr>
          <w:sz w:val="26"/>
          <w:szCs w:val="26"/>
        </w:rPr>
        <w:t xml:space="preserve">le secteur de la santé. Pour faire face à ces maux, une plus grande </w:t>
      </w:r>
      <w:r>
        <w:rPr>
          <w:sz w:val="26"/>
          <w:szCs w:val="26"/>
        </w:rPr>
        <w:t xml:space="preserve">rigueur de la loi et une plus grande sévérité de la justice sont considérées </w:t>
      </w:r>
      <w:r w:rsidRPr="00555A91">
        <w:rPr>
          <w:sz w:val="26"/>
          <w:szCs w:val="26"/>
        </w:rPr>
        <w:t>comme la solution</w:t>
      </w:r>
      <w:r>
        <w:rPr>
          <w:sz w:val="26"/>
          <w:szCs w:val="26"/>
        </w:rPr>
        <w:t xml:space="preserve"> souhaitable</w:t>
      </w:r>
      <w:r w:rsidRPr="00555A91">
        <w:rPr>
          <w:sz w:val="26"/>
          <w:szCs w:val="26"/>
        </w:rPr>
        <w:t xml:space="preserve">. Malgré cela, </w:t>
      </w:r>
      <w:r>
        <w:rPr>
          <w:sz w:val="26"/>
          <w:szCs w:val="26"/>
        </w:rPr>
        <w:t xml:space="preserve">il est remarquable que </w:t>
      </w:r>
      <w:r w:rsidRPr="00BB6064">
        <w:rPr>
          <w:b/>
          <w:bCs/>
          <w:sz w:val="26"/>
          <w:szCs w:val="26"/>
        </w:rPr>
        <w:t>50% au total, – 47,8% en milieu urbain et 52,2% en milieu rural – sont pour l’abolition de la peine de mort</w:t>
      </w:r>
      <w:r w:rsidRPr="00555A91">
        <w:rPr>
          <w:sz w:val="26"/>
          <w:szCs w:val="26"/>
        </w:rPr>
        <w:t>.</w:t>
      </w:r>
    </w:p>
    <w:p w:rsidR="00110AD4" w:rsidRPr="00101211" w:rsidRDefault="00110AD4" w:rsidP="00110AD4">
      <w:pPr>
        <w:spacing w:line="360" w:lineRule="auto"/>
        <w:jc w:val="both"/>
        <w:rPr>
          <w:b/>
          <w:bCs/>
          <w:sz w:val="26"/>
          <w:szCs w:val="26"/>
        </w:rPr>
      </w:pPr>
      <w:r>
        <w:rPr>
          <w:b/>
          <w:bCs/>
          <w:sz w:val="26"/>
          <w:szCs w:val="26"/>
          <w:u w:val="single"/>
        </w:rPr>
        <w:t>Au plan du niveau de vie</w:t>
      </w:r>
      <w:r>
        <w:rPr>
          <w:b/>
          <w:bCs/>
          <w:sz w:val="26"/>
          <w:szCs w:val="26"/>
        </w:rPr>
        <w:t> :</w:t>
      </w:r>
    </w:p>
    <w:p w:rsidR="00110AD4" w:rsidRPr="009663F3" w:rsidRDefault="00110AD4" w:rsidP="00110AD4">
      <w:pPr>
        <w:spacing w:line="360" w:lineRule="auto"/>
        <w:ind w:firstLine="708"/>
        <w:jc w:val="both"/>
        <w:rPr>
          <w:sz w:val="26"/>
          <w:szCs w:val="26"/>
        </w:rPr>
      </w:pPr>
      <w:r w:rsidRPr="009663F3">
        <w:rPr>
          <w:sz w:val="26"/>
          <w:szCs w:val="26"/>
        </w:rPr>
        <w:t>En décalage</w:t>
      </w:r>
      <w:r>
        <w:rPr>
          <w:sz w:val="26"/>
          <w:szCs w:val="26"/>
        </w:rPr>
        <w:t xml:space="preserve"> avec l</w:t>
      </w:r>
      <w:r w:rsidRPr="009663F3">
        <w:rPr>
          <w:sz w:val="26"/>
          <w:szCs w:val="26"/>
        </w:rPr>
        <w:t xml:space="preserve">es données statistiques basées sur les différentes méthodes d’analyse, près de 44% de nos concitoyens </w:t>
      </w:r>
      <w:r>
        <w:rPr>
          <w:sz w:val="26"/>
          <w:szCs w:val="26"/>
        </w:rPr>
        <w:t xml:space="preserve">considèrent que l’extrême pauvreté est une réalité dans leur environnement. </w:t>
      </w:r>
      <w:r w:rsidRPr="009663F3">
        <w:rPr>
          <w:sz w:val="26"/>
          <w:szCs w:val="26"/>
        </w:rPr>
        <w:t xml:space="preserve"> </w:t>
      </w:r>
      <w:r>
        <w:rPr>
          <w:sz w:val="26"/>
          <w:szCs w:val="26"/>
        </w:rPr>
        <w:t xml:space="preserve">Plus de 80% d’entre eux pointent la mendicité </w:t>
      </w:r>
      <w:r w:rsidRPr="009663F3">
        <w:rPr>
          <w:sz w:val="26"/>
          <w:szCs w:val="26"/>
        </w:rPr>
        <w:t>comme un</w:t>
      </w:r>
      <w:r>
        <w:rPr>
          <w:sz w:val="26"/>
          <w:szCs w:val="26"/>
        </w:rPr>
        <w:t xml:space="preserve"> phénomène fréquent ou très fréquent et 45% en attribuent la raison au chômage, 33% à la lucrativité de la pratique. D’une façon générale, </w:t>
      </w:r>
      <w:r w:rsidRPr="009663F3">
        <w:rPr>
          <w:sz w:val="26"/>
          <w:szCs w:val="26"/>
        </w:rPr>
        <w:t xml:space="preserve">le chômage, la précarité de l’emploi et les difficultés d’accès aux programmes sociaux avec un accent </w:t>
      </w:r>
      <w:r w:rsidRPr="009663F3">
        <w:rPr>
          <w:sz w:val="26"/>
          <w:szCs w:val="26"/>
        </w:rPr>
        <w:lastRenderedPageBreak/>
        <w:t>particulier sur les limites de la protection sociale et de la couverture médicale</w:t>
      </w:r>
      <w:r>
        <w:rPr>
          <w:sz w:val="26"/>
          <w:szCs w:val="26"/>
        </w:rPr>
        <w:t xml:space="preserve"> sont cités comme les causes explicatives de l’indigence sociale.  </w:t>
      </w:r>
      <w:r w:rsidRPr="009663F3">
        <w:rPr>
          <w:sz w:val="26"/>
          <w:szCs w:val="26"/>
        </w:rPr>
        <w:t xml:space="preserve"> </w:t>
      </w:r>
    </w:p>
    <w:p w:rsidR="00110AD4" w:rsidRPr="00101211" w:rsidRDefault="00110AD4" w:rsidP="00110AD4">
      <w:pPr>
        <w:spacing w:line="360" w:lineRule="auto"/>
        <w:jc w:val="both"/>
        <w:rPr>
          <w:b/>
          <w:bCs/>
          <w:sz w:val="26"/>
          <w:szCs w:val="26"/>
        </w:rPr>
      </w:pPr>
      <w:r>
        <w:rPr>
          <w:b/>
          <w:bCs/>
          <w:sz w:val="26"/>
          <w:szCs w:val="26"/>
          <w:u w:val="single"/>
        </w:rPr>
        <w:t>Au plan de l</w:t>
      </w:r>
      <w:r w:rsidRPr="008906EB">
        <w:rPr>
          <w:b/>
          <w:bCs/>
          <w:sz w:val="26"/>
          <w:szCs w:val="26"/>
          <w:u w:val="single"/>
        </w:rPr>
        <w:t>’égalité des sexes</w:t>
      </w:r>
      <w:r>
        <w:rPr>
          <w:b/>
          <w:bCs/>
          <w:sz w:val="26"/>
          <w:szCs w:val="26"/>
        </w:rPr>
        <w:t> :</w:t>
      </w:r>
    </w:p>
    <w:p w:rsidR="00110AD4" w:rsidRDefault="00110AD4" w:rsidP="00110AD4">
      <w:pPr>
        <w:spacing w:line="360" w:lineRule="auto"/>
        <w:ind w:firstLine="708"/>
        <w:jc w:val="both"/>
        <w:rPr>
          <w:sz w:val="26"/>
          <w:szCs w:val="26"/>
        </w:rPr>
      </w:pPr>
      <w:r w:rsidRPr="00101211">
        <w:rPr>
          <w:sz w:val="26"/>
          <w:szCs w:val="26"/>
        </w:rPr>
        <w:t xml:space="preserve">L’égalité des sexes au Maroc est perçue comme une réalité par 41% de la population. Plus de 70% </w:t>
      </w:r>
      <w:r>
        <w:rPr>
          <w:sz w:val="26"/>
          <w:szCs w:val="26"/>
        </w:rPr>
        <w:t>attribuent l’origine des inégalités dans ce domaine aux valeurs héritées de la tradition et à des comportements innés chez l’homme</w:t>
      </w:r>
      <w:r w:rsidRPr="00101211">
        <w:rPr>
          <w:sz w:val="26"/>
          <w:szCs w:val="26"/>
        </w:rPr>
        <w:t xml:space="preserve">. En grande majorité favorable à la parité hommes-femmes dans tous les domaines de la vie économique et institutionnelle, </w:t>
      </w:r>
      <w:r w:rsidRPr="00E663C9">
        <w:rPr>
          <w:b/>
          <w:bCs/>
          <w:sz w:val="26"/>
          <w:szCs w:val="26"/>
        </w:rPr>
        <w:t>la population est, cependant, à 87% contre toute parité dans le partage de l’héritage</w:t>
      </w:r>
      <w:r w:rsidRPr="00101211">
        <w:rPr>
          <w:sz w:val="26"/>
          <w:szCs w:val="26"/>
        </w:rPr>
        <w:t xml:space="preserve">. </w:t>
      </w:r>
    </w:p>
    <w:p w:rsidR="00110AD4" w:rsidRDefault="00110AD4" w:rsidP="00110AD4">
      <w:pPr>
        <w:spacing w:line="360" w:lineRule="auto"/>
        <w:ind w:firstLine="708"/>
        <w:jc w:val="both"/>
        <w:rPr>
          <w:sz w:val="26"/>
          <w:szCs w:val="26"/>
        </w:rPr>
      </w:pPr>
      <w:r>
        <w:rPr>
          <w:sz w:val="26"/>
          <w:szCs w:val="26"/>
        </w:rPr>
        <w:t xml:space="preserve">A cet égard, il y a lieu de noter le décalage paradoxal, dans ce domaine, entre l’expression d’une adhésion à l’égalité des sexes dans tous les </w:t>
      </w:r>
      <w:r w:rsidRPr="00583BC1">
        <w:rPr>
          <w:sz w:val="26"/>
          <w:szCs w:val="26"/>
        </w:rPr>
        <w:t>domaines</w:t>
      </w:r>
      <w:r>
        <w:rPr>
          <w:sz w:val="26"/>
          <w:szCs w:val="26"/>
        </w:rPr>
        <w:t xml:space="preserve"> et à la parité dans toutes les institutions, d’une part et l’accord donné par plus de 60% de la population à des affirmations telles que : « </w:t>
      </w:r>
      <w:r w:rsidRPr="00583BC1">
        <w:rPr>
          <w:i/>
          <w:iCs/>
          <w:sz w:val="26"/>
          <w:szCs w:val="26"/>
        </w:rPr>
        <w:t>la priorité doit être donnée aux hommes dans le marché du travail</w:t>
      </w:r>
      <w:r>
        <w:rPr>
          <w:sz w:val="26"/>
          <w:szCs w:val="26"/>
        </w:rPr>
        <w:t xml:space="preserve"> » ou encore «  </w:t>
      </w:r>
      <w:r w:rsidRPr="00583BC1">
        <w:rPr>
          <w:i/>
          <w:iCs/>
          <w:sz w:val="26"/>
          <w:szCs w:val="26"/>
        </w:rPr>
        <w:t>le travail de la femmes se fait au détriment de l’éducation des enfants</w:t>
      </w:r>
      <w:r>
        <w:rPr>
          <w:sz w:val="26"/>
          <w:szCs w:val="26"/>
        </w:rPr>
        <w:t> » ou encore « </w:t>
      </w:r>
      <w:r w:rsidRPr="00583BC1">
        <w:rPr>
          <w:i/>
          <w:iCs/>
          <w:sz w:val="26"/>
          <w:szCs w:val="26"/>
        </w:rPr>
        <w:t>les hommes sont plus capables d’assumer les responsabilités que les femmes</w:t>
      </w:r>
      <w:r>
        <w:rPr>
          <w:sz w:val="26"/>
          <w:szCs w:val="26"/>
        </w:rPr>
        <w:t xml:space="preserve"> ». </w:t>
      </w:r>
    </w:p>
    <w:p w:rsidR="00110AD4" w:rsidRDefault="00110AD4" w:rsidP="00110AD4">
      <w:pPr>
        <w:spacing w:line="360" w:lineRule="auto"/>
        <w:jc w:val="both"/>
        <w:rPr>
          <w:b/>
          <w:bCs/>
          <w:sz w:val="26"/>
          <w:szCs w:val="26"/>
        </w:rPr>
      </w:pPr>
      <w:r>
        <w:rPr>
          <w:b/>
          <w:bCs/>
          <w:sz w:val="26"/>
          <w:szCs w:val="26"/>
        </w:rPr>
        <w:t xml:space="preserve">En conclusion, à travers la perception transversale que nos concitoyens ont de l’origine des maux et déficits sociaux qu’ils dénoncent, d’une part et celle qu’ils ont des atouts de leur pays, je voudrais attirer l’attention sur les données suivantes : </w:t>
      </w:r>
    </w:p>
    <w:p w:rsidR="00110AD4" w:rsidRPr="006A74EA" w:rsidRDefault="00110AD4" w:rsidP="00110AD4">
      <w:pPr>
        <w:numPr>
          <w:ilvl w:val="0"/>
          <w:numId w:val="1"/>
        </w:numPr>
        <w:spacing w:line="360" w:lineRule="auto"/>
        <w:jc w:val="both"/>
        <w:rPr>
          <w:b/>
          <w:bCs/>
          <w:sz w:val="26"/>
          <w:szCs w:val="26"/>
          <w:u w:val="single"/>
        </w:rPr>
      </w:pPr>
      <w:r>
        <w:rPr>
          <w:sz w:val="26"/>
          <w:szCs w:val="26"/>
        </w:rPr>
        <w:t xml:space="preserve">la large incrimination par nos concitoyens de la pauvreté, du chômage et de la drogue dans les phénomènes de la violence, comme leur incrimination des inégalités dans le domaine de l’emploi, de la santé et des services sociaux à la corruption et au népotisme.  </w:t>
      </w:r>
    </w:p>
    <w:p w:rsidR="00110AD4" w:rsidRPr="00E64C86" w:rsidRDefault="00110AD4" w:rsidP="00110AD4">
      <w:pPr>
        <w:numPr>
          <w:ilvl w:val="0"/>
          <w:numId w:val="1"/>
        </w:numPr>
        <w:spacing w:line="360" w:lineRule="auto"/>
        <w:jc w:val="both"/>
        <w:rPr>
          <w:b/>
          <w:bCs/>
          <w:sz w:val="26"/>
          <w:szCs w:val="26"/>
          <w:u w:val="single"/>
        </w:rPr>
      </w:pPr>
      <w:r>
        <w:rPr>
          <w:sz w:val="26"/>
          <w:szCs w:val="26"/>
        </w:rPr>
        <w:t xml:space="preserve">l’explication récurrente de nos concitoyens par le peu de rigueur du système coercitif qu’ils donnent, par ailleurs, à tous les maux et déficits sociaux qu’ils </w:t>
      </w:r>
      <w:r>
        <w:rPr>
          <w:sz w:val="26"/>
          <w:szCs w:val="26"/>
        </w:rPr>
        <w:lastRenderedPageBreak/>
        <w:t>dénoncent dans leur vie quotidienne, ils expriment l’existence dans notre société d’une large demande d’ordre.</w:t>
      </w:r>
    </w:p>
    <w:p w:rsidR="00110AD4" w:rsidRDefault="00110AD4" w:rsidP="00110AD4">
      <w:pPr>
        <w:spacing w:line="360" w:lineRule="auto"/>
        <w:ind w:left="360"/>
        <w:jc w:val="both"/>
        <w:rPr>
          <w:sz w:val="26"/>
          <w:szCs w:val="26"/>
        </w:rPr>
      </w:pPr>
      <w:r>
        <w:rPr>
          <w:sz w:val="26"/>
          <w:szCs w:val="26"/>
        </w:rPr>
        <w:t xml:space="preserve">Par ailleurs, </w:t>
      </w:r>
    </w:p>
    <w:p w:rsidR="00110AD4" w:rsidRDefault="00110AD4" w:rsidP="00110AD4">
      <w:pPr>
        <w:numPr>
          <w:ilvl w:val="0"/>
          <w:numId w:val="1"/>
        </w:numPr>
        <w:spacing w:line="360" w:lineRule="auto"/>
        <w:jc w:val="both"/>
        <w:rPr>
          <w:sz w:val="26"/>
          <w:szCs w:val="26"/>
        </w:rPr>
      </w:pPr>
      <w:r>
        <w:rPr>
          <w:sz w:val="26"/>
          <w:szCs w:val="26"/>
        </w:rPr>
        <w:t>p</w:t>
      </w:r>
      <w:r w:rsidRPr="00682237">
        <w:rPr>
          <w:sz w:val="26"/>
          <w:szCs w:val="26"/>
        </w:rPr>
        <w:t>our plus de 80%</w:t>
      </w:r>
      <w:r>
        <w:rPr>
          <w:sz w:val="26"/>
          <w:szCs w:val="26"/>
        </w:rPr>
        <w:t>,</w:t>
      </w:r>
      <w:r w:rsidRPr="00682237">
        <w:rPr>
          <w:sz w:val="26"/>
          <w:szCs w:val="26"/>
        </w:rPr>
        <w:t xml:space="preserve"> le Maroc arrivera à réaliser totalement l’ensemble des </w:t>
      </w:r>
      <w:r w:rsidRPr="00311770">
        <w:rPr>
          <w:sz w:val="26"/>
          <w:szCs w:val="26"/>
        </w:rPr>
        <w:t>ODD</w:t>
      </w:r>
      <w:r w:rsidRPr="00682237">
        <w:rPr>
          <w:sz w:val="26"/>
          <w:szCs w:val="26"/>
        </w:rPr>
        <w:t xml:space="preserve"> à l’horizon 2030</w:t>
      </w:r>
      <w:r>
        <w:rPr>
          <w:sz w:val="26"/>
          <w:szCs w:val="26"/>
        </w:rPr>
        <w:t xml:space="preserve"> ; </w:t>
      </w:r>
    </w:p>
    <w:p w:rsidR="00110AD4" w:rsidRPr="00626590" w:rsidRDefault="00110AD4" w:rsidP="00110AD4">
      <w:pPr>
        <w:numPr>
          <w:ilvl w:val="0"/>
          <w:numId w:val="1"/>
        </w:numPr>
        <w:spacing w:line="360" w:lineRule="auto"/>
        <w:jc w:val="both"/>
        <w:rPr>
          <w:sz w:val="26"/>
          <w:szCs w:val="26"/>
          <w:u w:val="single"/>
        </w:rPr>
      </w:pPr>
      <w:r w:rsidRPr="00626590">
        <w:rPr>
          <w:sz w:val="26"/>
          <w:szCs w:val="26"/>
        </w:rPr>
        <w:t>50% de nos concitoyens déclarent avoir pris des initiatives en faveur de l’environnement au cours des 5 dernières années et 65% se déclarent disposés à en prendre pour contribuer à sa protection par le recours, notamment, à l’énergie so</w:t>
      </w:r>
      <w:r>
        <w:rPr>
          <w:sz w:val="26"/>
          <w:szCs w:val="26"/>
        </w:rPr>
        <w:t>laire au lieu du gaz et du bois ;</w:t>
      </w:r>
    </w:p>
    <w:p w:rsidR="00110AD4" w:rsidRPr="00682237" w:rsidRDefault="00110AD4" w:rsidP="00110AD4">
      <w:pPr>
        <w:numPr>
          <w:ilvl w:val="0"/>
          <w:numId w:val="1"/>
        </w:numPr>
        <w:spacing w:line="360" w:lineRule="auto"/>
        <w:jc w:val="both"/>
        <w:rPr>
          <w:sz w:val="26"/>
          <w:szCs w:val="26"/>
          <w:u w:val="single"/>
        </w:rPr>
      </w:pPr>
      <w:r w:rsidRPr="00626590">
        <w:rPr>
          <w:sz w:val="26"/>
          <w:szCs w:val="26"/>
        </w:rPr>
        <w:t>plus de 90% de nos citoyens jugent notre société paisible et en attribuent les conflits, quand ils existent, à un déficit moral ;</w:t>
      </w:r>
      <w:r w:rsidRPr="00626590">
        <w:rPr>
          <w:sz w:val="26"/>
          <w:szCs w:val="26"/>
          <w:u w:val="single"/>
        </w:rPr>
        <w:t xml:space="preserve"> </w:t>
      </w:r>
    </w:p>
    <w:p w:rsidR="00110AD4" w:rsidRDefault="00110AD4" w:rsidP="00110AD4">
      <w:pPr>
        <w:spacing w:line="360" w:lineRule="auto"/>
        <w:ind w:firstLine="708"/>
        <w:jc w:val="both"/>
        <w:rPr>
          <w:sz w:val="26"/>
          <w:szCs w:val="26"/>
        </w:rPr>
      </w:pPr>
      <w:r>
        <w:rPr>
          <w:sz w:val="26"/>
          <w:szCs w:val="26"/>
        </w:rPr>
        <w:t>Au total, l’ensemble des réponses données par nos concitoyens aux questions posées par l’enquête sont largement synthétisées par le tableau ci-dessous qui reproduit leurs réponses à la question suivante :</w:t>
      </w:r>
      <w:r w:rsidRPr="00682237">
        <w:rPr>
          <w:sz w:val="26"/>
          <w:szCs w:val="26"/>
        </w:rPr>
        <w:t xml:space="preserve"> </w:t>
      </w:r>
    </w:p>
    <w:p w:rsidR="00110AD4" w:rsidRPr="00082FEF" w:rsidRDefault="00110AD4" w:rsidP="00110AD4">
      <w:pPr>
        <w:spacing w:line="360" w:lineRule="auto"/>
        <w:jc w:val="both"/>
        <w:rPr>
          <w:sz w:val="24"/>
          <w:szCs w:val="24"/>
        </w:rPr>
      </w:pPr>
      <w:r w:rsidRPr="00082FEF">
        <w:rPr>
          <w:sz w:val="24"/>
          <w:szCs w:val="24"/>
        </w:rPr>
        <w:t xml:space="preserve">" </w:t>
      </w:r>
      <w:r w:rsidRPr="00082FEF">
        <w:rPr>
          <w:b/>
          <w:bCs/>
          <w:i/>
          <w:iCs/>
          <w:sz w:val="24"/>
          <w:szCs w:val="24"/>
        </w:rPr>
        <w:t>Quelles sont les conditions que notre pays doit réaliser pour atteindre les ODD à l’horizon 2030</w:t>
      </w:r>
      <w:r w:rsidRPr="00082FEF">
        <w:rPr>
          <w:sz w:val="24"/>
          <w:szCs w:val="24"/>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1539"/>
        <w:gridCol w:w="1399"/>
        <w:gridCol w:w="1292"/>
      </w:tblGrid>
      <w:tr w:rsidR="00110AD4" w:rsidRPr="001D1D59" w:rsidTr="002F0D46">
        <w:tc>
          <w:tcPr>
            <w:tcW w:w="4928" w:type="dxa"/>
          </w:tcPr>
          <w:p w:rsidR="00110AD4" w:rsidRPr="00E93821" w:rsidRDefault="00110AD4" w:rsidP="002F0D46">
            <w:pPr>
              <w:spacing w:after="0" w:line="360" w:lineRule="auto"/>
              <w:rPr>
                <w:sz w:val="24"/>
                <w:szCs w:val="24"/>
              </w:rPr>
            </w:pPr>
          </w:p>
        </w:tc>
        <w:tc>
          <w:tcPr>
            <w:tcW w:w="1559" w:type="dxa"/>
          </w:tcPr>
          <w:p w:rsidR="00110AD4" w:rsidRPr="00E93821" w:rsidRDefault="00110AD4" w:rsidP="002F0D46">
            <w:pPr>
              <w:spacing w:after="0" w:line="360" w:lineRule="auto"/>
              <w:jc w:val="center"/>
              <w:rPr>
                <w:b/>
                <w:bCs/>
                <w:sz w:val="24"/>
                <w:szCs w:val="24"/>
              </w:rPr>
            </w:pPr>
            <w:r w:rsidRPr="00E93821">
              <w:rPr>
                <w:b/>
                <w:bCs/>
                <w:sz w:val="24"/>
                <w:szCs w:val="24"/>
              </w:rPr>
              <w:t>Urbain</w:t>
            </w:r>
          </w:p>
        </w:tc>
        <w:tc>
          <w:tcPr>
            <w:tcW w:w="1418" w:type="dxa"/>
          </w:tcPr>
          <w:p w:rsidR="00110AD4" w:rsidRPr="00E93821" w:rsidRDefault="00110AD4" w:rsidP="002F0D46">
            <w:pPr>
              <w:spacing w:after="0" w:line="360" w:lineRule="auto"/>
              <w:jc w:val="center"/>
              <w:rPr>
                <w:b/>
                <w:bCs/>
                <w:sz w:val="24"/>
                <w:szCs w:val="24"/>
              </w:rPr>
            </w:pPr>
            <w:r w:rsidRPr="00E93821">
              <w:rPr>
                <w:b/>
                <w:bCs/>
                <w:sz w:val="24"/>
                <w:szCs w:val="24"/>
              </w:rPr>
              <w:t>Rural</w:t>
            </w:r>
          </w:p>
        </w:tc>
        <w:tc>
          <w:tcPr>
            <w:tcW w:w="1307" w:type="dxa"/>
          </w:tcPr>
          <w:p w:rsidR="00110AD4" w:rsidRPr="00E93821" w:rsidRDefault="00110AD4" w:rsidP="002F0D46">
            <w:pPr>
              <w:spacing w:after="0" w:line="360" w:lineRule="auto"/>
              <w:jc w:val="center"/>
              <w:rPr>
                <w:b/>
                <w:bCs/>
                <w:sz w:val="24"/>
                <w:szCs w:val="24"/>
              </w:rPr>
            </w:pPr>
            <w:r w:rsidRPr="00E93821">
              <w:rPr>
                <w:b/>
                <w:bCs/>
                <w:sz w:val="24"/>
                <w:szCs w:val="24"/>
              </w:rPr>
              <w:t>Total</w:t>
            </w:r>
          </w:p>
        </w:tc>
      </w:tr>
      <w:tr w:rsidR="00110AD4" w:rsidRPr="001D1D59" w:rsidTr="002F0D46">
        <w:tc>
          <w:tcPr>
            <w:tcW w:w="4928" w:type="dxa"/>
          </w:tcPr>
          <w:p w:rsidR="00110AD4" w:rsidRPr="00E93821" w:rsidRDefault="00110AD4" w:rsidP="002F0D46">
            <w:pPr>
              <w:spacing w:after="0" w:line="360" w:lineRule="auto"/>
              <w:rPr>
                <w:b/>
                <w:bCs/>
                <w:i/>
                <w:iCs/>
                <w:sz w:val="24"/>
                <w:szCs w:val="24"/>
              </w:rPr>
            </w:pPr>
            <w:r w:rsidRPr="00E93821">
              <w:rPr>
                <w:b/>
                <w:bCs/>
                <w:i/>
                <w:iCs/>
                <w:sz w:val="24"/>
                <w:szCs w:val="24"/>
              </w:rPr>
              <w:t xml:space="preserve">La réforme de l’administration </w:t>
            </w:r>
          </w:p>
        </w:tc>
        <w:tc>
          <w:tcPr>
            <w:tcW w:w="1559" w:type="dxa"/>
          </w:tcPr>
          <w:p w:rsidR="00110AD4" w:rsidRPr="00E93821" w:rsidRDefault="00110AD4" w:rsidP="002F0D46">
            <w:pPr>
              <w:spacing w:after="0" w:line="360" w:lineRule="auto"/>
              <w:jc w:val="center"/>
              <w:rPr>
                <w:sz w:val="24"/>
                <w:szCs w:val="24"/>
              </w:rPr>
            </w:pPr>
            <w:r w:rsidRPr="00E93821">
              <w:rPr>
                <w:sz w:val="24"/>
                <w:szCs w:val="24"/>
              </w:rPr>
              <w:t>18,3%</w:t>
            </w:r>
          </w:p>
        </w:tc>
        <w:tc>
          <w:tcPr>
            <w:tcW w:w="1418" w:type="dxa"/>
          </w:tcPr>
          <w:p w:rsidR="00110AD4" w:rsidRPr="00E93821" w:rsidRDefault="00110AD4" w:rsidP="002F0D46">
            <w:pPr>
              <w:spacing w:after="0" w:line="360" w:lineRule="auto"/>
              <w:jc w:val="center"/>
              <w:rPr>
                <w:sz w:val="24"/>
                <w:szCs w:val="24"/>
              </w:rPr>
            </w:pPr>
            <w:r>
              <w:rPr>
                <w:sz w:val="24"/>
                <w:szCs w:val="24"/>
              </w:rPr>
              <w:t>19,4</w:t>
            </w:r>
            <w:r w:rsidRPr="00E93821">
              <w:rPr>
                <w:sz w:val="24"/>
                <w:szCs w:val="24"/>
              </w:rPr>
              <w:t>%</w:t>
            </w:r>
          </w:p>
        </w:tc>
        <w:tc>
          <w:tcPr>
            <w:tcW w:w="1307" w:type="dxa"/>
          </w:tcPr>
          <w:p w:rsidR="00110AD4" w:rsidRPr="00E93821" w:rsidRDefault="00110AD4" w:rsidP="002F0D46">
            <w:pPr>
              <w:spacing w:after="0" w:line="360" w:lineRule="auto"/>
              <w:jc w:val="center"/>
              <w:rPr>
                <w:sz w:val="24"/>
                <w:szCs w:val="24"/>
              </w:rPr>
            </w:pPr>
            <w:r>
              <w:rPr>
                <w:sz w:val="24"/>
                <w:szCs w:val="24"/>
              </w:rPr>
              <w:t>18,7%</w:t>
            </w:r>
          </w:p>
        </w:tc>
      </w:tr>
      <w:tr w:rsidR="00110AD4" w:rsidRPr="001D1D59" w:rsidTr="002F0D46">
        <w:tc>
          <w:tcPr>
            <w:tcW w:w="4928" w:type="dxa"/>
          </w:tcPr>
          <w:p w:rsidR="00110AD4" w:rsidRPr="00E93821" w:rsidRDefault="00110AD4" w:rsidP="002F0D46">
            <w:pPr>
              <w:spacing w:after="0" w:line="360" w:lineRule="auto"/>
              <w:rPr>
                <w:b/>
                <w:bCs/>
                <w:i/>
                <w:iCs/>
                <w:sz w:val="24"/>
                <w:szCs w:val="24"/>
              </w:rPr>
            </w:pPr>
            <w:r w:rsidRPr="00E93821">
              <w:rPr>
                <w:b/>
                <w:bCs/>
                <w:i/>
                <w:iCs/>
                <w:sz w:val="24"/>
                <w:szCs w:val="24"/>
              </w:rPr>
              <w:t>Un</w:t>
            </w:r>
            <w:r>
              <w:rPr>
                <w:b/>
                <w:bCs/>
                <w:i/>
                <w:iCs/>
                <w:sz w:val="24"/>
                <w:szCs w:val="24"/>
              </w:rPr>
              <w:t>e présence plus forte de l’autorité de l’Etat</w:t>
            </w:r>
          </w:p>
        </w:tc>
        <w:tc>
          <w:tcPr>
            <w:tcW w:w="1559" w:type="dxa"/>
          </w:tcPr>
          <w:p w:rsidR="00110AD4" w:rsidRPr="00E93821" w:rsidRDefault="00110AD4" w:rsidP="002F0D46">
            <w:pPr>
              <w:spacing w:after="0" w:line="360" w:lineRule="auto"/>
              <w:jc w:val="center"/>
              <w:rPr>
                <w:sz w:val="24"/>
                <w:szCs w:val="24"/>
              </w:rPr>
            </w:pPr>
            <w:r w:rsidRPr="00E93821">
              <w:rPr>
                <w:sz w:val="24"/>
                <w:szCs w:val="24"/>
              </w:rPr>
              <w:t>18,7%</w:t>
            </w:r>
          </w:p>
        </w:tc>
        <w:tc>
          <w:tcPr>
            <w:tcW w:w="1418" w:type="dxa"/>
          </w:tcPr>
          <w:p w:rsidR="00110AD4" w:rsidRPr="00E93821" w:rsidRDefault="00110AD4" w:rsidP="002F0D46">
            <w:pPr>
              <w:spacing w:after="0" w:line="360" w:lineRule="auto"/>
              <w:jc w:val="center"/>
              <w:rPr>
                <w:sz w:val="24"/>
                <w:szCs w:val="24"/>
              </w:rPr>
            </w:pPr>
            <w:r w:rsidRPr="00E93821">
              <w:rPr>
                <w:sz w:val="24"/>
                <w:szCs w:val="24"/>
              </w:rPr>
              <w:t>1</w:t>
            </w:r>
            <w:r>
              <w:rPr>
                <w:sz w:val="24"/>
                <w:szCs w:val="24"/>
              </w:rPr>
              <w:t>7</w:t>
            </w:r>
            <w:r w:rsidRPr="00E93821">
              <w:rPr>
                <w:sz w:val="24"/>
                <w:szCs w:val="24"/>
              </w:rPr>
              <w:t>,</w:t>
            </w:r>
            <w:r>
              <w:rPr>
                <w:sz w:val="24"/>
                <w:szCs w:val="24"/>
              </w:rPr>
              <w:t>6</w:t>
            </w:r>
            <w:r w:rsidRPr="00E93821">
              <w:rPr>
                <w:sz w:val="24"/>
                <w:szCs w:val="24"/>
              </w:rPr>
              <w:t>%</w:t>
            </w:r>
          </w:p>
        </w:tc>
        <w:tc>
          <w:tcPr>
            <w:tcW w:w="1307" w:type="dxa"/>
          </w:tcPr>
          <w:p w:rsidR="00110AD4" w:rsidRPr="00E93821" w:rsidRDefault="00110AD4" w:rsidP="002F0D46">
            <w:pPr>
              <w:spacing w:after="0" w:line="360" w:lineRule="auto"/>
              <w:jc w:val="center"/>
              <w:rPr>
                <w:sz w:val="24"/>
                <w:szCs w:val="24"/>
              </w:rPr>
            </w:pPr>
            <w:r w:rsidRPr="00E93821">
              <w:rPr>
                <w:sz w:val="24"/>
                <w:szCs w:val="24"/>
              </w:rPr>
              <w:t>18,3%</w:t>
            </w:r>
          </w:p>
        </w:tc>
      </w:tr>
      <w:tr w:rsidR="00110AD4" w:rsidRPr="001D1D59" w:rsidTr="002F0D46">
        <w:tc>
          <w:tcPr>
            <w:tcW w:w="4928" w:type="dxa"/>
          </w:tcPr>
          <w:p w:rsidR="00110AD4" w:rsidRPr="00E93821" w:rsidRDefault="00110AD4" w:rsidP="002F0D46">
            <w:pPr>
              <w:spacing w:after="0" w:line="360" w:lineRule="auto"/>
              <w:rPr>
                <w:b/>
                <w:bCs/>
                <w:i/>
                <w:iCs/>
                <w:sz w:val="24"/>
                <w:szCs w:val="24"/>
              </w:rPr>
            </w:pPr>
            <w:r w:rsidRPr="00E93821">
              <w:rPr>
                <w:b/>
                <w:bCs/>
                <w:i/>
                <w:iCs/>
                <w:sz w:val="24"/>
                <w:szCs w:val="24"/>
              </w:rPr>
              <w:t xml:space="preserve">La réforme de l’enseignement </w:t>
            </w:r>
          </w:p>
        </w:tc>
        <w:tc>
          <w:tcPr>
            <w:tcW w:w="1559" w:type="dxa"/>
          </w:tcPr>
          <w:p w:rsidR="00110AD4" w:rsidRPr="00E93821" w:rsidRDefault="00110AD4" w:rsidP="002F0D46">
            <w:pPr>
              <w:spacing w:after="0" w:line="360" w:lineRule="auto"/>
              <w:jc w:val="center"/>
              <w:rPr>
                <w:sz w:val="24"/>
                <w:szCs w:val="24"/>
              </w:rPr>
            </w:pPr>
            <w:r>
              <w:rPr>
                <w:sz w:val="24"/>
                <w:szCs w:val="24"/>
              </w:rPr>
              <w:t>15,2%</w:t>
            </w:r>
          </w:p>
        </w:tc>
        <w:tc>
          <w:tcPr>
            <w:tcW w:w="1418" w:type="dxa"/>
          </w:tcPr>
          <w:p w:rsidR="00110AD4" w:rsidRPr="00E93821" w:rsidRDefault="00110AD4" w:rsidP="002F0D46">
            <w:pPr>
              <w:spacing w:after="0" w:line="360" w:lineRule="auto"/>
              <w:jc w:val="center"/>
              <w:rPr>
                <w:sz w:val="24"/>
                <w:szCs w:val="24"/>
              </w:rPr>
            </w:pPr>
            <w:r>
              <w:rPr>
                <w:sz w:val="24"/>
                <w:szCs w:val="24"/>
              </w:rPr>
              <w:t>11,4%</w:t>
            </w:r>
          </w:p>
        </w:tc>
        <w:tc>
          <w:tcPr>
            <w:tcW w:w="1307" w:type="dxa"/>
          </w:tcPr>
          <w:p w:rsidR="00110AD4" w:rsidRPr="00E93821" w:rsidRDefault="00110AD4" w:rsidP="002F0D46">
            <w:pPr>
              <w:spacing w:after="0" w:line="360" w:lineRule="auto"/>
              <w:jc w:val="center"/>
              <w:rPr>
                <w:sz w:val="24"/>
                <w:szCs w:val="24"/>
              </w:rPr>
            </w:pPr>
            <w:r>
              <w:rPr>
                <w:sz w:val="24"/>
                <w:szCs w:val="24"/>
              </w:rPr>
              <w:t>13,8%</w:t>
            </w:r>
          </w:p>
        </w:tc>
      </w:tr>
      <w:tr w:rsidR="00110AD4" w:rsidRPr="001D1D59" w:rsidTr="002F0D46">
        <w:tc>
          <w:tcPr>
            <w:tcW w:w="4928" w:type="dxa"/>
          </w:tcPr>
          <w:p w:rsidR="00110AD4" w:rsidRPr="00E93821" w:rsidRDefault="00110AD4" w:rsidP="002F0D46">
            <w:pPr>
              <w:spacing w:after="0" w:line="360" w:lineRule="auto"/>
              <w:rPr>
                <w:b/>
                <w:bCs/>
                <w:i/>
                <w:iCs/>
                <w:sz w:val="24"/>
                <w:szCs w:val="24"/>
              </w:rPr>
            </w:pPr>
            <w:r w:rsidRPr="00E93821">
              <w:rPr>
                <w:b/>
                <w:bCs/>
                <w:i/>
                <w:iCs/>
                <w:sz w:val="24"/>
                <w:szCs w:val="24"/>
              </w:rPr>
              <w:t xml:space="preserve">L’égalité d’accès à l’enseignement et à la santé </w:t>
            </w:r>
          </w:p>
        </w:tc>
        <w:tc>
          <w:tcPr>
            <w:tcW w:w="1559" w:type="dxa"/>
          </w:tcPr>
          <w:p w:rsidR="00110AD4" w:rsidRPr="00E93821" w:rsidRDefault="00110AD4" w:rsidP="002F0D46">
            <w:pPr>
              <w:spacing w:after="0" w:line="360" w:lineRule="auto"/>
              <w:jc w:val="center"/>
              <w:rPr>
                <w:sz w:val="24"/>
                <w:szCs w:val="24"/>
              </w:rPr>
            </w:pPr>
            <w:r>
              <w:rPr>
                <w:sz w:val="24"/>
                <w:szCs w:val="24"/>
              </w:rPr>
              <w:t>12,2%</w:t>
            </w:r>
          </w:p>
        </w:tc>
        <w:tc>
          <w:tcPr>
            <w:tcW w:w="1418" w:type="dxa"/>
          </w:tcPr>
          <w:p w:rsidR="00110AD4" w:rsidRPr="00E93821" w:rsidRDefault="00110AD4" w:rsidP="002F0D46">
            <w:pPr>
              <w:spacing w:after="0" w:line="360" w:lineRule="auto"/>
              <w:jc w:val="center"/>
              <w:rPr>
                <w:sz w:val="24"/>
                <w:szCs w:val="24"/>
              </w:rPr>
            </w:pPr>
            <w:r>
              <w:rPr>
                <w:sz w:val="24"/>
                <w:szCs w:val="24"/>
              </w:rPr>
              <w:t>14,2%</w:t>
            </w:r>
          </w:p>
        </w:tc>
        <w:tc>
          <w:tcPr>
            <w:tcW w:w="1307" w:type="dxa"/>
          </w:tcPr>
          <w:p w:rsidR="00110AD4" w:rsidRPr="00E93821" w:rsidRDefault="00110AD4" w:rsidP="002F0D46">
            <w:pPr>
              <w:spacing w:after="0" w:line="360" w:lineRule="auto"/>
              <w:jc w:val="center"/>
              <w:rPr>
                <w:sz w:val="24"/>
                <w:szCs w:val="24"/>
              </w:rPr>
            </w:pPr>
            <w:r>
              <w:rPr>
                <w:sz w:val="24"/>
                <w:szCs w:val="24"/>
              </w:rPr>
              <w:t>13,0%</w:t>
            </w:r>
          </w:p>
        </w:tc>
      </w:tr>
      <w:tr w:rsidR="00110AD4" w:rsidRPr="001D1D59" w:rsidTr="002F0D46">
        <w:tc>
          <w:tcPr>
            <w:tcW w:w="4928" w:type="dxa"/>
          </w:tcPr>
          <w:p w:rsidR="00110AD4" w:rsidRPr="00E93821" w:rsidRDefault="00110AD4" w:rsidP="002F0D46">
            <w:pPr>
              <w:spacing w:after="0" w:line="360" w:lineRule="auto"/>
              <w:rPr>
                <w:b/>
                <w:bCs/>
                <w:i/>
                <w:iCs/>
                <w:sz w:val="24"/>
                <w:szCs w:val="24"/>
              </w:rPr>
            </w:pPr>
            <w:r w:rsidRPr="00E93821">
              <w:rPr>
                <w:b/>
                <w:bCs/>
                <w:i/>
                <w:iCs/>
                <w:sz w:val="24"/>
                <w:szCs w:val="24"/>
              </w:rPr>
              <w:t xml:space="preserve">La démocratie </w:t>
            </w:r>
          </w:p>
        </w:tc>
        <w:tc>
          <w:tcPr>
            <w:tcW w:w="1559" w:type="dxa"/>
          </w:tcPr>
          <w:p w:rsidR="00110AD4" w:rsidRPr="00E93821" w:rsidRDefault="00110AD4" w:rsidP="002F0D46">
            <w:pPr>
              <w:spacing w:after="0" w:line="360" w:lineRule="auto"/>
              <w:jc w:val="center"/>
              <w:rPr>
                <w:sz w:val="24"/>
                <w:szCs w:val="24"/>
              </w:rPr>
            </w:pPr>
            <w:r>
              <w:rPr>
                <w:sz w:val="24"/>
                <w:szCs w:val="24"/>
              </w:rPr>
              <w:t>12,7%</w:t>
            </w:r>
          </w:p>
        </w:tc>
        <w:tc>
          <w:tcPr>
            <w:tcW w:w="1418" w:type="dxa"/>
          </w:tcPr>
          <w:p w:rsidR="00110AD4" w:rsidRPr="00E93821" w:rsidRDefault="00110AD4" w:rsidP="002F0D46">
            <w:pPr>
              <w:spacing w:after="0" w:line="360" w:lineRule="auto"/>
              <w:jc w:val="center"/>
              <w:rPr>
                <w:sz w:val="24"/>
                <w:szCs w:val="24"/>
              </w:rPr>
            </w:pPr>
            <w:r>
              <w:rPr>
                <w:sz w:val="24"/>
                <w:szCs w:val="24"/>
              </w:rPr>
              <w:t>13,2%</w:t>
            </w:r>
          </w:p>
        </w:tc>
        <w:tc>
          <w:tcPr>
            <w:tcW w:w="1307" w:type="dxa"/>
          </w:tcPr>
          <w:p w:rsidR="00110AD4" w:rsidRPr="00E93821" w:rsidRDefault="00110AD4" w:rsidP="002F0D46">
            <w:pPr>
              <w:spacing w:after="0" w:line="360" w:lineRule="auto"/>
              <w:jc w:val="center"/>
              <w:rPr>
                <w:sz w:val="24"/>
                <w:szCs w:val="24"/>
              </w:rPr>
            </w:pPr>
            <w:r>
              <w:rPr>
                <w:sz w:val="24"/>
                <w:szCs w:val="24"/>
              </w:rPr>
              <w:t>12,9%</w:t>
            </w:r>
          </w:p>
        </w:tc>
      </w:tr>
      <w:tr w:rsidR="00110AD4" w:rsidRPr="001D1D59" w:rsidTr="002F0D46">
        <w:tc>
          <w:tcPr>
            <w:tcW w:w="4928" w:type="dxa"/>
          </w:tcPr>
          <w:p w:rsidR="00110AD4" w:rsidRPr="00E93821" w:rsidRDefault="00110AD4" w:rsidP="002F0D46">
            <w:pPr>
              <w:spacing w:after="0" w:line="360" w:lineRule="auto"/>
              <w:rPr>
                <w:b/>
                <w:bCs/>
                <w:i/>
                <w:iCs/>
                <w:sz w:val="24"/>
                <w:szCs w:val="24"/>
              </w:rPr>
            </w:pPr>
            <w:r w:rsidRPr="00E93821">
              <w:rPr>
                <w:b/>
                <w:bCs/>
                <w:i/>
                <w:iCs/>
                <w:sz w:val="24"/>
                <w:szCs w:val="24"/>
              </w:rPr>
              <w:t xml:space="preserve">Le soutien des initiatives privées </w:t>
            </w:r>
          </w:p>
        </w:tc>
        <w:tc>
          <w:tcPr>
            <w:tcW w:w="1559" w:type="dxa"/>
          </w:tcPr>
          <w:p w:rsidR="00110AD4" w:rsidRPr="00E93821" w:rsidRDefault="00110AD4" w:rsidP="002F0D46">
            <w:pPr>
              <w:spacing w:after="0" w:line="360" w:lineRule="auto"/>
              <w:jc w:val="center"/>
              <w:rPr>
                <w:sz w:val="24"/>
                <w:szCs w:val="24"/>
              </w:rPr>
            </w:pPr>
            <w:r>
              <w:rPr>
                <w:sz w:val="24"/>
                <w:szCs w:val="24"/>
              </w:rPr>
              <w:t>11,5%</w:t>
            </w:r>
          </w:p>
        </w:tc>
        <w:tc>
          <w:tcPr>
            <w:tcW w:w="1418" w:type="dxa"/>
          </w:tcPr>
          <w:p w:rsidR="00110AD4" w:rsidRPr="00E93821" w:rsidRDefault="00110AD4" w:rsidP="002F0D46">
            <w:pPr>
              <w:spacing w:after="0" w:line="360" w:lineRule="auto"/>
              <w:jc w:val="center"/>
              <w:rPr>
                <w:sz w:val="24"/>
                <w:szCs w:val="24"/>
              </w:rPr>
            </w:pPr>
            <w:r>
              <w:rPr>
                <w:sz w:val="24"/>
                <w:szCs w:val="24"/>
              </w:rPr>
              <w:t>13,8%</w:t>
            </w:r>
          </w:p>
        </w:tc>
        <w:tc>
          <w:tcPr>
            <w:tcW w:w="1307" w:type="dxa"/>
          </w:tcPr>
          <w:p w:rsidR="00110AD4" w:rsidRPr="00E93821" w:rsidRDefault="00110AD4" w:rsidP="002F0D46">
            <w:pPr>
              <w:spacing w:after="0" w:line="360" w:lineRule="auto"/>
              <w:jc w:val="center"/>
              <w:rPr>
                <w:sz w:val="24"/>
                <w:szCs w:val="24"/>
              </w:rPr>
            </w:pPr>
            <w:r>
              <w:rPr>
                <w:sz w:val="24"/>
                <w:szCs w:val="24"/>
              </w:rPr>
              <w:t>12,4%</w:t>
            </w:r>
          </w:p>
        </w:tc>
      </w:tr>
      <w:tr w:rsidR="00110AD4" w:rsidRPr="001D1D59" w:rsidTr="002F0D46">
        <w:tc>
          <w:tcPr>
            <w:tcW w:w="4928" w:type="dxa"/>
          </w:tcPr>
          <w:p w:rsidR="00110AD4" w:rsidRPr="00E93821" w:rsidRDefault="00110AD4" w:rsidP="002F0D46">
            <w:pPr>
              <w:spacing w:after="0" w:line="360" w:lineRule="auto"/>
              <w:rPr>
                <w:b/>
                <w:bCs/>
                <w:i/>
                <w:iCs/>
                <w:sz w:val="24"/>
                <w:szCs w:val="24"/>
              </w:rPr>
            </w:pPr>
            <w:r w:rsidRPr="00E93821">
              <w:rPr>
                <w:b/>
                <w:bCs/>
                <w:i/>
                <w:iCs/>
                <w:sz w:val="24"/>
                <w:szCs w:val="24"/>
              </w:rPr>
              <w:t xml:space="preserve">La planification </w:t>
            </w:r>
          </w:p>
        </w:tc>
        <w:tc>
          <w:tcPr>
            <w:tcW w:w="1559" w:type="dxa"/>
          </w:tcPr>
          <w:p w:rsidR="00110AD4" w:rsidRPr="00E93821" w:rsidRDefault="00110AD4" w:rsidP="002F0D46">
            <w:pPr>
              <w:spacing w:after="0" w:line="360" w:lineRule="auto"/>
              <w:jc w:val="center"/>
              <w:rPr>
                <w:sz w:val="24"/>
                <w:szCs w:val="24"/>
              </w:rPr>
            </w:pPr>
            <w:r>
              <w:rPr>
                <w:sz w:val="24"/>
                <w:szCs w:val="24"/>
              </w:rPr>
              <w:t>11,3%</w:t>
            </w:r>
          </w:p>
        </w:tc>
        <w:tc>
          <w:tcPr>
            <w:tcW w:w="1418" w:type="dxa"/>
          </w:tcPr>
          <w:p w:rsidR="00110AD4" w:rsidRPr="00E93821" w:rsidRDefault="00110AD4" w:rsidP="002F0D46">
            <w:pPr>
              <w:spacing w:after="0" w:line="360" w:lineRule="auto"/>
              <w:jc w:val="center"/>
              <w:rPr>
                <w:sz w:val="24"/>
                <w:szCs w:val="24"/>
              </w:rPr>
            </w:pPr>
            <w:r>
              <w:rPr>
                <w:sz w:val="24"/>
                <w:szCs w:val="24"/>
              </w:rPr>
              <w:t>10,4%</w:t>
            </w:r>
          </w:p>
        </w:tc>
        <w:tc>
          <w:tcPr>
            <w:tcW w:w="1307" w:type="dxa"/>
          </w:tcPr>
          <w:p w:rsidR="00110AD4" w:rsidRPr="00E93821" w:rsidRDefault="00110AD4" w:rsidP="002F0D46">
            <w:pPr>
              <w:spacing w:after="0" w:line="360" w:lineRule="auto"/>
              <w:jc w:val="center"/>
              <w:rPr>
                <w:sz w:val="24"/>
                <w:szCs w:val="24"/>
              </w:rPr>
            </w:pPr>
            <w:r>
              <w:rPr>
                <w:sz w:val="24"/>
                <w:szCs w:val="24"/>
              </w:rPr>
              <w:t>11,0%</w:t>
            </w:r>
          </w:p>
        </w:tc>
      </w:tr>
    </w:tbl>
    <w:p w:rsidR="00110AD4" w:rsidRPr="008906EB" w:rsidRDefault="00110AD4" w:rsidP="00110AD4">
      <w:pPr>
        <w:spacing w:after="0" w:line="360" w:lineRule="auto"/>
        <w:jc w:val="both"/>
        <w:rPr>
          <w:sz w:val="26"/>
          <w:szCs w:val="26"/>
        </w:rPr>
      </w:pPr>
    </w:p>
    <w:p w:rsidR="007F7B12" w:rsidRPr="00110AD4" w:rsidRDefault="00110AD4" w:rsidP="00110AD4">
      <w:pPr>
        <w:autoSpaceDE w:val="0"/>
        <w:autoSpaceDN w:val="0"/>
        <w:adjustRightInd w:val="0"/>
        <w:spacing w:after="120" w:line="360" w:lineRule="auto"/>
        <w:ind w:firstLine="708"/>
        <w:jc w:val="both"/>
        <w:rPr>
          <w:sz w:val="26"/>
          <w:szCs w:val="26"/>
        </w:rPr>
      </w:pPr>
      <w:r>
        <w:rPr>
          <w:sz w:val="26"/>
          <w:szCs w:val="26"/>
        </w:rPr>
        <w:lastRenderedPageBreak/>
        <w:t xml:space="preserve">La diversité des questions et des réponses fournies par </w:t>
      </w:r>
      <w:r w:rsidRPr="000E61D1">
        <w:rPr>
          <w:sz w:val="26"/>
          <w:szCs w:val="26"/>
        </w:rPr>
        <w:t>l’Enquête Nationale sur la</w:t>
      </w:r>
      <w:r>
        <w:rPr>
          <w:sz w:val="26"/>
          <w:szCs w:val="26"/>
        </w:rPr>
        <w:t xml:space="preserve"> </w:t>
      </w:r>
      <w:r w:rsidRPr="000E61D1">
        <w:rPr>
          <w:sz w:val="26"/>
          <w:szCs w:val="26"/>
        </w:rPr>
        <w:t>Perception</w:t>
      </w:r>
      <w:r>
        <w:rPr>
          <w:sz w:val="26"/>
          <w:szCs w:val="26"/>
        </w:rPr>
        <w:t xml:space="preserve"> </w:t>
      </w:r>
      <w:r w:rsidRPr="000E61D1">
        <w:rPr>
          <w:sz w:val="26"/>
          <w:szCs w:val="26"/>
        </w:rPr>
        <w:t>par les ménages de quelques cibles</w:t>
      </w:r>
      <w:r>
        <w:rPr>
          <w:sz w:val="26"/>
          <w:szCs w:val="26"/>
        </w:rPr>
        <w:t xml:space="preserve"> </w:t>
      </w:r>
      <w:r w:rsidRPr="000E61D1">
        <w:rPr>
          <w:sz w:val="26"/>
          <w:szCs w:val="26"/>
        </w:rPr>
        <w:t>des principaux Objectifs de Développement Durable</w:t>
      </w:r>
      <w:r>
        <w:rPr>
          <w:sz w:val="26"/>
          <w:szCs w:val="26"/>
        </w:rPr>
        <w:t xml:space="preserve"> ne peut se résumer à ces quelques remarques. Les différents modules qui la composent mériteraient d’être plus analysés et donner lieu à une explication, par les académiciens, les experts et les acteurs de la vie sociale et politique, pour en tirer les meilleures leçons au profit du développement de notre pays.</w:t>
      </w:r>
      <w:bookmarkEnd w:id="0"/>
      <w:r>
        <w:rPr>
          <w:sz w:val="26"/>
          <w:szCs w:val="26"/>
        </w:rPr>
        <w:t xml:space="preserve"> </w:t>
      </w:r>
    </w:p>
    <w:sectPr w:rsidR="007F7B12" w:rsidRPr="00110AD4" w:rsidSect="00D84079">
      <w:footerReference w:type="default" r:id="rId5"/>
      <w:headerReference w:type="first" r:id="rId6"/>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C1" w:rsidRDefault="00110AD4">
    <w:pPr>
      <w:pStyle w:val="Pieddepage"/>
      <w:jc w:val="right"/>
    </w:pPr>
    <w:r>
      <w:fldChar w:fldCharType="begin"/>
    </w:r>
    <w:r>
      <w:instrText xml:space="preserve"> PAGE   \* MERGEFORMAT </w:instrText>
    </w:r>
    <w:r>
      <w:fldChar w:fldCharType="separate"/>
    </w:r>
    <w:r>
      <w:rPr>
        <w:noProof/>
      </w:rPr>
      <w:t>5</w:t>
    </w:r>
    <w:r>
      <w:rPr>
        <w:noProof/>
      </w:rPr>
      <w:fldChar w:fldCharType="end"/>
    </w:r>
  </w:p>
  <w:p w:rsidR="00583BC1" w:rsidRDefault="00110AD4">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C1" w:rsidRDefault="00110AD4">
    <w:pPr>
      <w:pStyle w:val="En-tte"/>
    </w:pPr>
    <w:r>
      <w:rPr>
        <w:noProof/>
        <w:lang w:eastAsia="fr-FR"/>
      </w:rPr>
      <w:drawing>
        <wp:anchor distT="0" distB="0" distL="114300" distR="114300" simplePos="0" relativeHeight="251659264" behindDoc="1" locked="0" layoutInCell="1" allowOverlap="1" wp14:anchorId="65F24992" wp14:editId="1AFD5948">
          <wp:simplePos x="0" y="0"/>
          <wp:positionH relativeFrom="page">
            <wp:posOffset>0</wp:posOffset>
          </wp:positionH>
          <wp:positionV relativeFrom="page">
            <wp:posOffset>0</wp:posOffset>
          </wp:positionV>
          <wp:extent cx="7562850" cy="9586595"/>
          <wp:effectExtent l="1905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C6F4E"/>
    <w:multiLevelType w:val="hybridMultilevel"/>
    <w:tmpl w:val="97DC8120"/>
    <w:lvl w:ilvl="0" w:tplc="15943A08">
      <w:start w:val="1"/>
      <w:numFmt w:val="bullet"/>
      <w:lvlText w:val="-"/>
      <w:lvlJc w:val="left"/>
      <w:pPr>
        <w:ind w:left="720" w:hanging="360"/>
      </w:pPr>
      <w:rPr>
        <w:rFonts w:ascii="Calibri" w:eastAsia="Calibri" w:hAnsi="Calibri"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D4"/>
    <w:rsid w:val="00110AD4"/>
    <w:rsid w:val="007F7B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FFD63-DADC-4C74-9D6D-B2E6FD85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AD4"/>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10AD4"/>
    <w:pPr>
      <w:tabs>
        <w:tab w:val="center" w:pos="4536"/>
        <w:tab w:val="right" w:pos="9072"/>
      </w:tabs>
    </w:pPr>
  </w:style>
  <w:style w:type="character" w:customStyle="1" w:styleId="En-tteCar">
    <w:name w:val="En-tête Car"/>
    <w:basedOn w:val="Policepardfaut"/>
    <w:link w:val="En-tte"/>
    <w:uiPriority w:val="99"/>
    <w:semiHidden/>
    <w:rsid w:val="00110AD4"/>
    <w:rPr>
      <w:rFonts w:ascii="Calibri" w:eastAsia="Calibri" w:hAnsi="Calibri" w:cs="Arial"/>
    </w:rPr>
  </w:style>
  <w:style w:type="paragraph" w:styleId="Pieddepage">
    <w:name w:val="footer"/>
    <w:basedOn w:val="Normal"/>
    <w:link w:val="PieddepageCar"/>
    <w:uiPriority w:val="99"/>
    <w:unhideWhenUsed/>
    <w:rsid w:val="00110AD4"/>
    <w:pPr>
      <w:tabs>
        <w:tab w:val="center" w:pos="4536"/>
        <w:tab w:val="right" w:pos="9072"/>
      </w:tabs>
    </w:pPr>
  </w:style>
  <w:style w:type="character" w:customStyle="1" w:styleId="PieddepageCar">
    <w:name w:val="Pied de page Car"/>
    <w:basedOn w:val="Policepardfaut"/>
    <w:link w:val="Pieddepage"/>
    <w:uiPriority w:val="99"/>
    <w:rsid w:val="00110AD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1069</Words>
  <Characters>5881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MAAROUFI Youssef</dc:creator>
  <cp:keywords/>
  <dc:description/>
  <cp:lastModifiedBy>MAAROUFI Youssef</cp:lastModifiedBy>
  <cp:revision>1</cp:revision>
  <dcterms:created xsi:type="dcterms:W3CDTF">2016-12-07T09:45:00Z</dcterms:created>
  <dcterms:modified xsi:type="dcterms:W3CDTF">2016-12-07T09:52:00Z</dcterms:modified>
</cp:coreProperties>
</file>