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Pr="00BD5763" w:rsidRDefault="00511E80" w:rsidP="00BD5763"/>
    <w:p w:rsidR="00D17733" w:rsidRPr="00E67BB4" w:rsidRDefault="00D17733" w:rsidP="00F1135D">
      <w:pPr>
        <w:pStyle w:val="Titre"/>
        <w:spacing w:line="400" w:lineRule="exact"/>
        <w:ind w:firstLine="720"/>
        <w:rPr>
          <w:rFonts w:ascii="Book Antiqua" w:hAnsi="Book Antiqua"/>
          <w:rtl/>
        </w:rPr>
      </w:pPr>
    </w:p>
    <w:p w:rsidR="00A61590" w:rsidRPr="00E67BB4" w:rsidRDefault="00A61590" w:rsidP="00A61590">
      <w:pPr>
        <w:pStyle w:val="Titre"/>
        <w:spacing w:line="400" w:lineRule="exact"/>
        <w:ind w:firstLine="720"/>
        <w:jc w:val="right"/>
        <w:rPr>
          <w:rFonts w:ascii="Book Antiqua" w:hAnsi="Book Antiqua"/>
        </w:rPr>
      </w:pPr>
    </w:p>
    <w:p w:rsidR="00A61590" w:rsidRPr="009D4773" w:rsidRDefault="00A61590" w:rsidP="009D4773">
      <w:pPr>
        <w:pStyle w:val="Titre"/>
        <w:spacing w:line="360" w:lineRule="auto"/>
        <w:jc w:val="left"/>
        <w:rPr>
          <w:rFonts w:ascii="Book Antiqua" w:hAnsi="Book Antiqua"/>
        </w:rPr>
      </w:pPr>
    </w:p>
    <w:p w:rsidR="003D5589" w:rsidRPr="009D4773" w:rsidRDefault="003D5589" w:rsidP="009D4773">
      <w:pPr>
        <w:pStyle w:val="Titre"/>
        <w:spacing w:line="360" w:lineRule="auto"/>
        <w:jc w:val="left"/>
        <w:rPr>
          <w:rFonts w:ascii="Book Antiqua" w:hAnsi="Book Antiqua"/>
        </w:rPr>
      </w:pPr>
    </w:p>
    <w:p w:rsidR="003D5589" w:rsidRPr="009D4773" w:rsidRDefault="003D5589" w:rsidP="009D4773">
      <w:pPr>
        <w:pStyle w:val="Titre"/>
        <w:spacing w:line="360" w:lineRule="auto"/>
        <w:jc w:val="left"/>
        <w:rPr>
          <w:rFonts w:ascii="Book Antiqua" w:hAnsi="Book Antiqua"/>
        </w:rPr>
      </w:pPr>
    </w:p>
    <w:p w:rsidR="007069D8" w:rsidRPr="009D4773" w:rsidRDefault="007069D8" w:rsidP="009D4773">
      <w:pPr>
        <w:pStyle w:val="Titre"/>
        <w:spacing w:line="360" w:lineRule="auto"/>
        <w:jc w:val="left"/>
        <w:rPr>
          <w:rFonts w:ascii="Book Antiqua" w:hAnsi="Book Antiqua"/>
        </w:rPr>
      </w:pPr>
    </w:p>
    <w:p w:rsidR="007069D8" w:rsidRPr="009D4773" w:rsidRDefault="007069D8" w:rsidP="009D4773">
      <w:pPr>
        <w:pStyle w:val="Titre"/>
        <w:spacing w:line="360" w:lineRule="auto"/>
        <w:jc w:val="left"/>
        <w:rPr>
          <w:rFonts w:ascii="Book Antiqua" w:hAnsi="Book Antiqua"/>
        </w:rPr>
      </w:pPr>
    </w:p>
    <w:p w:rsidR="00714357" w:rsidRPr="009D4773" w:rsidRDefault="00714357" w:rsidP="009D4773">
      <w:pPr>
        <w:pStyle w:val="Titre"/>
        <w:spacing w:line="360" w:lineRule="auto"/>
        <w:jc w:val="left"/>
        <w:rPr>
          <w:rFonts w:ascii="Book Antiqua" w:hAnsi="Book Antiqua" w:cstheme="majorBidi"/>
        </w:rPr>
      </w:pPr>
    </w:p>
    <w:p w:rsidR="007069D8" w:rsidRPr="009D4773" w:rsidRDefault="007069D8" w:rsidP="009D4773">
      <w:pPr>
        <w:pStyle w:val="Titre"/>
        <w:spacing w:line="480" w:lineRule="auto"/>
        <w:jc w:val="left"/>
        <w:rPr>
          <w:rFonts w:ascii="Book Antiqua" w:hAnsi="Book Antiqua" w:cstheme="majorBidi"/>
        </w:rPr>
      </w:pPr>
    </w:p>
    <w:p w:rsidR="007069D8" w:rsidRPr="009D4773" w:rsidRDefault="005C199F" w:rsidP="005A0DDD">
      <w:pPr>
        <w:pStyle w:val="Titre"/>
        <w:spacing w:line="480" w:lineRule="auto"/>
        <w:rPr>
          <w:rFonts w:ascii="Arial Rounded MT Bold" w:hAnsi="Arial Rounded MT Bold"/>
          <w:shd w:val="clear" w:color="auto" w:fill="FFFFFF"/>
        </w:rPr>
      </w:pPr>
      <w:r w:rsidRPr="009D4773">
        <w:rPr>
          <w:rFonts w:ascii="Arial Rounded MT Bold" w:hAnsi="Arial Rounded MT Bold"/>
          <w:shd w:val="clear" w:color="auto" w:fill="FFFFFF"/>
        </w:rPr>
        <w:t xml:space="preserve">Présentation des grandes lignes de </w:t>
      </w:r>
      <w:r w:rsidR="005A0DDD">
        <w:rPr>
          <w:rFonts w:ascii="Arial Rounded MT Bold" w:hAnsi="Arial Rounded MT Bold"/>
          <w:shd w:val="clear" w:color="auto" w:fill="FFFFFF"/>
        </w:rPr>
        <w:t>l’</w:t>
      </w:r>
      <w:r w:rsidRPr="009D4773">
        <w:rPr>
          <w:rFonts w:ascii="Arial Rounded MT Bold" w:hAnsi="Arial Rounded MT Bold"/>
          <w:shd w:val="clear" w:color="auto" w:fill="FFFFFF"/>
        </w:rPr>
        <w:t>étude sur les sources de la création de la richesse au Maroc et sa répartition</w:t>
      </w:r>
    </w:p>
    <w:p w:rsidR="005C199F" w:rsidRPr="009D4773" w:rsidRDefault="005C199F" w:rsidP="009D4773">
      <w:pPr>
        <w:pStyle w:val="m5064850193103259754gmail-msonormal"/>
        <w:shd w:val="clear" w:color="auto" w:fill="FFFFFF"/>
        <w:spacing w:before="0" w:beforeAutospacing="0" w:after="0" w:afterAutospacing="0" w:line="480" w:lineRule="auto"/>
        <w:jc w:val="center"/>
        <w:rPr>
          <w:rFonts w:ascii="Arial Rounded MT Bold" w:hAnsi="Arial Rounded MT Bold" w:cs="Arial"/>
          <w:b/>
          <w:bCs/>
          <w:sz w:val="19"/>
          <w:szCs w:val="19"/>
        </w:rPr>
      </w:pPr>
      <w:r w:rsidRPr="009D4773">
        <w:rPr>
          <w:rFonts w:ascii="Arial Rounded MT Bold" w:hAnsi="Arial Rounded MT Bold" w:cs="Arial"/>
          <w:b/>
          <w:bCs/>
          <w:sz w:val="28"/>
          <w:szCs w:val="28"/>
        </w:rPr>
        <w:t>par</w:t>
      </w:r>
    </w:p>
    <w:p w:rsidR="005C199F" w:rsidRPr="009D4773" w:rsidRDefault="005C199F" w:rsidP="009D4773">
      <w:pPr>
        <w:pStyle w:val="m5064850193103259754gmail-msonormal"/>
        <w:shd w:val="clear" w:color="auto" w:fill="FFFFFF"/>
        <w:spacing w:before="0" w:beforeAutospacing="0" w:after="0" w:afterAutospacing="0" w:line="480" w:lineRule="auto"/>
        <w:jc w:val="center"/>
        <w:rPr>
          <w:rFonts w:ascii="Arial Rounded MT Bold" w:hAnsi="Arial Rounded MT Bold" w:cs="Arial"/>
          <w:sz w:val="28"/>
          <w:szCs w:val="28"/>
        </w:rPr>
      </w:pPr>
      <w:r w:rsidRPr="009D4773">
        <w:rPr>
          <w:rFonts w:ascii="Arial Rounded MT Bold" w:hAnsi="Arial Rounded MT Bold" w:cs="Arial"/>
          <w:sz w:val="28"/>
          <w:szCs w:val="28"/>
        </w:rPr>
        <w:t>Monsieur Ahmed Lahlimi Alami,</w:t>
      </w:r>
    </w:p>
    <w:p w:rsidR="005C199F" w:rsidRPr="009D4773" w:rsidRDefault="009D4773" w:rsidP="009D4773">
      <w:pPr>
        <w:pStyle w:val="Titre"/>
        <w:spacing w:line="480" w:lineRule="auto"/>
        <w:rPr>
          <w:rFonts w:ascii="Arial Rounded MT Bold" w:hAnsi="Arial Rounded MT Bold"/>
        </w:rPr>
      </w:pPr>
      <w:r w:rsidRPr="009D4773">
        <w:rPr>
          <w:rFonts w:ascii="Arial Rounded MT Bold" w:hAnsi="Arial Rounded MT Bold"/>
          <w:b w:val="0"/>
          <w:bCs w:val="0"/>
        </w:rPr>
        <w:t>Haut Commissaire au Plan</w:t>
      </w:r>
    </w:p>
    <w:p w:rsidR="007069D8" w:rsidRPr="009D4773" w:rsidRDefault="007069D8" w:rsidP="009D4773">
      <w:pPr>
        <w:pStyle w:val="Titre"/>
        <w:spacing w:line="360" w:lineRule="auto"/>
        <w:rPr>
          <w:rFonts w:ascii="Book Antiqua" w:hAnsi="Book Antiqua"/>
        </w:rPr>
      </w:pPr>
    </w:p>
    <w:p w:rsidR="007069D8" w:rsidRPr="009D4773" w:rsidRDefault="007069D8" w:rsidP="009D4773">
      <w:pPr>
        <w:pStyle w:val="Titre"/>
        <w:spacing w:line="360" w:lineRule="auto"/>
        <w:rPr>
          <w:rFonts w:ascii="Book Antiqua" w:hAnsi="Book Antiqua"/>
        </w:rPr>
      </w:pPr>
    </w:p>
    <w:p w:rsidR="00351CEB" w:rsidRDefault="00351CEB" w:rsidP="009D4773">
      <w:pPr>
        <w:pStyle w:val="Titre"/>
        <w:spacing w:line="360" w:lineRule="auto"/>
        <w:ind w:firstLine="720"/>
        <w:rPr>
          <w:rFonts w:ascii="Book Antiqua" w:hAnsi="Book Antiqua"/>
        </w:rPr>
      </w:pPr>
    </w:p>
    <w:p w:rsidR="002D2A02" w:rsidRDefault="002D2A02"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9D4773" w:rsidRDefault="009D4773" w:rsidP="009D4773">
      <w:pPr>
        <w:pStyle w:val="Titre"/>
        <w:spacing w:line="360" w:lineRule="auto"/>
        <w:ind w:firstLine="720"/>
        <w:rPr>
          <w:rFonts w:ascii="Book Antiqua" w:hAnsi="Book Antiqua"/>
        </w:rPr>
      </w:pPr>
    </w:p>
    <w:p w:rsidR="00D01A90" w:rsidRDefault="00914DF5" w:rsidP="009D4773">
      <w:pPr>
        <w:pStyle w:val="Titre"/>
        <w:spacing w:line="360" w:lineRule="auto"/>
        <w:ind w:firstLine="720"/>
        <w:jc w:val="right"/>
        <w:rPr>
          <w:rFonts w:ascii="Book Antiqua" w:hAnsi="Book Antiqua" w:cstheme="majorBidi"/>
          <w:sz w:val="24"/>
          <w:szCs w:val="24"/>
        </w:rPr>
      </w:pPr>
      <w:r w:rsidRPr="009D4773">
        <w:rPr>
          <w:rFonts w:ascii="Book Antiqua" w:hAnsi="Book Antiqua" w:cstheme="majorBidi"/>
          <w:sz w:val="24"/>
          <w:szCs w:val="24"/>
        </w:rPr>
        <w:t>Rabat</w:t>
      </w:r>
      <w:r w:rsidR="007069D8" w:rsidRPr="009D4773">
        <w:rPr>
          <w:rFonts w:ascii="Book Antiqua" w:hAnsi="Book Antiqua" w:cstheme="majorBidi"/>
          <w:sz w:val="24"/>
          <w:szCs w:val="24"/>
        </w:rPr>
        <w:t xml:space="preserve">, le </w:t>
      </w:r>
      <w:r w:rsidRPr="009D4773">
        <w:rPr>
          <w:rFonts w:ascii="Book Antiqua" w:hAnsi="Book Antiqua" w:cstheme="majorBidi"/>
          <w:sz w:val="24"/>
          <w:szCs w:val="24"/>
        </w:rPr>
        <w:t>20</w:t>
      </w:r>
      <w:r w:rsidR="00DA21EB" w:rsidRPr="009D4773">
        <w:rPr>
          <w:rFonts w:ascii="Book Antiqua" w:hAnsi="Book Antiqua" w:cstheme="majorBidi"/>
          <w:sz w:val="24"/>
          <w:szCs w:val="24"/>
        </w:rPr>
        <w:t xml:space="preserve"> </w:t>
      </w:r>
      <w:r w:rsidRPr="009D4773">
        <w:rPr>
          <w:rFonts w:ascii="Book Antiqua" w:hAnsi="Book Antiqua" w:cstheme="majorBidi"/>
          <w:sz w:val="24"/>
          <w:szCs w:val="24"/>
        </w:rPr>
        <w:t xml:space="preserve">Décembre </w:t>
      </w:r>
      <w:r w:rsidR="00FB0262" w:rsidRPr="009D4773">
        <w:rPr>
          <w:rFonts w:ascii="Book Antiqua" w:hAnsi="Book Antiqua" w:cstheme="majorBidi"/>
          <w:sz w:val="24"/>
          <w:szCs w:val="24"/>
        </w:rPr>
        <w:t>2017</w:t>
      </w:r>
    </w:p>
    <w:p w:rsidR="009D4773" w:rsidRPr="009D4773" w:rsidRDefault="009D4773" w:rsidP="009D4773">
      <w:pPr>
        <w:pStyle w:val="Titre"/>
        <w:spacing w:line="360" w:lineRule="auto"/>
        <w:ind w:firstLine="720"/>
        <w:jc w:val="right"/>
        <w:rPr>
          <w:rFonts w:ascii="Book Antiqua" w:hAnsi="Book Antiqua" w:cstheme="majorBidi"/>
          <w:sz w:val="24"/>
          <w:szCs w:val="24"/>
        </w:rPr>
      </w:pPr>
    </w:p>
    <w:p w:rsidR="009D4773" w:rsidRDefault="009D4773">
      <w:pPr>
        <w:rPr>
          <w:rFonts w:ascii="Book Antiqua" w:hAnsi="Book Antiqua"/>
          <w:color w:val="0000FF"/>
          <w:sz w:val="28"/>
          <w:szCs w:val="28"/>
        </w:rPr>
      </w:pPr>
      <w:r>
        <w:rPr>
          <w:rFonts w:ascii="Book Antiqua" w:hAnsi="Book Antiqua"/>
          <w:color w:val="0000FF"/>
        </w:rPr>
        <w:br w:type="page"/>
      </w:r>
    </w:p>
    <w:p w:rsidR="00714357" w:rsidRPr="00A56726" w:rsidRDefault="00714357" w:rsidP="009D4773">
      <w:pPr>
        <w:pStyle w:val="Titre"/>
        <w:spacing w:line="400" w:lineRule="exact"/>
        <w:ind w:firstLine="720"/>
        <w:jc w:val="left"/>
        <w:rPr>
          <w:rFonts w:ascii="Book Antiqua" w:hAnsi="Book Antiqua"/>
          <w:color w:val="0000FF"/>
        </w:rPr>
      </w:pPr>
    </w:p>
    <w:p w:rsidR="00914DF5" w:rsidRPr="00802BFB" w:rsidRDefault="00914DF5" w:rsidP="00802BFB">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b w:val="0"/>
          <w:bCs w:val="0"/>
          <w:color w:val="000000"/>
        </w:rPr>
        <w:t>Dans la continuité de ses travaux de réflexions sur le modèle de développement au Maroc, notamment sur les sources de la croissance économique nationale, l’accumulation du capital physique et du capital humain, l’allocation sectorielle des facteurs et sur la redistribution sociale et spatiale des fruits de la croissance, le HCP a réalisé deux études pour appréhender dans la première les déterminants structurels de l’évolution des niveaux de vie et dans la deuxième le partage du surplus de productivité de l’économie entre les différents agents économiques.</w:t>
      </w:r>
    </w:p>
    <w:p w:rsidR="00914DF5" w:rsidRPr="00914DF5" w:rsidRDefault="00914DF5" w:rsidP="00914DF5">
      <w:pPr>
        <w:jc w:val="both"/>
        <w:rPr>
          <w:rFonts w:asciiTheme="majorBidi" w:hAnsiTheme="majorBidi" w:cstheme="majorBidi"/>
          <w:b w:val="0"/>
          <w:bCs w:val="0"/>
        </w:rPr>
      </w:pPr>
    </w:p>
    <w:p w:rsidR="00914DF5" w:rsidRPr="00914DF5" w:rsidRDefault="00914DF5" w:rsidP="00914DF5">
      <w:pPr>
        <w:pStyle w:val="Paragraphedeliste"/>
        <w:numPr>
          <w:ilvl w:val="0"/>
          <w:numId w:val="41"/>
        </w:numPr>
        <w:jc w:val="both"/>
        <w:rPr>
          <w:rFonts w:asciiTheme="majorBidi" w:hAnsiTheme="majorBidi" w:cstheme="majorBidi"/>
          <w:b/>
          <w:bCs/>
          <w:sz w:val="24"/>
          <w:szCs w:val="24"/>
        </w:rPr>
      </w:pPr>
      <w:r w:rsidRPr="00914DF5">
        <w:rPr>
          <w:rFonts w:asciiTheme="majorBidi" w:hAnsiTheme="majorBidi" w:cstheme="majorBidi"/>
          <w:b/>
          <w:bCs/>
          <w:sz w:val="24"/>
          <w:szCs w:val="24"/>
        </w:rPr>
        <w:t xml:space="preserve">Les déterminants structurels de l’évolution du PIB par habitant </w:t>
      </w:r>
    </w:p>
    <w:p w:rsidR="00914DF5" w:rsidRPr="00802BFB" w:rsidRDefault="00914DF5" w:rsidP="00802BFB">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b w:val="0"/>
          <w:bCs w:val="0"/>
          <w:color w:val="000000"/>
        </w:rPr>
        <w:t>L’objectif est d’appréhender la contribution des facteurs structurels à la croissance de la valeur ajoutée (VA) par habitant au Maroc, notamment l’effet démographique, l’effet emploi et l’effet productivité du travail. L’accent est mis également sur la contribution de la réallocation sectorielle de l’emploi, de l’intensité capitalistique et de la productivité globale des facteurs à l’amélioration de la productivité du travail.</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color w:val="000000"/>
        </w:rPr>
        <w:t>Le facteur démographique</w:t>
      </w:r>
      <w:r w:rsidRPr="00914DF5">
        <w:rPr>
          <w:rFonts w:asciiTheme="majorBidi" w:hAnsiTheme="majorBidi" w:cstheme="majorBidi"/>
          <w:b w:val="0"/>
          <w:bCs w:val="0"/>
          <w:color w:val="000000"/>
        </w:rPr>
        <w:t xml:space="preserve"> est approché par le rapport du nombre de personnes en âge de travailler à la population totale. Il appréhende la charge de financement de l'ensemble de la population supportée par la population active. Une amélioration de ce ratio démographique favorise l’augmentation du PIB par habitant.</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color w:val="000000"/>
        </w:rPr>
        <w:t>L’effet emploi</w:t>
      </w:r>
      <w:r w:rsidRPr="00914DF5">
        <w:rPr>
          <w:rFonts w:asciiTheme="majorBidi" w:hAnsiTheme="majorBidi" w:cstheme="majorBidi"/>
          <w:b w:val="0"/>
          <w:bCs w:val="0"/>
          <w:color w:val="000000"/>
        </w:rPr>
        <w:t> est approché par le taux d’emploi qui est le rapport de la population ayant un emploi à la population en âge de travailler, lequel prend en compte à la fois les évolutions du taux d'activité et du chômage. L’augmentation du taux d’activité ou la baisse du taux de chômage favorise l’amélioration du taux d’emploi et par conséquent l’amélioration du niveau de vie de la population du pays.</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802BFB">
        <w:rPr>
          <w:rFonts w:asciiTheme="majorBidi" w:hAnsiTheme="majorBidi" w:cstheme="majorBidi"/>
          <w:color w:val="000000"/>
        </w:rPr>
        <w:t>La productivité du travail</w:t>
      </w:r>
      <w:r w:rsidRPr="00914DF5">
        <w:rPr>
          <w:rFonts w:asciiTheme="majorBidi" w:hAnsiTheme="majorBidi" w:cstheme="majorBidi"/>
          <w:b w:val="0"/>
          <w:bCs w:val="0"/>
          <w:color w:val="000000"/>
        </w:rPr>
        <w:t xml:space="preserve">, production par actif occupé, qui, selon l’approche de la comptabilité de croissance, est la résultante à la fois du volume de capital mis à la disposition d’un actif (intensité capitalistique) et de la productivité globale des facteurs (PGF). Cette dernière n’est autre que l'augmentation de l'efficacité globale du processus de production et d’une utilisation plus efficace de la combinaison capital-travail, permise par une réorganisation du travail ou bien par l'introduction de plus d'innovations. </w:t>
      </w: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L’étude est conduite en se référant aux comptes de la nation et aux résultats de l’enquête nationale sur l’emploi. Elle détermine en fait la contribution, au niveau des secteurs d’activité et au niveau de l’économie dans son ensemble, de chacun des facteurs susmentionnés sur l’évolution de la valeur ajoutée par habitant sur la période 2001- 2015.</w:t>
      </w: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937EA" w:rsidRDefault="005937E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937EA" w:rsidRPr="00914DF5" w:rsidRDefault="005937E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pStyle w:val="Paragraphedeliste"/>
        <w:numPr>
          <w:ilvl w:val="1"/>
          <w:numId w:val="42"/>
        </w:numPr>
        <w:tabs>
          <w:tab w:val="left" w:pos="709"/>
        </w:tabs>
        <w:ind w:hanging="76"/>
        <w:jc w:val="both"/>
        <w:rPr>
          <w:rFonts w:asciiTheme="majorBidi" w:hAnsiTheme="majorBidi" w:cstheme="majorBidi"/>
          <w:b/>
          <w:bCs/>
          <w:color w:val="000000"/>
          <w:sz w:val="24"/>
          <w:szCs w:val="24"/>
        </w:rPr>
      </w:pPr>
      <w:r w:rsidRPr="00914DF5">
        <w:rPr>
          <w:rFonts w:asciiTheme="majorBidi" w:hAnsiTheme="majorBidi" w:cstheme="majorBidi"/>
          <w:b/>
          <w:bCs/>
          <w:color w:val="000000"/>
          <w:sz w:val="24"/>
          <w:szCs w:val="24"/>
        </w:rPr>
        <w:t>Forte contribution de la productivité du travail à la création de la richesse</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Le produit intérieur brut (PIB) par habitant s’est accru de 3,2% par an entre  les années 2001 et 2015. Cette amélioration s’explique principalement par l’augmentation de la productivité du travail, suivi de l’effet démographique (part de la population en âge de travailler sur la population totale) au moment où le taux d’emploi s’est inscrit dans une baisse continue durant cette période. La contribution de la productivité du travail a été de 92,5% et celle de l’effet démographique de 19,8%. La contribution de l’effet emploi (taux d’emploi) a été négative de 12,2%. </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La productivité du travail s’est accrue durant cette période de 2,9% par an en moyenne et le ratio de la population en âge d’activité à la population totale a augmenté de 0,4 point en moyenne annuelle entre 2001 à 2015. Le taux d’emploi, qui appréhende la dynamique du marché de l’emploi par rapport aux opportunités offertes par l’évolution démographique, a connu quant à lui une baisse de 0,2 point en moyenne annuelle, passant de 45,1% en 2001 à 42,7% en 2015. </w:t>
      </w:r>
    </w:p>
    <w:p w:rsidR="005D1D5A" w:rsidRPr="00914DF5"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jc w:val="both"/>
        <w:rPr>
          <w:rFonts w:asciiTheme="majorBidi" w:hAnsiTheme="majorBidi" w:cstheme="majorBidi"/>
          <w:b w:val="0"/>
          <w:bCs w:val="0"/>
          <w:color w:val="000000"/>
        </w:rPr>
      </w:pPr>
      <w:r w:rsidRPr="009D4773">
        <w:rPr>
          <w:rFonts w:asciiTheme="majorBidi" w:hAnsiTheme="majorBidi" w:cstheme="majorBidi"/>
          <w:color w:val="000000"/>
        </w:rPr>
        <w:t>Tableau 1</w:t>
      </w:r>
      <w:r w:rsidR="009D4773">
        <w:rPr>
          <w:rFonts w:asciiTheme="majorBidi" w:hAnsiTheme="majorBidi" w:cstheme="majorBidi"/>
          <w:color w:val="000000"/>
        </w:rPr>
        <w:t xml:space="preserve"> </w:t>
      </w:r>
      <w:r w:rsidRPr="00914DF5">
        <w:rPr>
          <w:rFonts w:asciiTheme="majorBidi" w:hAnsiTheme="majorBidi" w:cstheme="majorBidi"/>
          <w:b w:val="0"/>
          <w:bCs w:val="0"/>
          <w:color w:val="000000"/>
        </w:rPr>
        <w:t>: Evolution des déterminants du PIB par habitant (en %)</w:t>
      </w:r>
    </w:p>
    <w:tbl>
      <w:tblPr>
        <w:tblW w:w="87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56"/>
        <w:gridCol w:w="1559"/>
        <w:gridCol w:w="1701"/>
        <w:gridCol w:w="1917"/>
      </w:tblGrid>
      <w:tr w:rsidR="00914DF5" w:rsidRPr="00914DF5" w:rsidTr="00914DF5">
        <w:trPr>
          <w:trHeight w:val="300"/>
        </w:trPr>
        <w:tc>
          <w:tcPr>
            <w:tcW w:w="3556" w:type="dxa"/>
            <w:vMerge w:val="restart"/>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Rubriques</w:t>
            </w:r>
          </w:p>
        </w:tc>
        <w:tc>
          <w:tcPr>
            <w:tcW w:w="1559" w:type="dxa"/>
            <w:shd w:val="clear" w:color="auto" w:fill="auto"/>
            <w:noWrap/>
            <w:vAlign w:val="bottom"/>
            <w:hideMark/>
          </w:tcPr>
          <w:p w:rsidR="00914DF5" w:rsidRPr="009D4773" w:rsidRDefault="00914DF5" w:rsidP="009D4773">
            <w:pPr>
              <w:jc w:val="center"/>
              <w:rPr>
                <w:rFonts w:asciiTheme="majorBidi" w:hAnsiTheme="majorBidi" w:cstheme="majorBidi"/>
                <w:color w:val="000000"/>
              </w:rPr>
            </w:pPr>
            <w:r w:rsidRPr="009D4773">
              <w:rPr>
                <w:rFonts w:asciiTheme="majorBidi" w:hAnsiTheme="majorBidi" w:cstheme="majorBidi"/>
                <w:color w:val="000000"/>
              </w:rPr>
              <w:t>2001-2008</w:t>
            </w:r>
          </w:p>
        </w:tc>
        <w:tc>
          <w:tcPr>
            <w:tcW w:w="1701" w:type="dxa"/>
            <w:shd w:val="clear" w:color="auto" w:fill="auto"/>
            <w:noWrap/>
            <w:vAlign w:val="bottom"/>
            <w:hideMark/>
          </w:tcPr>
          <w:p w:rsidR="00914DF5" w:rsidRPr="009D4773" w:rsidRDefault="00914DF5" w:rsidP="009D4773">
            <w:pPr>
              <w:jc w:val="center"/>
              <w:rPr>
                <w:rFonts w:asciiTheme="majorBidi" w:hAnsiTheme="majorBidi" w:cstheme="majorBidi"/>
                <w:color w:val="000000"/>
              </w:rPr>
            </w:pPr>
            <w:r w:rsidRPr="009D4773">
              <w:rPr>
                <w:rFonts w:asciiTheme="majorBidi" w:hAnsiTheme="majorBidi" w:cstheme="majorBidi"/>
                <w:color w:val="000000"/>
              </w:rPr>
              <w:t>2008-2015</w:t>
            </w:r>
          </w:p>
        </w:tc>
        <w:tc>
          <w:tcPr>
            <w:tcW w:w="1917" w:type="dxa"/>
            <w:shd w:val="clear" w:color="auto" w:fill="auto"/>
            <w:noWrap/>
            <w:vAlign w:val="bottom"/>
            <w:hideMark/>
          </w:tcPr>
          <w:p w:rsidR="00914DF5" w:rsidRPr="009D4773" w:rsidRDefault="00914DF5" w:rsidP="009D4773">
            <w:pPr>
              <w:jc w:val="cente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3556" w:type="dxa"/>
            <w:vMerge/>
            <w:shd w:val="clear" w:color="auto" w:fill="auto"/>
            <w:noWrap/>
            <w:vAlign w:val="bottom"/>
            <w:hideMark/>
          </w:tcPr>
          <w:p w:rsidR="00914DF5" w:rsidRPr="00914DF5" w:rsidRDefault="00914DF5" w:rsidP="00914DF5">
            <w:pPr>
              <w:rPr>
                <w:rFonts w:asciiTheme="majorBidi" w:hAnsiTheme="majorBidi" w:cstheme="majorBidi"/>
                <w:b w:val="0"/>
                <w:bCs w:val="0"/>
                <w:color w:val="000000"/>
              </w:rPr>
            </w:pPr>
          </w:p>
        </w:tc>
        <w:tc>
          <w:tcPr>
            <w:tcW w:w="5177" w:type="dxa"/>
            <w:gridSpan w:val="3"/>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Croissance annuelle moyenne en %</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PIB par habitant</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3,6</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2,7</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3,2</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Productivité du travail</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3,1</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2,9</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Taux d'emploi</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r>
      <w:tr w:rsidR="00914DF5" w:rsidRPr="00914DF5" w:rsidTr="00914DF5">
        <w:trPr>
          <w:trHeight w:val="555"/>
        </w:trPr>
        <w:tc>
          <w:tcPr>
            <w:tcW w:w="3556" w:type="dxa"/>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Ratio population en âge d'activité sur population totale</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p>
        </w:tc>
        <w:tc>
          <w:tcPr>
            <w:tcW w:w="5177" w:type="dxa"/>
            <w:gridSpan w:val="3"/>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Contribution à la croissance du PIB par habitant en %</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Productivité du travail</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76,8</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113,3</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92,5</w:t>
            </w:r>
          </w:p>
        </w:tc>
      </w:tr>
      <w:tr w:rsidR="00914DF5" w:rsidRPr="00914DF5" w:rsidTr="00914DF5">
        <w:trPr>
          <w:trHeight w:val="300"/>
        </w:trPr>
        <w:tc>
          <w:tcPr>
            <w:tcW w:w="355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Taux d'emploi</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-35,3</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-12,2</w:t>
            </w:r>
          </w:p>
        </w:tc>
      </w:tr>
      <w:tr w:rsidR="00914DF5" w:rsidRPr="00914DF5" w:rsidTr="00914DF5">
        <w:trPr>
          <w:trHeight w:val="600"/>
        </w:trPr>
        <w:tc>
          <w:tcPr>
            <w:tcW w:w="3556" w:type="dxa"/>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Ratio population en âge d'activité sur population totale</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17,8</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21,9</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19,8</w:t>
            </w:r>
          </w:p>
        </w:tc>
      </w:tr>
      <w:tr w:rsidR="00914DF5" w:rsidRPr="00914DF5" w:rsidTr="00914DF5">
        <w:trPr>
          <w:trHeight w:val="600"/>
        </w:trPr>
        <w:tc>
          <w:tcPr>
            <w:tcW w:w="3556" w:type="dxa"/>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PIB par habitant</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100</w:t>
            </w:r>
          </w:p>
        </w:tc>
        <w:tc>
          <w:tcPr>
            <w:tcW w:w="1701"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100</w:t>
            </w:r>
          </w:p>
        </w:tc>
        <w:tc>
          <w:tcPr>
            <w:tcW w:w="19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100</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lastRenderedPageBreak/>
        <w:t xml:space="preserve">Toutefois, le PIB par habitant a connu un ralentissement de sa croissance entre les périodes 2001-2008 et 2008-2015, passant respectivement de 3,6% par an à 2,7%. Ce ralentissement s’explique par la régression du taux d’emploi induisant une contribution négative de 35,3% à la croissance du PIB par habitant au lieu d’une contribution positive de 5,4% durant la première période. L’amélioration de la productivité du travail a permis néanmoins d’absorber cet effet de la baisse du taux d’emploi. </w:t>
      </w:r>
    </w:p>
    <w:p w:rsidR="005937EA" w:rsidRPr="00914DF5" w:rsidRDefault="005937E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La contribution négative de l’effet emploi montre que les structures économiques n’ont pas permis de valoriser le potentiel offert par l’effet démographique. En effet, les créations d’emploi au niveau de l’économie qui étaient en moyenne annuelle de 186 mille postes entre 2001-2008 ont baissé à seulement 70 mille postes entre 2008-2015.</w:t>
      </w:r>
    </w:p>
    <w:p w:rsidR="00914DF5" w:rsidRPr="00914DF5" w:rsidRDefault="00914DF5" w:rsidP="00F45D3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L’effet démographique s’est accru, de son côté, de 0,4 point par an durant la période 2001-2015 et a pu contribuer de 17,8% et 19,1% à l’amélioration du niveau de vie de la population durant les deux sous périodes respectivement. Cela revient à dire que l’intensité de cet effet démographique a augmenté avec le temps et est devenue de plus en plus favorable à la croissance du PIB par habitant. La transition démographique accélérée que connait le Maroc, s’est traduite par une accélération de la population en âge de travailler (+de 15 ans) passant de 19,7 millions  en 2001 à prés de 24,2 millions en 2015, enregistrant une croissance annuelle moyenne de </w:t>
      </w:r>
      <w:r w:rsidR="00F45D35">
        <w:rPr>
          <w:rFonts w:asciiTheme="majorBidi" w:hAnsiTheme="majorBidi" w:cstheme="majorBidi"/>
          <w:b w:val="0"/>
          <w:bCs w:val="0"/>
          <w:color w:val="000000"/>
        </w:rPr>
        <w:t>1</w:t>
      </w:r>
      <w:r w:rsidRPr="00914DF5">
        <w:rPr>
          <w:rFonts w:asciiTheme="majorBidi" w:hAnsiTheme="majorBidi" w:cstheme="majorBidi"/>
          <w:b w:val="0"/>
          <w:bCs w:val="0"/>
          <w:color w:val="000000"/>
        </w:rPr>
        <w:t>,</w:t>
      </w:r>
      <w:r w:rsidR="00F45D35">
        <w:rPr>
          <w:rFonts w:asciiTheme="majorBidi" w:hAnsiTheme="majorBidi" w:cstheme="majorBidi"/>
          <w:b w:val="0"/>
          <w:bCs w:val="0"/>
          <w:color w:val="000000"/>
        </w:rPr>
        <w:t>7</w:t>
      </w:r>
      <w:r w:rsidRPr="00914DF5">
        <w:rPr>
          <w:rFonts w:asciiTheme="majorBidi" w:hAnsiTheme="majorBidi" w:cstheme="majorBidi"/>
          <w:b w:val="0"/>
          <w:bCs w:val="0"/>
          <w:color w:val="000000"/>
        </w:rPr>
        <w:t>%, supérieure au rythme de croissance démographique qui est de 1,1%.</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Toutefois, la baisse du taux d’emploi n’était pas uniforme dans tous les secteurs d’activité économique. Le taux d’emploi dans le secteur de l’agriculture, forêt et pêche a baissé de 20,1% en 2001 à 16,7% en 2015 et celui des industries de 5,8% à 4,8%. Alors que les services et l’activité du BTP ont enregistré des améliorations des taux d’emploi de 16,2% et 3% en 2001 à 17,3% et 4% en 2015 respectivement.</w:t>
      </w:r>
    </w:p>
    <w:p w:rsidR="005D1D5A" w:rsidRDefault="005D1D5A" w:rsidP="005D1D5A">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5D1D5A">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Dans ces conditions, les baisses des taux d’emploi dans le secteur de l’agriculture, forêt et</w:t>
      </w:r>
      <w:r w:rsidR="005D1D5A">
        <w:rPr>
          <w:rFonts w:asciiTheme="majorBidi" w:hAnsiTheme="majorBidi" w:cstheme="majorBidi"/>
          <w:b w:val="0"/>
          <w:bCs w:val="0"/>
          <w:color w:val="000000"/>
        </w:rPr>
        <w:t xml:space="preserve"> </w:t>
      </w:r>
      <w:r w:rsidRPr="00914DF5">
        <w:rPr>
          <w:rFonts w:asciiTheme="majorBidi" w:hAnsiTheme="majorBidi" w:cstheme="majorBidi"/>
          <w:b w:val="0"/>
          <w:bCs w:val="0"/>
          <w:color w:val="000000"/>
        </w:rPr>
        <w:t>pêche et dans l’industrie ont contribué négativement à la croissance du niveau de vie de la population durant la période 2001-2015, avec -20% et -5,2% respectivement. Les taux d’emploi dans les services et le BTP ont dégagé une contribution positive de 5,5% et 5,4% respectivement durant la période 2001-2015, malgré un net ralentissement durant la deuxième période.</w:t>
      </w: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5D1D5A" w:rsidRPr="00914DF5"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jc w:val="both"/>
        <w:rPr>
          <w:rFonts w:asciiTheme="majorBidi" w:hAnsiTheme="majorBidi" w:cstheme="majorBidi"/>
          <w:b w:val="0"/>
          <w:bCs w:val="0"/>
        </w:rPr>
      </w:pPr>
      <w:r w:rsidRPr="009D4773">
        <w:rPr>
          <w:rFonts w:asciiTheme="majorBidi" w:hAnsiTheme="majorBidi" w:cstheme="majorBidi"/>
        </w:rPr>
        <w:lastRenderedPageBreak/>
        <w:t>Tableau 2</w:t>
      </w:r>
      <w:r w:rsidR="009D4773">
        <w:rPr>
          <w:rFonts w:asciiTheme="majorBidi" w:hAnsiTheme="majorBidi" w:cstheme="majorBidi"/>
          <w:b w:val="0"/>
          <w:bCs w:val="0"/>
        </w:rPr>
        <w:t xml:space="preserve"> </w:t>
      </w:r>
      <w:r w:rsidRPr="00914DF5">
        <w:rPr>
          <w:rFonts w:asciiTheme="majorBidi" w:hAnsiTheme="majorBidi" w:cstheme="majorBidi"/>
          <w:b w:val="0"/>
          <w:bCs w:val="0"/>
        </w:rPr>
        <w:t>: Contribution du taux d’emploi au niveau de vie de la population</w:t>
      </w:r>
    </w:p>
    <w:tbl>
      <w:tblPr>
        <w:tblW w:w="8055" w:type="dxa"/>
        <w:tblInd w:w="58" w:type="dxa"/>
        <w:tblCellMar>
          <w:left w:w="70" w:type="dxa"/>
          <w:right w:w="70" w:type="dxa"/>
        </w:tblCellMar>
        <w:tblLook w:val="04A0"/>
      </w:tblPr>
      <w:tblGrid>
        <w:gridCol w:w="4170"/>
        <w:gridCol w:w="1200"/>
        <w:gridCol w:w="1305"/>
        <w:gridCol w:w="1380"/>
      </w:tblGrid>
      <w:tr w:rsidR="00914DF5" w:rsidRPr="00914DF5" w:rsidTr="00914DF5">
        <w:trPr>
          <w:trHeight w:val="300"/>
        </w:trPr>
        <w:tc>
          <w:tcPr>
            <w:tcW w:w="417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Secteurs d'activité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2001</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2008</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2015</w:t>
            </w:r>
          </w:p>
        </w:tc>
      </w:tr>
      <w:tr w:rsidR="00914DF5" w:rsidRPr="00914DF5" w:rsidTr="00914DF5">
        <w:trPr>
          <w:trHeight w:val="300"/>
        </w:trPr>
        <w:tc>
          <w:tcPr>
            <w:tcW w:w="4170" w:type="dxa"/>
            <w:vMerge/>
            <w:tcBorders>
              <w:top w:val="single" w:sz="4" w:space="0" w:color="auto"/>
              <w:left w:val="single" w:sz="4" w:space="0" w:color="auto"/>
              <w:bottom w:val="single" w:sz="4" w:space="0" w:color="000000"/>
              <w:right w:val="single" w:sz="4" w:space="0" w:color="auto"/>
            </w:tcBorders>
            <w:vAlign w:val="center"/>
            <w:hideMark/>
          </w:tcPr>
          <w:p w:rsidR="00914DF5" w:rsidRPr="00914DF5" w:rsidRDefault="00914DF5" w:rsidP="00914DF5">
            <w:pPr>
              <w:rPr>
                <w:rFonts w:asciiTheme="majorBidi" w:hAnsiTheme="majorBidi" w:cstheme="majorBidi"/>
                <w:b w:val="0"/>
                <w:bCs w:val="0"/>
                <w:color w:val="000000"/>
              </w:rPr>
            </w:pPr>
          </w:p>
        </w:tc>
        <w:tc>
          <w:tcPr>
            <w:tcW w:w="388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Part d’emploi du secteur d’activité dans le total de la population employée (en %)</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20,1</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18,7</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16,7</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5,8</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5,9</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4,8</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3,0</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4,1</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4,0</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16,2</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17,1</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17,3</w:t>
            </w:r>
          </w:p>
        </w:tc>
      </w:tr>
      <w:tr w:rsidR="00914DF5" w:rsidRPr="00914DF5" w:rsidTr="00914DF5">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Total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45,1</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45,8</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42,8</w:t>
            </w:r>
          </w:p>
        </w:tc>
      </w:tr>
      <w:tr w:rsidR="00914DF5" w:rsidRPr="00914DF5" w:rsidTr="00914DF5">
        <w:trPr>
          <w:trHeight w:val="675"/>
        </w:trPr>
        <w:tc>
          <w:tcPr>
            <w:tcW w:w="41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w:t>
            </w:r>
          </w:p>
        </w:tc>
        <w:tc>
          <w:tcPr>
            <w:tcW w:w="3885" w:type="dxa"/>
            <w:gridSpan w:val="3"/>
            <w:tcBorders>
              <w:top w:val="single" w:sz="4" w:space="0" w:color="auto"/>
              <w:left w:val="nil"/>
              <w:bottom w:val="single" w:sz="4" w:space="0" w:color="auto"/>
              <w:right w:val="single" w:sz="4" w:space="0" w:color="000000"/>
            </w:tcBorders>
            <w:shd w:val="clear" w:color="auto" w:fill="auto"/>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Contribution de l’emploi à la croissance de la VA/habitant (en %)</w:t>
            </w:r>
          </w:p>
        </w:tc>
      </w:tr>
      <w:tr w:rsidR="00914DF5" w:rsidRPr="00914DF5" w:rsidTr="00914DF5">
        <w:trPr>
          <w:trHeight w:val="300"/>
        </w:trPr>
        <w:tc>
          <w:tcPr>
            <w:tcW w:w="417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2001-2008</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2008-2015</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D4773" w:rsidRDefault="00914DF5" w:rsidP="00914DF5">
            <w:pPr>
              <w:jc w:val="cente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-12,2</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-24,2</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-17,9</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-13,0</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-5,2</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9,3</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7,6</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2,3</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c>
          <w:tcPr>
            <w:tcW w:w="130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-35,3</w:t>
            </w:r>
          </w:p>
        </w:tc>
        <w:tc>
          <w:tcPr>
            <w:tcW w:w="138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-12,2</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Comme il est souligné plus haut, l’effet négatif de la baisse du taux d’emploi sur le niveau de vie de la population a été largement compensé par l’amélioration de la productivité du travail. Celle-ci a été confortée par l’accroissement des productivités sectorielles de l’agriculture, forêt et pêche et de l’industrie. Ces deux secteurs, marqués par les baisses des taux d’emploi, ont enregistré des productivités de travail en hausse de 5,2% et 3% par an respectivement entre 2001 et 2015. Les services et le BTP, ayant des contributions positives de leurs taux d’emploi à la croissance du PIB par habitant, sont marqués par de faibles accroissements de leurs productivités du travail de 2,1% et de 0,9% par an durant cette période.</w:t>
      </w:r>
    </w:p>
    <w:p w:rsidR="005D1D5A" w:rsidRPr="00914DF5" w:rsidRDefault="005D1D5A"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jc w:val="both"/>
        <w:rPr>
          <w:rFonts w:asciiTheme="majorBidi" w:hAnsiTheme="majorBidi" w:cstheme="majorBidi"/>
          <w:b w:val="0"/>
          <w:bCs w:val="0"/>
        </w:rPr>
      </w:pPr>
      <w:r w:rsidRPr="009D4773">
        <w:rPr>
          <w:rFonts w:asciiTheme="majorBidi" w:hAnsiTheme="majorBidi" w:cstheme="majorBidi"/>
        </w:rPr>
        <w:t>Tableau 3</w:t>
      </w:r>
      <w:r w:rsidR="009D4773">
        <w:rPr>
          <w:rFonts w:asciiTheme="majorBidi" w:hAnsiTheme="majorBidi" w:cstheme="majorBidi"/>
        </w:rPr>
        <w:t xml:space="preserve"> </w:t>
      </w:r>
      <w:r w:rsidRPr="00914DF5">
        <w:rPr>
          <w:rFonts w:asciiTheme="majorBidi" w:hAnsiTheme="majorBidi" w:cstheme="majorBidi"/>
          <w:b w:val="0"/>
          <w:bCs w:val="0"/>
        </w:rPr>
        <w:t>: Croissance de la productivité du travail par secteur d’activité (en %)</w:t>
      </w:r>
    </w:p>
    <w:tbl>
      <w:tblPr>
        <w:tblW w:w="7770" w:type="dxa"/>
        <w:tblInd w:w="58" w:type="dxa"/>
        <w:tblCellMar>
          <w:left w:w="70" w:type="dxa"/>
          <w:right w:w="70" w:type="dxa"/>
        </w:tblCellMar>
        <w:tblLook w:val="04A0"/>
      </w:tblPr>
      <w:tblGrid>
        <w:gridCol w:w="4170"/>
        <w:gridCol w:w="1200"/>
        <w:gridCol w:w="1200"/>
        <w:gridCol w:w="1200"/>
      </w:tblGrid>
      <w:tr w:rsidR="00914DF5" w:rsidRPr="00914DF5" w:rsidTr="00914DF5">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 Secteurs d’activité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2001-2008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2008-2015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7,0</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5,2</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1,9</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4,1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3,0</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1,7</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2,1</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2,9</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2D2A02" w:rsidRDefault="002D2A02" w:rsidP="00914DF5">
      <w:pPr>
        <w:autoSpaceDE w:val="0"/>
        <w:autoSpaceDN w:val="0"/>
        <w:adjustRightInd w:val="0"/>
        <w:spacing w:before="120" w:after="120" w:line="312" w:lineRule="auto"/>
        <w:jc w:val="both"/>
        <w:rPr>
          <w:rFonts w:asciiTheme="majorBidi" w:hAnsiTheme="majorBidi" w:cstheme="majorBidi"/>
          <w:b w:val="0"/>
          <w:bCs w:val="0"/>
          <w:color w:val="000000"/>
        </w:rPr>
      </w:pP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lastRenderedPageBreak/>
        <w:t>A cet effet, le secteur agricole a contribué pour 25% à l’amélioration du PIB par habitant et l’industrie pour 20,4%, sachant que le reste des secteurs d’activité (BTP et services) ont contribué pour 15,8%. Au total, 61,2% de la contribution de la productivité du travail à la croissance du PIB par tête sont l’apport des effets intra-sectoriels (mobilité à l’intérieur des secteurs eux même). En revanche, les 31,3% qui restent constituent la contribution induite par la mobilité inter-sectorielle de la main d’œuvre (entre les secteurs), qui reste globalement faible.</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L’accroissement de la productivité au niveau des secteurs de l’Agriculture et de l’industrie, particulièrement durant la période 2008-2015, a été favorisé par les pertes d’emploi qu’ont connues ces activités. La mobilité de cette main d’œuvre a été opérée vers des secteurs où la productivité du travail est faible, en l’occurrence le BTP et les services de commerce. Ces secteurs, caractérisés par de faibles productivités ne dépassant pas 60% de la productivité moyenne du travail de l’économie dans son ensemble, ont créé 45% des emplois additionnels sur le marché du travail durant la période 2001-2015. Néanmoins, il convient de souligner que le secteur des banques et assurances a créé 11% de l’emploi additionnel au niveau national avec une forte productivité représentant plus de 6 fois celle de l’économie totale. </w:t>
      </w:r>
    </w:p>
    <w:p w:rsidR="00914DF5" w:rsidRPr="00914DF5" w:rsidRDefault="00914DF5" w:rsidP="00914DF5">
      <w:pPr>
        <w:autoSpaceDE w:val="0"/>
        <w:autoSpaceDN w:val="0"/>
        <w:adjustRightInd w:val="0"/>
        <w:spacing w:before="120" w:after="120" w:line="312" w:lineRule="auto"/>
        <w:jc w:val="both"/>
        <w:rPr>
          <w:rFonts w:asciiTheme="majorBidi" w:hAnsiTheme="majorBidi" w:cstheme="majorBidi"/>
          <w:b w:val="0"/>
          <w:bCs w:val="0"/>
          <w:color w:val="000000"/>
        </w:rPr>
      </w:pPr>
      <w:r w:rsidRPr="00914DF5">
        <w:rPr>
          <w:rFonts w:asciiTheme="majorBidi" w:hAnsiTheme="majorBidi" w:cstheme="majorBidi"/>
          <w:b w:val="0"/>
          <w:bCs w:val="0"/>
          <w:color w:val="000000"/>
        </w:rPr>
        <w:t>Dans ces conditions, la croissance de la productivité du travail de l’économie nationale est restée modérée avec une moyenne de 3% par an durant toute la période 2001-2015, revoyant au fait que la mobilité de l’emploi intersectorielle s’est faite globalement entre des activités de faibles productivités et reflétant ainsi la lente transformation du tissu productif national.</w:t>
      </w:r>
    </w:p>
    <w:p w:rsidR="00914DF5" w:rsidRPr="00914DF5" w:rsidRDefault="00914DF5" w:rsidP="00914DF5">
      <w:pPr>
        <w:suppressAutoHyphens/>
        <w:jc w:val="both"/>
        <w:rPr>
          <w:rFonts w:asciiTheme="majorBidi" w:hAnsiTheme="majorBidi" w:cstheme="majorBidi"/>
          <w:b w:val="0"/>
          <w:bCs w:val="0"/>
        </w:rPr>
      </w:pPr>
    </w:p>
    <w:p w:rsidR="00914DF5" w:rsidRPr="00914DF5" w:rsidRDefault="00914DF5" w:rsidP="00914DF5">
      <w:pPr>
        <w:suppressAutoHyphens/>
        <w:jc w:val="both"/>
        <w:rPr>
          <w:rFonts w:asciiTheme="majorBidi" w:hAnsiTheme="majorBidi" w:cstheme="majorBidi"/>
          <w:b w:val="0"/>
          <w:bCs w:val="0"/>
        </w:rPr>
      </w:pPr>
      <w:r w:rsidRPr="009D4773">
        <w:rPr>
          <w:rFonts w:asciiTheme="majorBidi" w:hAnsiTheme="majorBidi" w:cstheme="majorBidi"/>
        </w:rPr>
        <w:t>Tableau 4</w:t>
      </w:r>
      <w:r w:rsidR="009D4773">
        <w:rPr>
          <w:rFonts w:asciiTheme="majorBidi" w:hAnsiTheme="majorBidi" w:cstheme="majorBidi"/>
          <w:b w:val="0"/>
          <w:bCs w:val="0"/>
        </w:rPr>
        <w:t xml:space="preserve"> </w:t>
      </w:r>
      <w:r w:rsidRPr="00914DF5">
        <w:rPr>
          <w:rFonts w:asciiTheme="majorBidi" w:hAnsiTheme="majorBidi" w:cstheme="majorBidi"/>
          <w:b w:val="0"/>
          <w:bCs w:val="0"/>
        </w:rPr>
        <w:t xml:space="preserve">: Contribution de la productivité sectorielle à la croissance du PIB par habitant (en %) </w:t>
      </w:r>
    </w:p>
    <w:tbl>
      <w:tblPr>
        <w:tblW w:w="7770" w:type="dxa"/>
        <w:tblInd w:w="58" w:type="dxa"/>
        <w:tblCellMar>
          <w:left w:w="70" w:type="dxa"/>
          <w:right w:w="70" w:type="dxa"/>
        </w:tblCellMar>
        <w:tblLook w:val="04A0"/>
      </w:tblPr>
      <w:tblGrid>
        <w:gridCol w:w="4170"/>
        <w:gridCol w:w="1200"/>
        <w:gridCol w:w="1200"/>
        <w:gridCol w:w="1200"/>
      </w:tblGrid>
      <w:tr w:rsidR="00914DF5" w:rsidRPr="00914DF5" w:rsidTr="00914DF5">
        <w:trPr>
          <w:trHeight w:val="300"/>
        </w:trPr>
        <w:tc>
          <w:tcPr>
            <w:tcW w:w="4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 Rubriques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2001-2008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2008-2015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D4773" w:rsidRDefault="00914DF5" w:rsidP="00914DF5">
            <w:pPr>
              <w:rPr>
                <w:rFonts w:asciiTheme="majorBidi" w:hAnsiTheme="majorBidi" w:cstheme="majorBidi"/>
                <w:color w:val="000000"/>
              </w:rPr>
            </w:pPr>
            <w:r w:rsidRPr="009D4773">
              <w:rPr>
                <w:rFonts w:asciiTheme="majorBidi" w:hAnsiTheme="majorBidi" w:cstheme="majorBidi"/>
                <w:color w:val="000000"/>
              </w:rPr>
              <w:t>2001-2015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Agriculture, forêt et services annexes et pêche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13,1</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37,4</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25,0</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Industrie</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11,6</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31,6</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20,4</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Bâtiment et travaux publics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0,9</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1,5</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Services</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15,2</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14,3</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14,3</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Changement intersectoriel</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35,9</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27,5</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31,3</w:t>
            </w:r>
          </w:p>
        </w:tc>
      </w:tr>
      <w:tr w:rsidR="00914DF5" w:rsidRPr="00914DF5" w:rsidTr="00914DF5">
        <w:trPr>
          <w:trHeight w:val="300"/>
        </w:trPr>
        <w:tc>
          <w:tcPr>
            <w:tcW w:w="417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Contribution de la productivité du travail à la croissance du PIB</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76,8</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113,3</w:t>
            </w:r>
          </w:p>
        </w:tc>
        <w:tc>
          <w:tcPr>
            <w:tcW w:w="120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92,5</w:t>
            </w:r>
          </w:p>
        </w:tc>
      </w:tr>
    </w:tbl>
    <w:p w:rsid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F1D25" w:rsidRPr="00914DF5" w:rsidRDefault="008F1D25" w:rsidP="00914DF5">
      <w:pPr>
        <w:jc w:val="both"/>
        <w:rPr>
          <w:rFonts w:asciiTheme="majorBidi" w:hAnsiTheme="majorBidi" w:cstheme="majorBidi"/>
          <w:b w:val="0"/>
          <w:bCs w:val="0"/>
          <w:sz w:val="20"/>
          <w:szCs w:val="20"/>
        </w:rPr>
      </w:pPr>
    </w:p>
    <w:p w:rsidR="00914DF5" w:rsidRPr="008F1D25" w:rsidRDefault="00914DF5" w:rsidP="00914DF5">
      <w:pPr>
        <w:pStyle w:val="Paragraphedeliste"/>
        <w:numPr>
          <w:ilvl w:val="1"/>
          <w:numId w:val="42"/>
        </w:numPr>
        <w:tabs>
          <w:tab w:val="left" w:pos="709"/>
        </w:tabs>
        <w:ind w:hanging="76"/>
        <w:jc w:val="both"/>
        <w:rPr>
          <w:rFonts w:asciiTheme="majorBidi" w:hAnsiTheme="majorBidi" w:cstheme="majorBidi"/>
          <w:b/>
          <w:bCs/>
          <w:color w:val="000000"/>
          <w:sz w:val="24"/>
          <w:szCs w:val="24"/>
        </w:rPr>
      </w:pPr>
      <w:r w:rsidRPr="008F1D25">
        <w:rPr>
          <w:rFonts w:asciiTheme="majorBidi" w:hAnsiTheme="majorBidi" w:cstheme="majorBidi"/>
          <w:b/>
          <w:bCs/>
          <w:color w:val="000000"/>
          <w:sz w:val="24"/>
          <w:szCs w:val="24"/>
        </w:rPr>
        <w:t>Décomposition de la productivité du travail</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 productivité du travail s’explique aussi par l’accumulation du capital et le cadre qui régit l’utilisation des facteurs de production. Il s’agit dans ce cadre de l’intensité capitalistique (ratio capital/travail ou le niveau du stock capital mis à la disposition d’un actif) et de la productivité globale des facteurs. </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L’intensité capitalistique s’est améliorée de manière significative durant la période 2001-2015 en raison d’une forte croissance du stock de capital de 6% par an et d’un net ralentissement de </w:t>
      </w:r>
      <w:r w:rsidRPr="00914DF5">
        <w:rPr>
          <w:rFonts w:asciiTheme="majorBidi" w:hAnsiTheme="majorBidi" w:cstheme="majorBidi"/>
          <w:b w:val="0"/>
          <w:bCs w:val="0"/>
        </w:rPr>
        <w:lastRenderedPageBreak/>
        <w:t>l’emploi avec un rythme d’accroissement passant de 2% par an entre 2001-2008 à 0,7% entre 2008-2015. L’intensité capitalistique a enregistré ainsi une hausse de 4,7% en moyenne annuelle durant l’ensemble de la période.</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 productivité globale des facteurs, de son côté, malgré son faible rythme de croissance, de 0,4% en moyenne annuelle entre 2001 et 2015, il convient de préciser qu’elle s’est inscrite dans un sentier ascendant entre les deux périodes en passant de 0,1% par an à 0,6% respectivement. </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Ainsi, l’amélioration de l’intensité capitalistique a contribué pour 55% à l’amélioration de la productivité du travail durant la période 2001-2015 et celle de la productivité globale des facteurs pour 15%. Les 30% restants proviennent des effets de la mobilité intersectorielle de l’emploi. </w:t>
      </w:r>
    </w:p>
    <w:p w:rsidR="00914DF5" w:rsidRPr="00914DF5" w:rsidRDefault="00914DF5" w:rsidP="00914DF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En guise de </w:t>
      </w:r>
      <w:r w:rsidRPr="005D1D5A">
        <w:rPr>
          <w:rFonts w:asciiTheme="majorBidi" w:hAnsiTheme="majorBidi" w:cstheme="majorBidi"/>
        </w:rPr>
        <w:t>conclusion</w:t>
      </w:r>
      <w:r w:rsidRPr="00914DF5">
        <w:rPr>
          <w:rFonts w:asciiTheme="majorBidi" w:hAnsiTheme="majorBidi" w:cstheme="majorBidi"/>
          <w:b w:val="0"/>
          <w:bCs w:val="0"/>
        </w:rPr>
        <w:t xml:space="preserve">, la croissance modérée des niveaux de vie de la population de 3,2% dans notre pays au cours de la période 2001-2015 trouve son explication dans la baisse des taux d’emploi, renvoyant à une sous utilisation du potentiel de main d’œuvre offert par la transition démographique et aux effets positifs relativement faibles de la productivité globale des facteurs et de la mobilité intersectorielle. En fait, malgré l’amélioration significative de l’intensité capitalistique, les structures économiques n’ont pas encore connu de mutations profondes et par conséquent le niveau de leurs productivités demeure faible, limitant ainsi les avantages qu’aurait procurés la mobilité de l’emploi d’un secteur à un autre. </w:t>
      </w:r>
    </w:p>
    <w:p w:rsidR="00914DF5" w:rsidRPr="00914DF5" w:rsidRDefault="00914DF5" w:rsidP="00914DF5">
      <w:pPr>
        <w:jc w:val="both"/>
        <w:rPr>
          <w:rFonts w:asciiTheme="majorBidi" w:hAnsiTheme="majorBidi" w:cstheme="majorBidi"/>
          <w:b w:val="0"/>
          <w:bCs w:val="0"/>
        </w:rPr>
      </w:pPr>
    </w:p>
    <w:p w:rsidR="00914DF5" w:rsidRPr="008F1D25" w:rsidRDefault="00914DF5" w:rsidP="00914DF5">
      <w:pPr>
        <w:pStyle w:val="Paragraphedeliste"/>
        <w:numPr>
          <w:ilvl w:val="0"/>
          <w:numId w:val="41"/>
        </w:numPr>
        <w:jc w:val="both"/>
        <w:rPr>
          <w:rFonts w:asciiTheme="majorBidi" w:hAnsiTheme="majorBidi" w:cstheme="majorBidi"/>
          <w:b/>
          <w:bCs/>
          <w:sz w:val="24"/>
          <w:szCs w:val="24"/>
        </w:rPr>
      </w:pPr>
      <w:r w:rsidRPr="008F1D25">
        <w:rPr>
          <w:rFonts w:asciiTheme="majorBidi" w:hAnsiTheme="majorBidi" w:cstheme="majorBidi"/>
          <w:b/>
          <w:bCs/>
          <w:sz w:val="24"/>
          <w:szCs w:val="24"/>
        </w:rPr>
        <w:t>Partage de la valeur ajoutée et du surplus de productivité entre les facteurs de production</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L’accent est mis sur l’affectation de la valeur ajoutée de l’économie aux facteurs de production, notamment le travail (travail salarié, travail non salarié) et le capital pour appréhender la contribution directe de l’accumulation de ces facteurs à la création de la VA et à la productivité globale des facteurs (PGF) qui en résulte. </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La PGF ou surplus de productivité renseigne en fait sur le niveau de l’efficacité de la combinaison productive de facteurs de production. Elle est la manifestation de la qualité du cadre institutionnel, organisationnel, de recherche et développement, de maitrise des technologies, etc. qui caractérisent l’environnement économique national.</w:t>
      </w:r>
    </w:p>
    <w:p w:rsid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Au Maroc, la nature de la croissance économique impose la distinction entre le secteur agricole et non agricole. La valeur ajoutée du secteur agricole reste très volatile et fort tributaire, quoiqu’en diminution au fil des années, des conditions climatiques comparativement à celle du secteur non agricole. De plus, le secteur agricole s’accapare une part importante de la population active occupée avoisinant actuellement prés de 40%.</w:t>
      </w:r>
    </w:p>
    <w:p w:rsidR="005D1D5A" w:rsidRDefault="005D1D5A" w:rsidP="008F1D25">
      <w:pPr>
        <w:spacing w:before="120" w:after="120" w:line="312" w:lineRule="auto"/>
        <w:jc w:val="both"/>
        <w:rPr>
          <w:rFonts w:asciiTheme="majorBidi" w:hAnsiTheme="majorBidi" w:cstheme="majorBidi"/>
          <w:b w:val="0"/>
          <w:bCs w:val="0"/>
        </w:rPr>
      </w:pPr>
    </w:p>
    <w:p w:rsidR="005D1D5A" w:rsidRPr="00914DF5" w:rsidRDefault="005D1D5A" w:rsidP="008F1D25">
      <w:pPr>
        <w:spacing w:before="120" w:after="120" w:line="312" w:lineRule="auto"/>
        <w:jc w:val="both"/>
        <w:rPr>
          <w:rFonts w:asciiTheme="majorBidi" w:hAnsiTheme="majorBidi" w:cstheme="majorBidi"/>
          <w:b w:val="0"/>
          <w:bCs w:val="0"/>
        </w:rPr>
      </w:pPr>
    </w:p>
    <w:p w:rsidR="00914DF5" w:rsidRPr="008F1D25" w:rsidRDefault="00914DF5" w:rsidP="00914DF5">
      <w:pPr>
        <w:pStyle w:val="Paragraphedeliste"/>
        <w:numPr>
          <w:ilvl w:val="1"/>
          <w:numId w:val="43"/>
        </w:numPr>
        <w:tabs>
          <w:tab w:val="left" w:pos="709"/>
        </w:tabs>
        <w:jc w:val="both"/>
        <w:rPr>
          <w:rFonts w:asciiTheme="majorBidi" w:hAnsiTheme="majorBidi" w:cstheme="majorBidi"/>
          <w:b/>
          <w:bCs/>
          <w:color w:val="000000"/>
          <w:sz w:val="24"/>
          <w:szCs w:val="24"/>
        </w:rPr>
      </w:pPr>
      <w:r w:rsidRPr="008F1D25">
        <w:rPr>
          <w:rFonts w:asciiTheme="majorBidi" w:hAnsiTheme="majorBidi" w:cstheme="majorBidi"/>
          <w:b/>
          <w:bCs/>
          <w:color w:val="000000"/>
          <w:sz w:val="24"/>
          <w:szCs w:val="24"/>
        </w:rPr>
        <w:lastRenderedPageBreak/>
        <w:t>Surplus de productivité dans le secteur agricole</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surplus de productivité dans le secteur agricole (taux de croissance de la productivité globale des facteurs ou gains de productivité) a été de 5,9% en moyenne annuelle en 2000-2008 et de 5,6% en 2009-2014 et a représenté ainsi prés de 98% de la croissance de la valeur ajoutée agricole en moyenne annuelle en 2000-2008 et de 84% en 2009-2014. Le reste de la croissance de la valeur ajoutée représente la contribution du facteur capital et du facteur travail, salarié et non salarié.</w:t>
      </w: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5</w:t>
      </w:r>
      <w:r w:rsidR="00BC0DC1">
        <w:rPr>
          <w:rFonts w:asciiTheme="majorBidi" w:hAnsiTheme="majorBidi" w:cstheme="majorBidi"/>
        </w:rPr>
        <w:t xml:space="preserve"> </w:t>
      </w:r>
      <w:r w:rsidRPr="00914DF5">
        <w:rPr>
          <w:rFonts w:asciiTheme="majorBidi" w:hAnsiTheme="majorBidi" w:cstheme="majorBidi"/>
          <w:b w:val="0"/>
          <w:bCs w:val="0"/>
        </w:rPr>
        <w:t>: Evolution du surplus de productivité dans le secteur agricole</w:t>
      </w:r>
    </w:p>
    <w:tbl>
      <w:tblPr>
        <w:tblW w:w="9077" w:type="dxa"/>
        <w:tblInd w:w="65" w:type="dxa"/>
        <w:tblCellMar>
          <w:left w:w="70" w:type="dxa"/>
          <w:right w:w="70" w:type="dxa"/>
        </w:tblCellMar>
        <w:tblLook w:val="04A0"/>
      </w:tblPr>
      <w:tblGrid>
        <w:gridCol w:w="4825"/>
        <w:gridCol w:w="1276"/>
        <w:gridCol w:w="1701"/>
        <w:gridCol w:w="1275"/>
      </w:tblGrid>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color w:val="FFFFFF" w:themeColor="background1"/>
              </w:rPr>
            </w:pPr>
            <w:r w:rsidRPr="00BC0DC1">
              <w:rPr>
                <w:rFonts w:asciiTheme="majorBidi" w:hAnsiTheme="majorBidi" w:cstheme="majorBidi"/>
                <w:color w:val="000000"/>
              </w:rPr>
              <w:t>Croissance en pourcentage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2009-2014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BC0DC1">
        <w:trPr>
          <w:trHeight w:val="331"/>
        </w:trPr>
        <w:tc>
          <w:tcPr>
            <w:tcW w:w="4825" w:type="dxa"/>
            <w:tcBorders>
              <w:top w:val="nil"/>
              <w:left w:val="single" w:sz="4" w:space="0" w:color="auto"/>
              <w:bottom w:val="single" w:sz="4" w:space="0" w:color="auto"/>
              <w:right w:val="single" w:sz="4" w:space="0" w:color="auto"/>
            </w:tcBorders>
            <w:shd w:val="clear" w:color="auto" w:fill="auto"/>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Taux de croissance réelle de la VA agricole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aux couts des facteurs (1)+(2)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6,0%</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6,6%</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6,3%</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Facteurs de production  (1)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0,5%</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0,1%</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-0,3%</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1,2%</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0,7%</w:t>
            </w:r>
          </w:p>
        </w:tc>
      </w:tr>
      <w:tr w:rsidR="00914DF5" w:rsidRPr="00914DF5" w:rsidTr="00BC0DC1">
        <w:trPr>
          <w:trHeight w:val="434"/>
        </w:trPr>
        <w:tc>
          <w:tcPr>
            <w:tcW w:w="4825"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5,9%</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5,6%</w:t>
            </w:r>
          </w:p>
        </w:tc>
        <w:tc>
          <w:tcPr>
            <w:tcW w:w="1275"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5,8%</w:t>
            </w:r>
          </w:p>
        </w:tc>
      </w:tr>
      <w:tr w:rsidR="00914DF5" w:rsidRPr="00914DF5" w:rsidTr="00BC0DC1">
        <w:trPr>
          <w:trHeight w:val="969"/>
        </w:trPr>
        <w:tc>
          <w:tcPr>
            <w:tcW w:w="482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des facteurs de production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dans la croissance réelle  de la VA agricole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aux couts des facteurs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7,9%</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2,2%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1,7%</w:t>
            </w:r>
          </w:p>
        </w:tc>
      </w:tr>
      <w:tr w:rsidR="00914DF5" w:rsidRPr="00914DF5" w:rsidTr="00BC0DC1">
        <w:trPr>
          <w:trHeight w:val="301"/>
        </w:trPr>
        <w:tc>
          <w:tcPr>
            <w:tcW w:w="4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-5,0%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-3,2%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-4,2%</w:t>
            </w:r>
          </w:p>
        </w:tc>
      </w:tr>
      <w:tr w:rsidR="00914DF5" w:rsidRPr="00914DF5" w:rsidTr="00BC0DC1">
        <w:trPr>
          <w:trHeight w:val="316"/>
        </w:trPr>
        <w:tc>
          <w:tcPr>
            <w:tcW w:w="4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4,7%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18,3%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10,5%</w:t>
            </w:r>
          </w:p>
        </w:tc>
      </w:tr>
      <w:tr w:rsidR="00914DF5" w:rsidRPr="00914DF5" w:rsidTr="00BC0DC1">
        <w:trPr>
          <w:trHeight w:val="919"/>
        </w:trPr>
        <w:tc>
          <w:tcPr>
            <w:tcW w:w="4825"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du surplus de productivité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dans la croissance réelle  de la VA agricole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aux couts des facteurs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98,0%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84,0%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right"/>
              <w:rPr>
                <w:rFonts w:asciiTheme="majorBidi" w:hAnsiTheme="majorBidi" w:cstheme="majorBidi"/>
                <w:b w:val="0"/>
                <w:bCs w:val="0"/>
                <w:color w:val="000000"/>
              </w:rPr>
            </w:pPr>
            <w:r w:rsidRPr="00914DF5">
              <w:rPr>
                <w:rFonts w:asciiTheme="majorBidi" w:hAnsiTheme="majorBidi" w:cstheme="majorBidi"/>
                <w:b w:val="0"/>
                <w:bCs w:val="0"/>
                <w:color w:val="000000"/>
              </w:rPr>
              <w:t>92,1%</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5937EA" w:rsidRDefault="005937EA" w:rsidP="008F1D25">
      <w:pPr>
        <w:spacing w:before="120" w:after="120" w:line="312" w:lineRule="auto"/>
        <w:jc w:val="both"/>
        <w:rPr>
          <w:rFonts w:asciiTheme="majorBidi" w:hAnsiTheme="majorBidi" w:cstheme="majorBidi"/>
          <w:b w:val="0"/>
          <w:bCs w:val="0"/>
        </w:rPr>
      </w:pP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La contribution du facteur capital à la croissance de la valeur ajoutée agricole a gagné en intensité au fil des années, passant d’une moyenne annuelle de 4,7% en 2000-2008 à 18,3% en 2009-2014. La contribution du travail salarié dans la croissance a été faible, de 1,7% en moyenne annuelle sur la période 2000-2014, alors que celle du travail non salarié a été plutôt négative de -4,2% en moyenne annuelle en 2000-2014. </w:t>
      </w:r>
    </w:p>
    <w:p w:rsidR="00914DF5" w:rsidRP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surplus de productivité dans le secteur agricole a été principalement le fait du facteur capital. Le surplus de celui-ci a été de 3,7% entre 2000 et 2014 (2,9% en 2000-2008 et 5% en 2009-2014), supérieur à celui du facteur travail non salarié en augmentation de 1,4%, et à celui du travail salarié en augmentation de 0,3%.</w:t>
      </w:r>
    </w:p>
    <w:p w:rsidR="00914DF5" w:rsidRDefault="00914DF5" w:rsidP="008F1D25">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En réalité le surplus de productivité distribué effectivement aux facteurs de production est parfois différent du surplus de productivité généré par les facteurs de production en raison de certains prélèvements qui reviennent à l’administration publique et au reste du monde. Si le surplus de productivité réalisé par les facteurs de production dans le secteur agricole s’est </w:t>
      </w:r>
      <w:r w:rsidRPr="00914DF5">
        <w:rPr>
          <w:rFonts w:asciiTheme="majorBidi" w:hAnsiTheme="majorBidi" w:cstheme="majorBidi"/>
          <w:b w:val="0"/>
          <w:bCs w:val="0"/>
        </w:rPr>
        <w:lastRenderedPageBreak/>
        <w:t xml:space="preserve">accru de 5,4% par an durant la période 2000-2014, le surplus distribué effectivement aux facteurs n’a été que de 3,3%. Le reste de surplus, soit 2,1%, constitue l’équivalent des prélèvements dans le secteur agricole. </w:t>
      </w:r>
    </w:p>
    <w:p w:rsidR="005937EA" w:rsidRPr="00914DF5" w:rsidRDefault="005937EA" w:rsidP="008F1D25">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6</w:t>
      </w:r>
      <w:r w:rsidR="00BC0DC1">
        <w:rPr>
          <w:rFonts w:asciiTheme="majorBidi" w:hAnsiTheme="majorBidi" w:cstheme="majorBidi"/>
          <w:b w:val="0"/>
          <w:bCs w:val="0"/>
        </w:rPr>
        <w:t xml:space="preserve"> </w:t>
      </w:r>
      <w:r w:rsidRPr="00914DF5">
        <w:rPr>
          <w:rFonts w:asciiTheme="majorBidi" w:hAnsiTheme="majorBidi" w:cstheme="majorBidi"/>
          <w:b w:val="0"/>
          <w:bCs w:val="0"/>
        </w:rPr>
        <w:t>: Surplus de productivité selon les facteurs de production dans le secteur agricole</w:t>
      </w:r>
    </w:p>
    <w:tbl>
      <w:tblPr>
        <w:tblW w:w="0" w:type="auto"/>
        <w:tblInd w:w="65" w:type="dxa"/>
        <w:tblLayout w:type="fixed"/>
        <w:tblCellMar>
          <w:left w:w="70" w:type="dxa"/>
          <w:right w:w="70" w:type="dxa"/>
        </w:tblCellMar>
        <w:tblLook w:val="04A0"/>
      </w:tblPr>
      <w:tblGrid>
        <w:gridCol w:w="4541"/>
        <w:gridCol w:w="1560"/>
        <w:gridCol w:w="1417"/>
        <w:gridCol w:w="1559"/>
      </w:tblGrid>
      <w:tr w:rsidR="00914DF5" w:rsidRPr="00914DF5" w:rsidTr="00BC0DC1">
        <w:trPr>
          <w:trHeight w:val="30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Rubriques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2000-2008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2009-2014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keepNext/>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BC0DC1">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keepNext/>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salarié</w:t>
            </w:r>
          </w:p>
        </w:tc>
        <w:tc>
          <w:tcPr>
            <w:tcW w:w="156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0,02%</w:t>
            </w:r>
          </w:p>
        </w:tc>
        <w:tc>
          <w:tcPr>
            <w:tcW w:w="1559"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0,3%</w:t>
            </w:r>
          </w:p>
        </w:tc>
      </w:tr>
      <w:tr w:rsidR="00914DF5" w:rsidRPr="00914DF5" w:rsidTr="00BC0DC1">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keepNext/>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non salarié</w:t>
            </w:r>
          </w:p>
        </w:tc>
        <w:tc>
          <w:tcPr>
            <w:tcW w:w="156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2,4%</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0,03%</w:t>
            </w:r>
          </w:p>
        </w:tc>
        <w:tc>
          <w:tcPr>
            <w:tcW w:w="1559"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1,4%</w:t>
            </w:r>
          </w:p>
        </w:tc>
      </w:tr>
      <w:tr w:rsidR="00914DF5" w:rsidRPr="00914DF5" w:rsidTr="00BC0DC1">
        <w:trPr>
          <w:trHeight w:val="30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keepNext/>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du capital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keepNext/>
              <w:jc w:val="center"/>
              <w:rPr>
                <w:rFonts w:asciiTheme="majorBidi" w:hAnsiTheme="majorBidi" w:cstheme="majorBidi"/>
                <w:b w:val="0"/>
                <w:bCs w:val="0"/>
                <w:color w:val="000000"/>
              </w:rPr>
            </w:pPr>
            <w:r w:rsidRPr="00914DF5">
              <w:rPr>
                <w:rFonts w:asciiTheme="majorBidi" w:hAnsiTheme="majorBidi" w:cstheme="majorBidi"/>
                <w:b w:val="0"/>
                <w:bCs w:val="0"/>
                <w:color w:val="000000"/>
              </w:rPr>
              <w:t>3,7%</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Globalement, le surplus de productivité dans le secteur agricole est majoritairement redistribué aux détenteurs des facteurs de production et en particulier aux détenteurs du capital. Le peu de surplus qui reste dans le secteur revient au reste du monde au moment où l’administration publique n’en profite pas. </w:t>
      </w: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En effet, le surplus de productivité effectivement distribué au facteur capital a enregistré, en moyenne annuelle, le taux de croissance le plus important avec 3,1% entre 2000 et 2014, au lieu de 0,05% et 0,2% du surplus distribué respectivement aux facteurs travail salarié et non salarié. L’extérieur ou le reste du monde a tendance à profiter davantage du surplus de productivité dégagé par le secteur agricole en réalisant un taux de croissance annuel moyen de son prélèvement de 2,2%. Le prélèvement des administrations publiques a enregistré en moyenne annuelle un taux de croissance négatif de 0,1% durant la période 2000-2014.</w:t>
      </w:r>
    </w:p>
    <w:p w:rsidR="005937EA" w:rsidRPr="00914DF5" w:rsidRDefault="005937EA" w:rsidP="00802BFB">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color w:val="000000"/>
        </w:rPr>
      </w:pPr>
      <w:r w:rsidRPr="00BC0DC1">
        <w:rPr>
          <w:rFonts w:asciiTheme="majorBidi" w:hAnsiTheme="majorBidi" w:cstheme="majorBidi"/>
        </w:rPr>
        <w:t>Tableau 7</w:t>
      </w:r>
      <w:r w:rsidR="00BC0DC1">
        <w:rPr>
          <w:rFonts w:asciiTheme="majorBidi" w:hAnsiTheme="majorBidi" w:cstheme="majorBidi"/>
          <w:b w:val="0"/>
          <w:bCs w:val="0"/>
        </w:rPr>
        <w:t xml:space="preserve"> </w:t>
      </w:r>
      <w:r w:rsidRPr="00914DF5">
        <w:rPr>
          <w:rFonts w:asciiTheme="majorBidi" w:hAnsiTheme="majorBidi" w:cstheme="majorBidi"/>
          <w:b w:val="0"/>
          <w:bCs w:val="0"/>
        </w:rPr>
        <w:t xml:space="preserve">: Surplus de productivité distribué effectivement aux facteurs de production dans le </w:t>
      </w:r>
      <w:r w:rsidRPr="00914DF5">
        <w:rPr>
          <w:rFonts w:asciiTheme="majorBidi" w:hAnsiTheme="majorBidi" w:cstheme="majorBidi"/>
          <w:b w:val="0"/>
          <w:bCs w:val="0"/>
          <w:color w:val="000000"/>
        </w:rPr>
        <w:t>secteur agricole</w:t>
      </w:r>
    </w:p>
    <w:tbl>
      <w:tblPr>
        <w:tblW w:w="90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36"/>
        <w:gridCol w:w="1559"/>
        <w:gridCol w:w="1417"/>
        <w:gridCol w:w="1502"/>
      </w:tblGrid>
      <w:tr w:rsidR="00914DF5" w:rsidRPr="00914DF5" w:rsidTr="00914DF5">
        <w:trPr>
          <w:trHeight w:val="299"/>
        </w:trPr>
        <w:tc>
          <w:tcPr>
            <w:tcW w:w="4536"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rPr>
              <w:t>Surplus de productivité distribuable du secteur agricole</w:t>
            </w:r>
          </w:p>
        </w:tc>
        <w:tc>
          <w:tcPr>
            <w:tcW w:w="1559"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417"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502" w:type="dxa"/>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travail salarié  (1)</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0,05%</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travail non salarié (2)</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capital (3)</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2,6%</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3,7%</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3,1%</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distribuable du </w:t>
            </w:r>
          </w:p>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secteur agricole (1)+(2)+(3)</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3,9%</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2,4%</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3,3%</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Prélèvement du secteur agricole </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1,8%</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2,6%</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2,1%</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l'Administration publique </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l'extérieur </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1,9%</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2,2%</w:t>
            </w:r>
          </w:p>
        </w:tc>
      </w:tr>
      <w:tr w:rsidR="00914DF5" w:rsidRPr="00914DF5" w:rsidTr="00914DF5">
        <w:trPr>
          <w:trHeight w:val="299"/>
        </w:trPr>
        <w:tc>
          <w:tcPr>
            <w:tcW w:w="4536" w:type="dxa"/>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total du secteur agricole</w:t>
            </w:r>
          </w:p>
        </w:tc>
        <w:tc>
          <w:tcPr>
            <w:tcW w:w="1559"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5,7%</w:t>
            </w:r>
          </w:p>
        </w:tc>
        <w:tc>
          <w:tcPr>
            <w:tcW w:w="1417"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5,0%</w:t>
            </w:r>
          </w:p>
        </w:tc>
        <w:tc>
          <w:tcPr>
            <w:tcW w:w="1502" w:type="dxa"/>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r>
    </w:tbl>
    <w:p w:rsid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rPr>
        <w:t xml:space="preserve"> </w:t>
      </w:r>
      <w:r w:rsidRPr="00914DF5">
        <w:rPr>
          <w:rFonts w:asciiTheme="majorBidi" w:hAnsiTheme="majorBidi" w:cstheme="majorBidi"/>
          <w:b w:val="0"/>
          <w:bCs w:val="0"/>
          <w:sz w:val="20"/>
          <w:szCs w:val="20"/>
        </w:rPr>
        <w:t>Source : HCP</w:t>
      </w:r>
    </w:p>
    <w:p w:rsidR="002D2A02" w:rsidRDefault="002D2A02" w:rsidP="00914DF5">
      <w:pPr>
        <w:jc w:val="both"/>
        <w:rPr>
          <w:rFonts w:asciiTheme="majorBidi" w:hAnsiTheme="majorBidi" w:cstheme="majorBidi"/>
          <w:b w:val="0"/>
          <w:bCs w:val="0"/>
          <w:sz w:val="20"/>
          <w:szCs w:val="20"/>
        </w:rPr>
      </w:pPr>
    </w:p>
    <w:p w:rsidR="00914DF5" w:rsidRPr="00802BFB" w:rsidRDefault="00914DF5" w:rsidP="00914DF5">
      <w:pPr>
        <w:pStyle w:val="Paragraphedeliste"/>
        <w:numPr>
          <w:ilvl w:val="1"/>
          <w:numId w:val="43"/>
        </w:numPr>
        <w:tabs>
          <w:tab w:val="left" w:pos="709"/>
        </w:tabs>
        <w:jc w:val="both"/>
        <w:rPr>
          <w:rFonts w:asciiTheme="majorBidi" w:hAnsiTheme="majorBidi" w:cstheme="majorBidi"/>
          <w:b/>
          <w:bCs/>
          <w:color w:val="000000"/>
          <w:sz w:val="24"/>
          <w:szCs w:val="24"/>
        </w:rPr>
      </w:pPr>
      <w:r w:rsidRPr="00802BFB">
        <w:rPr>
          <w:rFonts w:asciiTheme="majorBidi" w:hAnsiTheme="majorBidi" w:cstheme="majorBidi"/>
          <w:b/>
          <w:bCs/>
          <w:color w:val="000000"/>
          <w:sz w:val="24"/>
          <w:szCs w:val="24"/>
        </w:rPr>
        <w:lastRenderedPageBreak/>
        <w:t>Surplus de productivité dans le secteur non agricole</w:t>
      </w: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surplus de productivité ne joue qu’un rôle marginal dans la croissance de la valeur ajoutée non agricole. Son taux de croissance n’a été que 0,5% en moyenne annuelle en 2000-2014 au lieu de 5,8% dans le secteur agricole. Plus encore, il est en baisse de 0,8% en 2000-2008 à -0,04% en 2009-2014.</w:t>
      </w:r>
    </w:p>
    <w:p w:rsidR="005937EA" w:rsidRPr="00914DF5" w:rsidRDefault="005937EA" w:rsidP="00802BFB">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8</w:t>
      </w:r>
      <w:r w:rsidR="00BC0DC1">
        <w:rPr>
          <w:rFonts w:asciiTheme="majorBidi" w:hAnsiTheme="majorBidi" w:cstheme="majorBidi"/>
          <w:b w:val="0"/>
          <w:bCs w:val="0"/>
        </w:rPr>
        <w:t xml:space="preserve"> </w:t>
      </w:r>
      <w:r w:rsidRPr="00914DF5">
        <w:rPr>
          <w:rFonts w:asciiTheme="majorBidi" w:hAnsiTheme="majorBidi" w:cstheme="majorBidi"/>
          <w:b w:val="0"/>
          <w:bCs w:val="0"/>
        </w:rPr>
        <w:t>: Evolution du surplus de productivité dans le secteur non agricole</w:t>
      </w:r>
    </w:p>
    <w:tbl>
      <w:tblPr>
        <w:tblW w:w="8794" w:type="dxa"/>
        <w:tblInd w:w="65" w:type="dxa"/>
        <w:tblCellMar>
          <w:left w:w="70" w:type="dxa"/>
          <w:right w:w="70" w:type="dxa"/>
        </w:tblCellMar>
        <w:tblLook w:val="04A0"/>
      </w:tblPr>
      <w:tblGrid>
        <w:gridCol w:w="4400"/>
        <w:gridCol w:w="1701"/>
        <w:gridCol w:w="1417"/>
        <w:gridCol w:w="1276"/>
      </w:tblGrid>
      <w:tr w:rsidR="00914DF5" w:rsidRPr="00914DF5" w:rsidTr="00914DF5">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Croissance en pourcentage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359"/>
        </w:trPr>
        <w:tc>
          <w:tcPr>
            <w:tcW w:w="4400" w:type="dxa"/>
            <w:tcBorders>
              <w:top w:val="nil"/>
              <w:left w:val="single" w:sz="4" w:space="0" w:color="auto"/>
              <w:bottom w:val="single" w:sz="4" w:space="0" w:color="auto"/>
              <w:right w:val="single" w:sz="4" w:space="0" w:color="auto"/>
            </w:tcBorders>
            <w:shd w:val="clear" w:color="auto" w:fill="auto"/>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Taux de croissance réelle de la VA non agricole aux couts des facteurs (1)+(2)</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5,1%</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4,4%</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Facteurs de production  (1)</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4,3%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3,9%</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1,2%</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r>
      <w:tr w:rsidR="00914DF5" w:rsidRPr="00914DF5" w:rsidTr="00914DF5">
        <w:trPr>
          <w:trHeight w:val="313"/>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2,7%</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2,8%</w:t>
            </w:r>
          </w:p>
        </w:tc>
      </w:tr>
      <w:tr w:rsidR="00914DF5" w:rsidRPr="00914DF5" w:rsidTr="00914DF5">
        <w:trPr>
          <w:trHeight w:val="328"/>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(2)</w:t>
            </w:r>
          </w:p>
        </w:tc>
        <w:tc>
          <w:tcPr>
            <w:tcW w:w="1701"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-0,04%</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r>
      <w:tr w:rsidR="00914DF5" w:rsidRPr="00914DF5" w:rsidTr="00914DF5">
        <w:trPr>
          <w:trHeight w:val="915"/>
        </w:trPr>
        <w:tc>
          <w:tcPr>
            <w:tcW w:w="44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14DF5" w:rsidRPr="00914DF5" w:rsidRDefault="00914DF5" w:rsidP="00914DF5">
            <w:pPr>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des facteurs de production  dans la croissance réelle  de la VA non agricole aux couts des facteurs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89,6%</w:t>
            </w:r>
          </w:p>
        </w:tc>
      </w:tr>
      <w:tr w:rsidR="00914DF5" w:rsidRPr="00914DF5" w:rsidTr="00914DF5">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salarial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20,5%</w:t>
            </w:r>
          </w:p>
        </w:tc>
      </w:tr>
      <w:tr w:rsidR="00914DF5" w:rsidRPr="00914DF5" w:rsidTr="00914DF5">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travail non salarial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5,0%</w:t>
            </w:r>
          </w:p>
        </w:tc>
      </w:tr>
      <w:tr w:rsidR="00914DF5" w:rsidRPr="00914DF5" w:rsidTr="00914DF5">
        <w:trPr>
          <w:trHeight w:val="328"/>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Facteur capital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56,2%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82,5%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64,2%</w:t>
            </w:r>
          </w:p>
        </w:tc>
      </w:tr>
      <w:tr w:rsidR="00914DF5" w:rsidRPr="00914DF5" w:rsidTr="00914DF5">
        <w:trPr>
          <w:trHeight w:val="953"/>
        </w:trPr>
        <w:tc>
          <w:tcPr>
            <w:tcW w:w="4400"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14DF5" w:rsidRPr="00914DF5" w:rsidRDefault="00914DF5" w:rsidP="00914DF5">
            <w:pPr>
              <w:jc w:val="both"/>
              <w:rPr>
                <w:rFonts w:asciiTheme="majorBidi" w:hAnsiTheme="majorBidi" w:cstheme="majorBidi"/>
                <w:b w:val="0"/>
                <w:bCs w:val="0"/>
                <w:color w:val="000000"/>
              </w:rPr>
            </w:pPr>
            <w:r w:rsidRPr="00914DF5">
              <w:rPr>
                <w:rFonts w:asciiTheme="majorBidi" w:hAnsiTheme="majorBidi" w:cstheme="majorBidi"/>
                <w:b w:val="0"/>
                <w:bCs w:val="0"/>
                <w:color w:val="000000"/>
              </w:rPr>
              <w:t xml:space="preserve">Contribution en % du surplus de productivité dans la croissance réelle  de la VA non agricole aux couts des facteurs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10,4%</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Ainsi, à la différence du secteur agricole, la contribution des facteurs de production à la croissance de la valeur ajoutée du secteur non agricole représente 89,6% par an en moyenne (64,2% revient au facteur capital) durant la période 2000-2014, alors que celle du surplus de productivité ne dépasse pas 11%. </w:t>
      </w:r>
    </w:p>
    <w:p w:rsidR="005937EA" w:rsidRPr="00914DF5" w:rsidRDefault="005937EA" w:rsidP="00802BFB">
      <w:pPr>
        <w:spacing w:before="120" w:after="120" w:line="312" w:lineRule="auto"/>
        <w:jc w:val="both"/>
        <w:rPr>
          <w:rFonts w:asciiTheme="majorBidi" w:hAnsiTheme="majorBidi" w:cstheme="majorBidi"/>
          <w:b w:val="0"/>
          <w:bCs w:val="0"/>
        </w:rPr>
      </w:pP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La répartition de ce surplus de productivité dans le secteur non agricole montre que c’est le facteur travail salarié qui est à la base de ce surplus. Son surplus a connu un rythme de croissance annuel moyen de 1% entre 2000 et 2014, supérieur à celui  du facteur travail non salarié qui a augmenté en moyenne annuelle de 0,4%. En revanche, le facteur capital a enregistré une baisse de son surplus de productivité de 0,9% par an durant cette période.</w:t>
      </w:r>
    </w:p>
    <w:p w:rsidR="005937EA" w:rsidRDefault="005937EA" w:rsidP="00802BFB">
      <w:pPr>
        <w:spacing w:before="120" w:after="120" w:line="312" w:lineRule="auto"/>
        <w:jc w:val="both"/>
        <w:rPr>
          <w:rFonts w:asciiTheme="majorBidi" w:hAnsiTheme="majorBidi" w:cstheme="majorBidi"/>
          <w:b w:val="0"/>
          <w:bCs w:val="0"/>
        </w:rPr>
      </w:pPr>
    </w:p>
    <w:p w:rsidR="00BC0DC1" w:rsidRDefault="00BC0DC1" w:rsidP="00802BFB">
      <w:pPr>
        <w:spacing w:before="120" w:after="120" w:line="312" w:lineRule="auto"/>
        <w:jc w:val="both"/>
        <w:rPr>
          <w:rFonts w:asciiTheme="majorBidi" w:hAnsiTheme="majorBidi" w:cstheme="majorBidi"/>
          <w:b w:val="0"/>
          <w:bCs w:val="0"/>
        </w:rPr>
      </w:pPr>
    </w:p>
    <w:p w:rsidR="005937EA" w:rsidRPr="00914DF5" w:rsidRDefault="005937EA" w:rsidP="00802BFB">
      <w:pPr>
        <w:spacing w:before="120" w:after="120" w:line="312" w:lineRule="auto"/>
        <w:jc w:val="both"/>
        <w:rPr>
          <w:rFonts w:asciiTheme="majorBidi" w:hAnsiTheme="majorBidi" w:cstheme="majorBidi"/>
          <w:b w:val="0"/>
          <w:bCs w:val="0"/>
        </w:rPr>
      </w:pP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lastRenderedPageBreak/>
        <w:t>Tableau 9</w:t>
      </w:r>
      <w:r w:rsidR="00BC0DC1">
        <w:rPr>
          <w:rFonts w:asciiTheme="majorBidi" w:hAnsiTheme="majorBidi" w:cstheme="majorBidi"/>
          <w:b w:val="0"/>
          <w:bCs w:val="0"/>
        </w:rPr>
        <w:t xml:space="preserve"> </w:t>
      </w:r>
      <w:r w:rsidRPr="00914DF5">
        <w:rPr>
          <w:rFonts w:asciiTheme="majorBidi" w:hAnsiTheme="majorBidi" w:cstheme="majorBidi"/>
          <w:b w:val="0"/>
          <w:bCs w:val="0"/>
        </w:rPr>
        <w:t>: Surplus de productivité selon les facteurs de production dans le secteur non agricole</w:t>
      </w:r>
    </w:p>
    <w:tbl>
      <w:tblPr>
        <w:tblW w:w="8867" w:type="dxa"/>
        <w:tblInd w:w="65" w:type="dxa"/>
        <w:tblLayout w:type="fixed"/>
        <w:tblCellMar>
          <w:left w:w="70" w:type="dxa"/>
          <w:right w:w="70" w:type="dxa"/>
        </w:tblCellMar>
        <w:tblLook w:val="04A0"/>
      </w:tblPr>
      <w:tblGrid>
        <w:gridCol w:w="4541"/>
        <w:gridCol w:w="1418"/>
        <w:gridCol w:w="1490"/>
        <w:gridCol w:w="1418"/>
      </w:tblGrid>
      <w:tr w:rsidR="00914DF5" w:rsidRPr="00914DF5" w:rsidTr="00914DF5">
        <w:trPr>
          <w:trHeight w:val="300"/>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color w:val="000000"/>
              </w:rPr>
            </w:pPr>
            <w:r w:rsidRPr="00BC0DC1">
              <w:rPr>
                <w:rFonts w:asciiTheme="majorBidi" w:hAnsiTheme="majorBidi" w:cstheme="majorBidi"/>
                <w:color w:val="000000"/>
              </w:rPr>
              <w:t>Rubriques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salarié</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49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w:t>
            </w:r>
          </w:p>
        </w:tc>
      </w:tr>
      <w:tr w:rsidR="00914DF5" w:rsidRPr="00914DF5" w:rsidTr="00914DF5">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du travail non salarié</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49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r>
      <w:tr w:rsidR="00914DF5" w:rsidRPr="00914DF5" w:rsidTr="00914DF5">
        <w:trPr>
          <w:trHeight w:val="300"/>
        </w:trPr>
        <w:tc>
          <w:tcPr>
            <w:tcW w:w="4541" w:type="dxa"/>
            <w:tcBorders>
              <w:top w:val="nil"/>
              <w:left w:val="single" w:sz="4" w:space="0" w:color="auto"/>
              <w:bottom w:val="single" w:sz="4" w:space="0" w:color="auto"/>
              <w:right w:val="single" w:sz="4" w:space="0" w:color="auto"/>
            </w:tcBorders>
            <w:shd w:val="clear" w:color="auto" w:fill="auto"/>
            <w:noWrap/>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du capital </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c>
          <w:tcPr>
            <w:tcW w:w="1490"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w:t>
            </w:r>
          </w:p>
        </w:tc>
        <w:tc>
          <w:tcPr>
            <w:tcW w:w="1418"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 xml:space="preserve">Si le surplus de productivité réalisé par les facteurs de production dans le secteur non agricole s’est accru de 0,5% par an durant la période 2000-2014, le surplus distribué effectivement aux facteurs a été de 0,7% en raison d’un surplus négatif de 0,9% enregistré par le facteur capital. </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Dans ce secteur, ni l’administration publique ni le reste du monde ne bénéficient des gains de surplus de productivité dégagé par ce secteur. Ce sont les travailleurs, notamment les salariés qui ont profité plus du surplus de productivité avec  un taux de croissance de 1,1% durant la période 2000-2014 suivi des non salariés avec 0,4%.</w:t>
      </w: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10</w:t>
      </w:r>
      <w:r w:rsidR="00BC0DC1">
        <w:rPr>
          <w:rFonts w:asciiTheme="majorBidi" w:hAnsiTheme="majorBidi" w:cstheme="majorBidi"/>
          <w:b w:val="0"/>
          <w:bCs w:val="0"/>
        </w:rPr>
        <w:t xml:space="preserve"> </w:t>
      </w:r>
      <w:r w:rsidRPr="00914DF5">
        <w:rPr>
          <w:rFonts w:asciiTheme="majorBidi" w:hAnsiTheme="majorBidi" w:cstheme="majorBidi"/>
          <w:b w:val="0"/>
          <w:bCs w:val="0"/>
        </w:rPr>
        <w:t>: Surplus de productivité distribué effectivement aux facteurs de production dans le secteur non agricole</w:t>
      </w:r>
    </w:p>
    <w:tbl>
      <w:tblPr>
        <w:tblW w:w="8936" w:type="dxa"/>
        <w:tblInd w:w="65" w:type="dxa"/>
        <w:tblLayout w:type="fixed"/>
        <w:tblCellMar>
          <w:left w:w="70" w:type="dxa"/>
          <w:right w:w="70" w:type="dxa"/>
        </w:tblCellMar>
        <w:tblLook w:val="04A0"/>
      </w:tblPr>
      <w:tblGrid>
        <w:gridCol w:w="5108"/>
        <w:gridCol w:w="1276"/>
        <w:gridCol w:w="1276"/>
        <w:gridCol w:w="1276"/>
      </w:tblGrid>
      <w:tr w:rsidR="00914DF5" w:rsidRPr="00914DF5" w:rsidTr="00914DF5">
        <w:trPr>
          <w:trHeight w:val="62"/>
        </w:trPr>
        <w:tc>
          <w:tcPr>
            <w:tcW w:w="51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rPr>
              <w:t>Surplus de productivité distribuable du secteur non agricole</w:t>
            </w:r>
          </w:p>
          <w:p w:rsidR="00914DF5" w:rsidRPr="00BC0DC1" w:rsidRDefault="00914DF5" w:rsidP="00914DF5">
            <w:pPr>
              <w:jc w:val="center"/>
              <w:rPr>
                <w:rFonts w:asciiTheme="majorBidi" w:hAnsiTheme="majorBidi" w:cstheme="majorBid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2009-2014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w:t>
            </w:r>
            <w:r w:rsidRPr="00914DF5">
              <w:rPr>
                <w:rFonts w:asciiTheme="majorBidi" w:hAnsiTheme="majorBidi" w:cstheme="majorBidi"/>
                <w:b w:val="0"/>
                <w:bCs w:val="0"/>
                <w:color w:val="000000"/>
              </w:rPr>
              <w:br/>
              <w:t xml:space="preserve"> au travail salarié (1)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0,8%</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1,1%</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Surplus de productivité distribué </w:t>
            </w:r>
            <w:r w:rsidRPr="00914DF5">
              <w:rPr>
                <w:rFonts w:asciiTheme="majorBidi" w:hAnsiTheme="majorBidi" w:cstheme="majorBidi"/>
                <w:b w:val="0"/>
                <w:bCs w:val="0"/>
                <w:color w:val="000000"/>
              </w:rPr>
              <w:br/>
              <w:t>au travail non salarié (2)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0,6%</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0,4%</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distribué au capital (3)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-1,4%</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-0,9%</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de productivité distribuable du secteur non agricole (1)+(2)+(3)</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0,7%</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Prélèvement du secteur non agricole </w:t>
            </w:r>
            <w:r w:rsidRPr="00914DF5">
              <w:rPr>
                <w:rFonts w:asciiTheme="majorBidi" w:hAnsiTheme="majorBidi" w:cstheme="majorBidi"/>
                <w:b w:val="0"/>
                <w:bCs w:val="0"/>
                <w:color w:val="000000"/>
              </w:rPr>
              <w:br/>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l'Administration publique </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-0,14%</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-0,12%</w:t>
            </w:r>
          </w:p>
        </w:tc>
      </w:tr>
      <w:tr w:rsidR="00914DF5" w:rsidRPr="00914DF5" w:rsidTr="00914DF5">
        <w:trPr>
          <w:trHeight w:val="256"/>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 xml:space="preserve">        Par l'extérieur </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-0,02%</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-0,01%</w:t>
            </w:r>
          </w:p>
        </w:tc>
      </w:tr>
      <w:tr w:rsidR="00914DF5" w:rsidRPr="00914DF5" w:rsidTr="00914DF5">
        <w:trPr>
          <w:trHeight w:val="62"/>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914DF5" w:rsidRPr="00914DF5" w:rsidRDefault="00914DF5" w:rsidP="00914DF5">
            <w:pPr>
              <w:rPr>
                <w:rFonts w:asciiTheme="majorBidi" w:hAnsiTheme="majorBidi" w:cstheme="majorBidi"/>
                <w:b w:val="0"/>
                <w:bCs w:val="0"/>
                <w:color w:val="000000"/>
              </w:rPr>
            </w:pPr>
            <w:r w:rsidRPr="00914DF5">
              <w:rPr>
                <w:rFonts w:asciiTheme="majorBidi" w:hAnsiTheme="majorBidi" w:cstheme="majorBidi"/>
                <w:b w:val="0"/>
                <w:bCs w:val="0"/>
                <w:color w:val="000000"/>
              </w:rPr>
              <w:t>Surplus total du secteur non agricole</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914DF5" w:rsidRDefault="00914DF5" w:rsidP="00914DF5">
            <w:pPr>
              <w:jc w:val="center"/>
              <w:rPr>
                <w:rFonts w:asciiTheme="majorBidi" w:hAnsiTheme="majorBidi" w:cstheme="majorBidi"/>
                <w:b w:val="0"/>
                <w:bCs w:val="0"/>
                <w:color w:val="000000"/>
              </w:rPr>
            </w:pPr>
            <w:r w:rsidRPr="00914DF5">
              <w:rPr>
                <w:rFonts w:asciiTheme="majorBidi" w:hAnsiTheme="majorBidi" w:cstheme="majorBidi"/>
                <w:b w:val="0"/>
                <w:bCs w:val="0"/>
                <w:color w:val="000000"/>
              </w:rPr>
              <w:t>0,5%</w:t>
            </w:r>
          </w:p>
        </w:tc>
      </w:tr>
    </w:tbl>
    <w:p w:rsid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5937EA" w:rsidRDefault="005937EA" w:rsidP="00914DF5">
      <w:pPr>
        <w:jc w:val="both"/>
        <w:rPr>
          <w:rFonts w:asciiTheme="majorBidi" w:hAnsiTheme="majorBidi" w:cstheme="majorBidi"/>
          <w:b w:val="0"/>
          <w:bCs w:val="0"/>
          <w:sz w:val="20"/>
          <w:szCs w:val="20"/>
        </w:rPr>
      </w:pPr>
    </w:p>
    <w:p w:rsidR="005937EA" w:rsidRDefault="005937EA" w:rsidP="00914DF5">
      <w:pPr>
        <w:jc w:val="both"/>
        <w:rPr>
          <w:rFonts w:asciiTheme="majorBidi" w:hAnsiTheme="majorBidi" w:cstheme="majorBidi"/>
          <w:b w:val="0"/>
          <w:bCs w:val="0"/>
          <w:sz w:val="20"/>
          <w:szCs w:val="20"/>
        </w:rPr>
      </w:pPr>
    </w:p>
    <w:p w:rsidR="005937EA" w:rsidRDefault="005937EA" w:rsidP="00914DF5">
      <w:pPr>
        <w:jc w:val="both"/>
        <w:rPr>
          <w:rFonts w:asciiTheme="majorBidi" w:hAnsiTheme="majorBidi" w:cstheme="majorBidi"/>
          <w:b w:val="0"/>
          <w:bCs w:val="0"/>
          <w:sz w:val="20"/>
          <w:szCs w:val="20"/>
        </w:rPr>
      </w:pPr>
    </w:p>
    <w:p w:rsidR="00802BFB" w:rsidRPr="00914DF5" w:rsidRDefault="00802BFB" w:rsidP="00914DF5">
      <w:pPr>
        <w:jc w:val="both"/>
        <w:rPr>
          <w:rFonts w:asciiTheme="majorBidi" w:hAnsiTheme="majorBidi" w:cstheme="majorBidi"/>
          <w:b w:val="0"/>
          <w:bCs w:val="0"/>
          <w:sz w:val="20"/>
          <w:szCs w:val="20"/>
        </w:rPr>
      </w:pPr>
    </w:p>
    <w:p w:rsidR="00914DF5" w:rsidRPr="00802BFB" w:rsidRDefault="00914DF5" w:rsidP="00914DF5">
      <w:pPr>
        <w:pStyle w:val="Paragraphedeliste"/>
        <w:numPr>
          <w:ilvl w:val="1"/>
          <w:numId w:val="43"/>
        </w:numPr>
        <w:tabs>
          <w:tab w:val="left" w:pos="709"/>
        </w:tabs>
        <w:jc w:val="both"/>
        <w:rPr>
          <w:rFonts w:asciiTheme="majorBidi" w:hAnsiTheme="majorBidi" w:cstheme="majorBidi"/>
          <w:b/>
          <w:bCs/>
          <w:color w:val="000000"/>
          <w:sz w:val="24"/>
          <w:szCs w:val="24"/>
        </w:rPr>
      </w:pPr>
      <w:r w:rsidRPr="00802BFB">
        <w:rPr>
          <w:rFonts w:asciiTheme="majorBidi" w:hAnsiTheme="majorBidi" w:cstheme="majorBidi"/>
          <w:b/>
          <w:bCs/>
          <w:color w:val="000000"/>
          <w:sz w:val="24"/>
          <w:szCs w:val="24"/>
        </w:rPr>
        <w:t>Surplus de productivité dans l’économie nationale</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Au niveau de l’économie nationale dans son ensemble, le surplus de productivité a été faible de l’ordre de 1,2% en moyenne annuelle durant la période 2000-2014. C’est le travail salarié qui a connu une amélioration de son surplus de 1,1% par an, suivi de celui du travail non salarié avec 0,6%. Le surplus de productivité du facteur capital s’est inscrit sur une trajectoire négative avec -0,1% par an en 2000-2008 et -0,8% en 2009-2014 (-0,4% durant 2000-2014).</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lastRenderedPageBreak/>
        <w:t xml:space="preserve">Ce surplus de productivité a été majoritairement distribué au facteur de production travail avec 1% pour les salariés et 0,5% pour les non salariés. Le facteur capital n’en a pas profité. Le faible prélèvement de surplus de productivité de 0,2% en moyenne annuelle sur la  période 2000-2014, est récupéré par l’extérieur. L’administration publique n’en profitait pas. </w:t>
      </w:r>
    </w:p>
    <w:p w:rsid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Le partage de la valeur ajoutée conjugué à celui du surplus de productivité de l’économie permet d’appréhender l’évolution effective de la rémunération des facteurs de production. Dans ce cadre, il est constaté que la part de la rémunération du travail dans la valeur ajoutée a perdu en moyenne annuelle 0,1 points de pourcentage par an durant la période 2000-2014. Cette part est en amélioration dans le secteur non agricole de 0,2 point de pourcentage par an, alors qu’elle est en baisse de 2 points dans le secteur agricole.</w:t>
      </w:r>
    </w:p>
    <w:p w:rsidR="00914DF5" w:rsidRPr="00914DF5" w:rsidRDefault="00914DF5" w:rsidP="00914DF5">
      <w:pPr>
        <w:jc w:val="both"/>
        <w:rPr>
          <w:rFonts w:asciiTheme="majorBidi" w:hAnsiTheme="majorBidi" w:cstheme="majorBidi"/>
          <w:b w:val="0"/>
          <w:bCs w:val="0"/>
        </w:rPr>
      </w:pPr>
      <w:r w:rsidRPr="00BC0DC1">
        <w:rPr>
          <w:rFonts w:asciiTheme="majorBidi" w:hAnsiTheme="majorBidi" w:cstheme="majorBidi"/>
        </w:rPr>
        <w:t>Tableau 11</w:t>
      </w:r>
      <w:r w:rsidR="00BC0DC1">
        <w:rPr>
          <w:rFonts w:asciiTheme="majorBidi" w:hAnsiTheme="majorBidi" w:cstheme="majorBidi"/>
          <w:b w:val="0"/>
          <w:bCs w:val="0"/>
        </w:rPr>
        <w:t xml:space="preserve"> </w:t>
      </w:r>
      <w:r w:rsidRPr="00914DF5">
        <w:rPr>
          <w:rFonts w:asciiTheme="majorBidi" w:hAnsiTheme="majorBidi" w:cstheme="majorBidi"/>
          <w:b w:val="0"/>
          <w:bCs w:val="0"/>
        </w:rPr>
        <w:t>: Evolution du partage de la valeur ajoutée (en %)</w:t>
      </w:r>
    </w:p>
    <w:tbl>
      <w:tblPr>
        <w:tblW w:w="9361" w:type="dxa"/>
        <w:tblInd w:w="65" w:type="dxa"/>
        <w:tblLayout w:type="fixed"/>
        <w:tblCellMar>
          <w:left w:w="70" w:type="dxa"/>
          <w:right w:w="70" w:type="dxa"/>
        </w:tblCellMar>
        <w:tblLook w:val="04A0"/>
      </w:tblPr>
      <w:tblGrid>
        <w:gridCol w:w="5392"/>
        <w:gridCol w:w="1417"/>
        <w:gridCol w:w="1276"/>
        <w:gridCol w:w="1276"/>
      </w:tblGrid>
      <w:tr w:rsidR="00914DF5" w:rsidRPr="00914DF5" w:rsidTr="00BC0DC1">
        <w:trPr>
          <w:trHeight w:val="30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jc w:val="center"/>
              <w:rPr>
                <w:rFonts w:asciiTheme="majorBidi" w:hAnsiTheme="majorBidi" w:cstheme="majorBidi"/>
                <w:color w:val="000000"/>
              </w:rPr>
            </w:pPr>
            <w:r w:rsidRPr="00BC0DC1">
              <w:rPr>
                <w:rFonts w:asciiTheme="majorBidi" w:hAnsiTheme="majorBidi" w:cstheme="majorBidi"/>
              </w:rPr>
              <w:t>Economie nationale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2009-2014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DF5" w:rsidRPr="00BC0DC1" w:rsidRDefault="00914DF5" w:rsidP="00914DF5">
            <w:pPr>
              <w:jc w:val="right"/>
              <w:rPr>
                <w:rFonts w:asciiTheme="majorBidi" w:hAnsiTheme="majorBidi" w:cstheme="majorBidi"/>
                <w:color w:val="000000"/>
              </w:rPr>
            </w:pPr>
            <w:r w:rsidRPr="00BC0DC1">
              <w:rPr>
                <w:rFonts w:asciiTheme="majorBidi" w:hAnsiTheme="majorBidi" w:cstheme="majorBidi"/>
                <w:color w:val="000000"/>
              </w:rPr>
              <w:t>2000-2014</w:t>
            </w:r>
          </w:p>
        </w:tc>
      </w:tr>
      <w:tr w:rsidR="00914DF5" w:rsidRPr="00914DF5" w:rsidTr="00BC0DC1">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b w:val="0"/>
                <w:bCs w:val="0"/>
                <w:color w:val="000000"/>
              </w:rPr>
            </w:pPr>
            <w:r w:rsidRPr="00BC0DC1">
              <w:rPr>
                <w:rFonts w:asciiTheme="majorBidi" w:hAnsiTheme="majorBidi" w:cstheme="majorBidi"/>
                <w:b w:val="0"/>
                <w:bCs w:val="0"/>
                <w:color w:val="000000"/>
              </w:rPr>
              <w:t>Variation absolue de la part de la rémunération du facteur travail dans la valeur ajoutée totale de l'économie aux coûts des facteurs) (1) = (2)+(3)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-0,1%</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-0,1%</w:t>
            </w:r>
          </w:p>
        </w:tc>
      </w:tr>
      <w:tr w:rsidR="00914DF5" w:rsidRPr="00914DF5" w:rsidTr="00BC0DC1">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b w:val="0"/>
                <w:bCs w:val="0"/>
                <w:color w:val="000000"/>
              </w:rPr>
            </w:pPr>
            <w:r w:rsidRPr="00BC0DC1">
              <w:rPr>
                <w:rFonts w:asciiTheme="majorBidi" w:hAnsiTheme="majorBidi" w:cstheme="majorBidi"/>
                <w:b w:val="0"/>
                <w:bCs w:val="0"/>
                <w:color w:val="000000"/>
              </w:rPr>
              <w:t>Substitution du capital au travail efficace dans l'économie totale (2)</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-0,7%</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-0,8%</w:t>
            </w:r>
          </w:p>
        </w:tc>
      </w:tr>
      <w:tr w:rsidR="00914DF5" w:rsidRPr="00914DF5" w:rsidTr="00BC0DC1">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914DF5" w:rsidRPr="00BC0DC1" w:rsidRDefault="00914DF5" w:rsidP="00914DF5">
            <w:pPr>
              <w:rPr>
                <w:rFonts w:asciiTheme="majorBidi" w:hAnsiTheme="majorBidi" w:cstheme="majorBidi"/>
                <w:b w:val="0"/>
                <w:bCs w:val="0"/>
                <w:color w:val="000000"/>
              </w:rPr>
            </w:pPr>
            <w:r w:rsidRPr="00BC0DC1">
              <w:rPr>
                <w:rFonts w:asciiTheme="majorBidi" w:hAnsiTheme="majorBidi" w:cstheme="majorBidi"/>
                <w:b w:val="0"/>
                <w:bCs w:val="0"/>
                <w:color w:val="000000"/>
              </w:rPr>
              <w:t>Ecart de productivité :(surplus productivité du travail- surplus productivité) dans l'économie totale (3)</w:t>
            </w:r>
          </w:p>
        </w:tc>
        <w:tc>
          <w:tcPr>
            <w:tcW w:w="1417"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0,5%</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914DF5" w:rsidRPr="00BC0DC1" w:rsidRDefault="00914DF5" w:rsidP="00BC0DC1">
            <w:pPr>
              <w:jc w:val="right"/>
              <w:rPr>
                <w:rFonts w:asciiTheme="majorBidi" w:hAnsiTheme="majorBidi" w:cstheme="majorBidi"/>
                <w:b w:val="0"/>
                <w:bCs w:val="0"/>
                <w:color w:val="000000"/>
              </w:rPr>
            </w:pPr>
            <w:r w:rsidRPr="00BC0DC1">
              <w:rPr>
                <w:rFonts w:asciiTheme="majorBidi" w:hAnsiTheme="majorBidi" w:cstheme="majorBidi"/>
                <w:b w:val="0"/>
                <w:bCs w:val="0"/>
                <w:color w:val="000000"/>
              </w:rPr>
              <w:t>0,7%</w:t>
            </w:r>
          </w:p>
        </w:tc>
      </w:tr>
    </w:tbl>
    <w:p w:rsidR="00914DF5" w:rsidRPr="00914DF5" w:rsidRDefault="00914DF5" w:rsidP="00914DF5">
      <w:pPr>
        <w:jc w:val="both"/>
        <w:rPr>
          <w:rFonts w:asciiTheme="majorBidi" w:hAnsiTheme="majorBidi" w:cstheme="majorBidi"/>
          <w:b w:val="0"/>
          <w:bCs w:val="0"/>
          <w:sz w:val="20"/>
          <w:szCs w:val="20"/>
        </w:rPr>
      </w:pPr>
      <w:r w:rsidRPr="00914DF5">
        <w:rPr>
          <w:rFonts w:asciiTheme="majorBidi" w:hAnsiTheme="majorBidi" w:cstheme="majorBidi"/>
          <w:b w:val="0"/>
          <w:bCs w:val="0"/>
          <w:sz w:val="20"/>
          <w:szCs w:val="20"/>
        </w:rPr>
        <w:t>Source : HCP</w:t>
      </w:r>
    </w:p>
    <w:p w:rsidR="00802BFB" w:rsidRDefault="00802BFB" w:rsidP="00802BFB">
      <w:pPr>
        <w:spacing w:before="120" w:after="120" w:line="312" w:lineRule="auto"/>
        <w:jc w:val="both"/>
        <w:rPr>
          <w:rFonts w:asciiTheme="majorBidi" w:hAnsiTheme="majorBidi" w:cstheme="majorBidi"/>
          <w:b w:val="0"/>
          <w:bCs w:val="0"/>
        </w:rPr>
      </w:pP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L’amélioration du surplus de productivité du travail plus que celui de productivité de l’économie nationale a contribué à la hausse de la part de la rémunération du travail dans la valeur ajoutée nationale par 0,7 point de pourcentage en moyenne annuelle. Cette amélioration trouve son origine dans l’écart positif de 1 point entre ces deux surplus dans le secteur non agricole, contre un écart négatif de 4 points dans le secteur agricole.</w:t>
      </w:r>
    </w:p>
    <w:p w:rsidR="00914DF5" w:rsidRPr="00914DF5" w:rsidRDefault="00914DF5" w:rsidP="00802BFB">
      <w:pPr>
        <w:spacing w:before="120" w:after="120" w:line="312" w:lineRule="auto"/>
        <w:jc w:val="both"/>
        <w:rPr>
          <w:rFonts w:asciiTheme="majorBidi" w:hAnsiTheme="majorBidi" w:cstheme="majorBidi"/>
          <w:b w:val="0"/>
          <w:bCs w:val="0"/>
        </w:rPr>
      </w:pPr>
      <w:r w:rsidRPr="00914DF5">
        <w:rPr>
          <w:rFonts w:asciiTheme="majorBidi" w:hAnsiTheme="majorBidi" w:cstheme="majorBidi"/>
          <w:b w:val="0"/>
          <w:bCs w:val="0"/>
        </w:rPr>
        <w:t>En revanche, la substitution du capital au travail efficace a contribué dans le sens de la baisse de la part de la rémunération du travail dans la valeur ajoutée nationale à raison de prés de -0,8 point de pourcentage en moyenne annuelle. L’effet de cette substitution reste positif dans le secteur agricole avec 2,1 points de pourcentage, alors qu’il est négatif de 0,8 point dans le secteur non agricole.</w:t>
      </w:r>
    </w:p>
    <w:p w:rsidR="00D40E34" w:rsidRPr="00914DF5" w:rsidRDefault="00D40E34" w:rsidP="00802BFB">
      <w:pPr>
        <w:spacing w:before="120" w:after="120" w:line="312" w:lineRule="auto"/>
        <w:jc w:val="both"/>
        <w:rPr>
          <w:rFonts w:asciiTheme="majorBidi" w:hAnsiTheme="majorBidi" w:cstheme="majorBidi"/>
          <w:b w:val="0"/>
          <w:bCs w:val="0"/>
        </w:rPr>
      </w:pPr>
    </w:p>
    <w:sectPr w:rsidR="00D40E34" w:rsidRPr="00914DF5" w:rsidSect="008B3999">
      <w:footerReference w:type="even" r:id="rId8"/>
      <w:footerReference w:type="default" r:id="rId9"/>
      <w:headerReference w:type="first" r:id="rId10"/>
      <w:pgSz w:w="11906" w:h="16838" w:code="9"/>
      <w:pgMar w:top="1135"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7FD" w:rsidRDefault="00B007FD">
      <w:r>
        <w:separator/>
      </w:r>
    </w:p>
  </w:endnote>
  <w:endnote w:type="continuationSeparator" w:id="1">
    <w:p w:rsidR="00B007FD" w:rsidRDefault="00B007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F5" w:rsidRDefault="008741A1" w:rsidP="00625996">
    <w:pPr>
      <w:pStyle w:val="Pieddepage"/>
      <w:framePr w:wrap="around" w:vAnchor="text" w:hAnchor="margin" w:xAlign="center" w:y="1"/>
      <w:rPr>
        <w:rStyle w:val="Numrodepage"/>
      </w:rPr>
    </w:pPr>
    <w:r>
      <w:rPr>
        <w:rStyle w:val="Numrodepage"/>
      </w:rPr>
      <w:fldChar w:fldCharType="begin"/>
    </w:r>
    <w:r w:rsidR="00914DF5">
      <w:rPr>
        <w:rStyle w:val="Numrodepage"/>
      </w:rPr>
      <w:instrText xml:space="preserve">PAGE  </w:instrText>
    </w:r>
    <w:r>
      <w:rPr>
        <w:rStyle w:val="Numrodepage"/>
      </w:rPr>
      <w:fldChar w:fldCharType="end"/>
    </w:r>
  </w:p>
  <w:p w:rsidR="00914DF5" w:rsidRDefault="00914D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F5" w:rsidRDefault="008741A1" w:rsidP="00625996">
    <w:pPr>
      <w:pStyle w:val="Pieddepage"/>
      <w:framePr w:wrap="around" w:vAnchor="text" w:hAnchor="margin" w:xAlign="center" w:y="1"/>
      <w:rPr>
        <w:rStyle w:val="Numrodepage"/>
      </w:rPr>
    </w:pPr>
    <w:r>
      <w:rPr>
        <w:rStyle w:val="Numrodepage"/>
      </w:rPr>
      <w:fldChar w:fldCharType="begin"/>
    </w:r>
    <w:r w:rsidR="00914DF5">
      <w:rPr>
        <w:rStyle w:val="Numrodepage"/>
      </w:rPr>
      <w:instrText xml:space="preserve">PAGE  </w:instrText>
    </w:r>
    <w:r>
      <w:rPr>
        <w:rStyle w:val="Numrodepage"/>
      </w:rPr>
      <w:fldChar w:fldCharType="separate"/>
    </w:r>
    <w:r w:rsidR="005A0DDD">
      <w:rPr>
        <w:rStyle w:val="Numrodepage"/>
        <w:noProof/>
      </w:rPr>
      <w:t>2</w:t>
    </w:r>
    <w:r>
      <w:rPr>
        <w:rStyle w:val="Numrodepage"/>
      </w:rPr>
      <w:fldChar w:fldCharType="end"/>
    </w:r>
  </w:p>
  <w:p w:rsidR="00914DF5" w:rsidRDefault="00914D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7FD" w:rsidRDefault="00B007FD">
      <w:r>
        <w:separator/>
      </w:r>
    </w:p>
  </w:footnote>
  <w:footnote w:type="continuationSeparator" w:id="1">
    <w:p w:rsidR="00B007FD" w:rsidRDefault="00B00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73" w:rsidRDefault="009D4773">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BA0484"/>
    <w:multiLevelType w:val="multilevel"/>
    <w:tmpl w:val="D054A4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FC5EC4"/>
    <w:multiLevelType w:val="hybridMultilevel"/>
    <w:tmpl w:val="C2445D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2E29D7"/>
    <w:multiLevelType w:val="multilevel"/>
    <w:tmpl w:val="8F64704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960"/>
        </w:tabs>
        <w:ind w:left="960" w:hanging="7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600"/>
        </w:tabs>
        <w:ind w:left="3600" w:hanging="2520"/>
      </w:pPr>
      <w:rPr>
        <w:rFonts w:hint="default"/>
      </w:rPr>
    </w:lvl>
    <w:lvl w:ilvl="7">
      <w:start w:val="1"/>
      <w:numFmt w:val="decimal"/>
      <w:lvlText w:val="%1-%2-%3.%4.%5.%6.%7.%8"/>
      <w:lvlJc w:val="left"/>
      <w:pPr>
        <w:tabs>
          <w:tab w:val="num" w:pos="4140"/>
        </w:tabs>
        <w:ind w:left="4140" w:hanging="2880"/>
      </w:pPr>
      <w:rPr>
        <w:rFonts w:hint="default"/>
      </w:rPr>
    </w:lvl>
    <w:lvl w:ilvl="8">
      <w:start w:val="1"/>
      <w:numFmt w:val="decimal"/>
      <w:lvlText w:val="%1-%2-%3.%4.%5.%6.%7.%8.%9"/>
      <w:lvlJc w:val="left"/>
      <w:pPr>
        <w:tabs>
          <w:tab w:val="num" w:pos="4680"/>
        </w:tabs>
        <w:ind w:left="4680" w:hanging="3240"/>
      </w:pPr>
      <w:rPr>
        <w:rFonts w:hint="default"/>
      </w:rPr>
    </w:lvl>
  </w:abstractNum>
  <w:abstractNum w:abstractNumId="7">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545D5C"/>
    <w:multiLevelType w:val="multilevel"/>
    <w:tmpl w:val="F8BE29AA"/>
    <w:lvl w:ilvl="0">
      <w:start w:val="1"/>
      <w:numFmt w:val="decimal"/>
      <w:lvlText w:val="%1."/>
      <w:lvlJc w:val="left"/>
      <w:pPr>
        <w:ind w:left="682" w:hanging="567"/>
      </w:pPr>
      <w:rPr>
        <w:rFonts w:ascii="Trebuchet MS" w:eastAsia="Trebuchet MS" w:hAnsi="Trebuchet MS" w:cs="Trebuchet MS" w:hint="default"/>
        <w:color w:val="404040"/>
        <w:spacing w:val="-1"/>
        <w:w w:val="100"/>
        <w:sz w:val="32"/>
        <w:szCs w:val="32"/>
      </w:rPr>
    </w:lvl>
    <w:lvl w:ilvl="1">
      <w:start w:val="1"/>
      <w:numFmt w:val="decimal"/>
      <w:lvlText w:val="%1.%2."/>
      <w:lvlJc w:val="left"/>
      <w:pPr>
        <w:ind w:left="682" w:hanging="567"/>
      </w:pPr>
      <w:rPr>
        <w:rFonts w:ascii="Trebuchet MS" w:eastAsia="Trebuchet MS" w:hAnsi="Trebuchet MS" w:cs="Trebuchet MS" w:hint="default"/>
        <w:b/>
        <w:bCs/>
        <w:color w:val="404040"/>
        <w:spacing w:val="-32"/>
        <w:w w:val="98"/>
        <w:sz w:val="24"/>
        <w:szCs w:val="24"/>
      </w:rPr>
    </w:lvl>
    <w:lvl w:ilvl="2">
      <w:start w:val="1"/>
      <w:numFmt w:val="decimal"/>
      <w:lvlText w:val="%1.%2.%3."/>
      <w:lvlJc w:val="left"/>
      <w:pPr>
        <w:ind w:left="965" w:hanging="850"/>
      </w:pPr>
      <w:rPr>
        <w:rFonts w:ascii="Trebuchet MS" w:eastAsia="Trebuchet MS" w:hAnsi="Trebuchet MS" w:cs="Trebuchet MS" w:hint="default"/>
        <w:b/>
        <w:bCs/>
        <w:color w:val="404040"/>
        <w:w w:val="100"/>
        <w:sz w:val="22"/>
        <w:szCs w:val="22"/>
      </w:rPr>
    </w:lvl>
    <w:lvl w:ilvl="3">
      <w:numFmt w:val="bullet"/>
      <w:lvlText w:val="•"/>
      <w:lvlJc w:val="left"/>
      <w:pPr>
        <w:ind w:left="2813" w:hanging="850"/>
      </w:pPr>
      <w:rPr>
        <w:rFonts w:hint="default"/>
      </w:rPr>
    </w:lvl>
    <w:lvl w:ilvl="4">
      <w:numFmt w:val="bullet"/>
      <w:lvlText w:val="•"/>
      <w:lvlJc w:val="left"/>
      <w:pPr>
        <w:ind w:left="3740" w:hanging="850"/>
      </w:pPr>
      <w:rPr>
        <w:rFonts w:hint="default"/>
      </w:rPr>
    </w:lvl>
    <w:lvl w:ilvl="5">
      <w:numFmt w:val="bullet"/>
      <w:lvlText w:val="•"/>
      <w:lvlJc w:val="left"/>
      <w:pPr>
        <w:ind w:left="4666" w:hanging="850"/>
      </w:pPr>
      <w:rPr>
        <w:rFonts w:hint="default"/>
      </w:rPr>
    </w:lvl>
    <w:lvl w:ilvl="6">
      <w:numFmt w:val="bullet"/>
      <w:lvlText w:val="•"/>
      <w:lvlJc w:val="left"/>
      <w:pPr>
        <w:ind w:left="5593" w:hanging="850"/>
      </w:pPr>
      <w:rPr>
        <w:rFonts w:hint="default"/>
      </w:rPr>
    </w:lvl>
    <w:lvl w:ilvl="7">
      <w:numFmt w:val="bullet"/>
      <w:lvlText w:val="•"/>
      <w:lvlJc w:val="left"/>
      <w:pPr>
        <w:ind w:left="6520" w:hanging="850"/>
      </w:pPr>
      <w:rPr>
        <w:rFonts w:hint="default"/>
      </w:rPr>
    </w:lvl>
    <w:lvl w:ilvl="8">
      <w:numFmt w:val="bullet"/>
      <w:lvlText w:val="•"/>
      <w:lvlJc w:val="left"/>
      <w:pPr>
        <w:ind w:left="7446" w:hanging="850"/>
      </w:pPr>
      <w:rPr>
        <w:rFonts w:hint="default"/>
      </w:rPr>
    </w:lvl>
  </w:abstractNum>
  <w:abstractNum w:abstractNumId="9">
    <w:nsid w:val="2CED30D3"/>
    <w:multiLevelType w:val="hybridMultilevel"/>
    <w:tmpl w:val="26C82D30"/>
    <w:lvl w:ilvl="0" w:tplc="519EA0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03A203C"/>
    <w:multiLevelType w:val="multilevel"/>
    <w:tmpl w:val="9D787290"/>
    <w:lvl w:ilvl="0">
      <w:start w:val="3"/>
      <w:numFmt w:val="decimal"/>
      <w:lvlText w:val="%1-"/>
      <w:lvlJc w:val="left"/>
      <w:pPr>
        <w:ind w:left="528" w:hanging="52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0627912"/>
    <w:multiLevelType w:val="hybridMultilevel"/>
    <w:tmpl w:val="023402DE"/>
    <w:lvl w:ilvl="0" w:tplc="61D4844E">
      <w:start w:val="1"/>
      <w:numFmt w:val="decimal"/>
      <w:lvlText w:val="%1."/>
      <w:lvlJc w:val="left"/>
      <w:pPr>
        <w:ind w:left="1035" w:hanging="360"/>
      </w:pPr>
      <w:rPr>
        <w:rFonts w:hint="default"/>
        <w:b/>
        <w:sz w:val="30"/>
        <w:u w:val="none"/>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3">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CB5162"/>
    <w:multiLevelType w:val="multilevel"/>
    <w:tmpl w:val="E598907E"/>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9">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0">
    <w:nsid w:val="678E78E1"/>
    <w:multiLevelType w:val="hybridMultilevel"/>
    <w:tmpl w:val="9DFE9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nsid w:val="686374FD"/>
    <w:multiLevelType w:val="hybridMultilevel"/>
    <w:tmpl w:val="5E8C7B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34">
    <w:nsid w:val="6E310CDA"/>
    <w:multiLevelType w:val="multilevel"/>
    <w:tmpl w:val="8054A28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7">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6E62665"/>
    <w:multiLevelType w:val="multilevel"/>
    <w:tmpl w:val="35A21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35"/>
  </w:num>
  <w:num w:numId="3">
    <w:abstractNumId w:val="12"/>
  </w:num>
  <w:num w:numId="4">
    <w:abstractNumId w:val="0"/>
  </w:num>
  <w:num w:numId="5">
    <w:abstractNumId w:val="39"/>
  </w:num>
  <w:num w:numId="6">
    <w:abstractNumId w:val="2"/>
  </w:num>
  <w:num w:numId="7">
    <w:abstractNumId w:val="33"/>
  </w:num>
  <w:num w:numId="8">
    <w:abstractNumId w:val="37"/>
  </w:num>
  <w:num w:numId="9">
    <w:abstractNumId w:val="15"/>
  </w:num>
  <w:num w:numId="10">
    <w:abstractNumId w:val="31"/>
  </w:num>
  <w:num w:numId="11">
    <w:abstractNumId w:val="36"/>
  </w:num>
  <w:num w:numId="12">
    <w:abstractNumId w:val="1"/>
  </w:num>
  <w:num w:numId="13">
    <w:abstractNumId w:val="5"/>
  </w:num>
  <w:num w:numId="14">
    <w:abstractNumId w:val="28"/>
  </w:num>
  <w:num w:numId="15">
    <w:abstractNumId w:val="23"/>
  </w:num>
  <w:num w:numId="16">
    <w:abstractNumId w:val="7"/>
  </w:num>
  <w:num w:numId="17">
    <w:abstractNumId w:val="26"/>
  </w:num>
  <w:num w:numId="18">
    <w:abstractNumId w:val="20"/>
  </w:num>
  <w:num w:numId="19">
    <w:abstractNumId w:val="13"/>
  </w:num>
  <w:num w:numId="20">
    <w:abstractNumId w:val="25"/>
  </w:num>
  <w:num w:numId="21">
    <w:abstractNumId w:val="18"/>
  </w:num>
  <w:num w:numId="22">
    <w:abstractNumId w:val="10"/>
  </w:num>
  <w:num w:numId="23">
    <w:abstractNumId w:val="11"/>
  </w:num>
  <w:num w:numId="24">
    <w:abstractNumId w:val="21"/>
  </w:num>
  <w:num w:numId="25">
    <w:abstractNumId w:val="16"/>
  </w:num>
  <w:num w:numId="26">
    <w:abstractNumId w:val="29"/>
  </w:num>
  <w:num w:numId="27">
    <w:abstractNumId w:val="42"/>
  </w:num>
  <w:num w:numId="28">
    <w:abstractNumId w:val="24"/>
  </w:num>
  <w:num w:numId="29">
    <w:abstractNumId w:val="40"/>
  </w:num>
  <w:num w:numId="30">
    <w:abstractNumId w:val="41"/>
  </w:num>
  <w:num w:numId="31">
    <w:abstractNumId w:val="6"/>
  </w:num>
  <w:num w:numId="32">
    <w:abstractNumId w:val="8"/>
  </w:num>
  <w:num w:numId="33">
    <w:abstractNumId w:val="30"/>
  </w:num>
  <w:num w:numId="34">
    <w:abstractNumId w:val="22"/>
  </w:num>
  <w:num w:numId="35">
    <w:abstractNumId w:val="17"/>
  </w:num>
  <w:num w:numId="36">
    <w:abstractNumId w:val="4"/>
  </w:num>
  <w:num w:numId="37">
    <w:abstractNumId w:val="32"/>
  </w:num>
  <w:num w:numId="38">
    <w:abstractNumId w:val="14"/>
  </w:num>
  <w:num w:numId="39">
    <w:abstractNumId w:val="27"/>
  </w:num>
  <w:num w:numId="40">
    <w:abstractNumId w:val="34"/>
  </w:num>
  <w:num w:numId="41">
    <w:abstractNumId w:val="9"/>
  </w:num>
  <w:num w:numId="42">
    <w:abstractNumId w:val="38"/>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stylePaneFormatFilter w:val="3F01"/>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605B3C"/>
    <w:rsid w:val="00001DCD"/>
    <w:rsid w:val="0000345A"/>
    <w:rsid w:val="00003817"/>
    <w:rsid w:val="00003877"/>
    <w:rsid w:val="00003D85"/>
    <w:rsid w:val="000043CC"/>
    <w:rsid w:val="00006A64"/>
    <w:rsid w:val="0000772D"/>
    <w:rsid w:val="00010D0C"/>
    <w:rsid w:val="00010EC9"/>
    <w:rsid w:val="0001144D"/>
    <w:rsid w:val="000123D3"/>
    <w:rsid w:val="00014468"/>
    <w:rsid w:val="00014A7A"/>
    <w:rsid w:val="000159F8"/>
    <w:rsid w:val="00015A68"/>
    <w:rsid w:val="000161A7"/>
    <w:rsid w:val="00016E0F"/>
    <w:rsid w:val="00017111"/>
    <w:rsid w:val="000178A3"/>
    <w:rsid w:val="00017F2E"/>
    <w:rsid w:val="00020063"/>
    <w:rsid w:val="000213EE"/>
    <w:rsid w:val="00021ADA"/>
    <w:rsid w:val="00021C1C"/>
    <w:rsid w:val="000244DE"/>
    <w:rsid w:val="000247CD"/>
    <w:rsid w:val="0002568A"/>
    <w:rsid w:val="0002765D"/>
    <w:rsid w:val="00027D88"/>
    <w:rsid w:val="00027EED"/>
    <w:rsid w:val="00030116"/>
    <w:rsid w:val="00030A63"/>
    <w:rsid w:val="00030AA2"/>
    <w:rsid w:val="00031FDD"/>
    <w:rsid w:val="00032591"/>
    <w:rsid w:val="00032ACC"/>
    <w:rsid w:val="00032B2C"/>
    <w:rsid w:val="00032F73"/>
    <w:rsid w:val="000339C6"/>
    <w:rsid w:val="00033E6B"/>
    <w:rsid w:val="00035C1E"/>
    <w:rsid w:val="00036EC2"/>
    <w:rsid w:val="000372DD"/>
    <w:rsid w:val="000423A8"/>
    <w:rsid w:val="00042965"/>
    <w:rsid w:val="00042DCF"/>
    <w:rsid w:val="00043526"/>
    <w:rsid w:val="00043EB1"/>
    <w:rsid w:val="00045358"/>
    <w:rsid w:val="0004656B"/>
    <w:rsid w:val="0004659E"/>
    <w:rsid w:val="00046606"/>
    <w:rsid w:val="000468DC"/>
    <w:rsid w:val="00047E67"/>
    <w:rsid w:val="00050BA0"/>
    <w:rsid w:val="000512FF"/>
    <w:rsid w:val="00052413"/>
    <w:rsid w:val="00053CC2"/>
    <w:rsid w:val="000540CC"/>
    <w:rsid w:val="00054251"/>
    <w:rsid w:val="000542B3"/>
    <w:rsid w:val="00054477"/>
    <w:rsid w:val="00056625"/>
    <w:rsid w:val="000604BD"/>
    <w:rsid w:val="00061611"/>
    <w:rsid w:val="00062D51"/>
    <w:rsid w:val="00063CA5"/>
    <w:rsid w:val="0006446E"/>
    <w:rsid w:val="00064922"/>
    <w:rsid w:val="0006498B"/>
    <w:rsid w:val="00064BA6"/>
    <w:rsid w:val="0006562D"/>
    <w:rsid w:val="00065AE0"/>
    <w:rsid w:val="00066192"/>
    <w:rsid w:val="00066A76"/>
    <w:rsid w:val="00067921"/>
    <w:rsid w:val="00067B31"/>
    <w:rsid w:val="00067D66"/>
    <w:rsid w:val="00067F6D"/>
    <w:rsid w:val="000700A4"/>
    <w:rsid w:val="000702F7"/>
    <w:rsid w:val="00071EE4"/>
    <w:rsid w:val="00073C65"/>
    <w:rsid w:val="00074A8F"/>
    <w:rsid w:val="00075017"/>
    <w:rsid w:val="00077F54"/>
    <w:rsid w:val="00080AD9"/>
    <w:rsid w:val="00080E84"/>
    <w:rsid w:val="00083592"/>
    <w:rsid w:val="000841F8"/>
    <w:rsid w:val="00086420"/>
    <w:rsid w:val="00086CD4"/>
    <w:rsid w:val="000910CF"/>
    <w:rsid w:val="000915B7"/>
    <w:rsid w:val="00091C0B"/>
    <w:rsid w:val="00091E98"/>
    <w:rsid w:val="00093C89"/>
    <w:rsid w:val="00093EB0"/>
    <w:rsid w:val="00094349"/>
    <w:rsid w:val="00094853"/>
    <w:rsid w:val="00094BEA"/>
    <w:rsid w:val="00094E5E"/>
    <w:rsid w:val="00095092"/>
    <w:rsid w:val="00095CBB"/>
    <w:rsid w:val="000966B7"/>
    <w:rsid w:val="00096AAD"/>
    <w:rsid w:val="00096D70"/>
    <w:rsid w:val="00097504"/>
    <w:rsid w:val="00097BCD"/>
    <w:rsid w:val="00097E25"/>
    <w:rsid w:val="000A171F"/>
    <w:rsid w:val="000A26ED"/>
    <w:rsid w:val="000A4885"/>
    <w:rsid w:val="000A5D0E"/>
    <w:rsid w:val="000A6E41"/>
    <w:rsid w:val="000A7BC0"/>
    <w:rsid w:val="000B03DB"/>
    <w:rsid w:val="000B072E"/>
    <w:rsid w:val="000B0F6D"/>
    <w:rsid w:val="000B102B"/>
    <w:rsid w:val="000B1A38"/>
    <w:rsid w:val="000B1EF2"/>
    <w:rsid w:val="000B2A42"/>
    <w:rsid w:val="000B3148"/>
    <w:rsid w:val="000B53D9"/>
    <w:rsid w:val="000B597C"/>
    <w:rsid w:val="000B5B45"/>
    <w:rsid w:val="000B5DD7"/>
    <w:rsid w:val="000B5E6A"/>
    <w:rsid w:val="000B7B82"/>
    <w:rsid w:val="000C0057"/>
    <w:rsid w:val="000C230A"/>
    <w:rsid w:val="000C2F9B"/>
    <w:rsid w:val="000C347A"/>
    <w:rsid w:val="000C4D0B"/>
    <w:rsid w:val="000C52D4"/>
    <w:rsid w:val="000C7AB6"/>
    <w:rsid w:val="000C7C36"/>
    <w:rsid w:val="000D03D7"/>
    <w:rsid w:val="000D0EB9"/>
    <w:rsid w:val="000D332F"/>
    <w:rsid w:val="000D44B0"/>
    <w:rsid w:val="000D547E"/>
    <w:rsid w:val="000D54D7"/>
    <w:rsid w:val="000D5C77"/>
    <w:rsid w:val="000D79E2"/>
    <w:rsid w:val="000D7D8F"/>
    <w:rsid w:val="000E49E3"/>
    <w:rsid w:val="000E51BF"/>
    <w:rsid w:val="000E5EF8"/>
    <w:rsid w:val="000E6425"/>
    <w:rsid w:val="000E6E48"/>
    <w:rsid w:val="000F0191"/>
    <w:rsid w:val="000F0D81"/>
    <w:rsid w:val="000F107C"/>
    <w:rsid w:val="000F1725"/>
    <w:rsid w:val="000F2A95"/>
    <w:rsid w:val="000F2D86"/>
    <w:rsid w:val="000F2DDF"/>
    <w:rsid w:val="000F323A"/>
    <w:rsid w:val="000F3F6A"/>
    <w:rsid w:val="000F4384"/>
    <w:rsid w:val="000F43C6"/>
    <w:rsid w:val="000F45DE"/>
    <w:rsid w:val="000F4A3D"/>
    <w:rsid w:val="000F4DB1"/>
    <w:rsid w:val="000F5940"/>
    <w:rsid w:val="0010162E"/>
    <w:rsid w:val="001025D0"/>
    <w:rsid w:val="0010301E"/>
    <w:rsid w:val="00103308"/>
    <w:rsid w:val="00104382"/>
    <w:rsid w:val="00106FD5"/>
    <w:rsid w:val="001072C6"/>
    <w:rsid w:val="0010781F"/>
    <w:rsid w:val="00111343"/>
    <w:rsid w:val="001115AF"/>
    <w:rsid w:val="00111B1A"/>
    <w:rsid w:val="00112305"/>
    <w:rsid w:val="00115109"/>
    <w:rsid w:val="00120709"/>
    <w:rsid w:val="001209DB"/>
    <w:rsid w:val="00121B48"/>
    <w:rsid w:val="00122489"/>
    <w:rsid w:val="00122C93"/>
    <w:rsid w:val="00123057"/>
    <w:rsid w:val="00124056"/>
    <w:rsid w:val="001244F9"/>
    <w:rsid w:val="001258C9"/>
    <w:rsid w:val="0012635A"/>
    <w:rsid w:val="0012716F"/>
    <w:rsid w:val="00127346"/>
    <w:rsid w:val="001274FD"/>
    <w:rsid w:val="00130C6C"/>
    <w:rsid w:val="00132232"/>
    <w:rsid w:val="00132990"/>
    <w:rsid w:val="00132EE1"/>
    <w:rsid w:val="0013302C"/>
    <w:rsid w:val="00133BA4"/>
    <w:rsid w:val="00134F67"/>
    <w:rsid w:val="00135B28"/>
    <w:rsid w:val="00135BE7"/>
    <w:rsid w:val="00136F2D"/>
    <w:rsid w:val="0014137B"/>
    <w:rsid w:val="0014139A"/>
    <w:rsid w:val="00141DB3"/>
    <w:rsid w:val="001426DE"/>
    <w:rsid w:val="0014366A"/>
    <w:rsid w:val="00143DFD"/>
    <w:rsid w:val="00143E1F"/>
    <w:rsid w:val="00143F9D"/>
    <w:rsid w:val="001445B7"/>
    <w:rsid w:val="00144B54"/>
    <w:rsid w:val="00144BE6"/>
    <w:rsid w:val="0014549D"/>
    <w:rsid w:val="001456B5"/>
    <w:rsid w:val="00145899"/>
    <w:rsid w:val="0014767A"/>
    <w:rsid w:val="001500E1"/>
    <w:rsid w:val="00150E84"/>
    <w:rsid w:val="00150E8C"/>
    <w:rsid w:val="0015105D"/>
    <w:rsid w:val="0015122B"/>
    <w:rsid w:val="00151627"/>
    <w:rsid w:val="001526B7"/>
    <w:rsid w:val="00153698"/>
    <w:rsid w:val="00154075"/>
    <w:rsid w:val="0015454D"/>
    <w:rsid w:val="0015475A"/>
    <w:rsid w:val="00155F4D"/>
    <w:rsid w:val="001574AD"/>
    <w:rsid w:val="00160078"/>
    <w:rsid w:val="00160C3E"/>
    <w:rsid w:val="0016182C"/>
    <w:rsid w:val="00162937"/>
    <w:rsid w:val="00162F1D"/>
    <w:rsid w:val="001632FC"/>
    <w:rsid w:val="00163959"/>
    <w:rsid w:val="00163BBA"/>
    <w:rsid w:val="00164A0B"/>
    <w:rsid w:val="001661D3"/>
    <w:rsid w:val="001666E6"/>
    <w:rsid w:val="00166A9B"/>
    <w:rsid w:val="00166D06"/>
    <w:rsid w:val="001679C8"/>
    <w:rsid w:val="00170199"/>
    <w:rsid w:val="00170A7D"/>
    <w:rsid w:val="00170CD9"/>
    <w:rsid w:val="00170CEB"/>
    <w:rsid w:val="00170F5B"/>
    <w:rsid w:val="00171064"/>
    <w:rsid w:val="0017254F"/>
    <w:rsid w:val="0017284A"/>
    <w:rsid w:val="00172D73"/>
    <w:rsid w:val="00173B1E"/>
    <w:rsid w:val="00173D36"/>
    <w:rsid w:val="00173D41"/>
    <w:rsid w:val="0017442B"/>
    <w:rsid w:val="00177284"/>
    <w:rsid w:val="001777B5"/>
    <w:rsid w:val="00177E6E"/>
    <w:rsid w:val="00180391"/>
    <w:rsid w:val="00181D31"/>
    <w:rsid w:val="001830BE"/>
    <w:rsid w:val="001837AA"/>
    <w:rsid w:val="00183E42"/>
    <w:rsid w:val="001849FC"/>
    <w:rsid w:val="00186A49"/>
    <w:rsid w:val="00187AAE"/>
    <w:rsid w:val="00190151"/>
    <w:rsid w:val="001910C8"/>
    <w:rsid w:val="00192310"/>
    <w:rsid w:val="001923B3"/>
    <w:rsid w:val="00192B6F"/>
    <w:rsid w:val="00193CBC"/>
    <w:rsid w:val="0019609F"/>
    <w:rsid w:val="00196752"/>
    <w:rsid w:val="001971CE"/>
    <w:rsid w:val="001973FE"/>
    <w:rsid w:val="0019774F"/>
    <w:rsid w:val="0019775A"/>
    <w:rsid w:val="001A01E4"/>
    <w:rsid w:val="001A0D10"/>
    <w:rsid w:val="001A10A3"/>
    <w:rsid w:val="001A1BB9"/>
    <w:rsid w:val="001A1ECA"/>
    <w:rsid w:val="001A242C"/>
    <w:rsid w:val="001A2820"/>
    <w:rsid w:val="001A2924"/>
    <w:rsid w:val="001A4A8B"/>
    <w:rsid w:val="001A61E6"/>
    <w:rsid w:val="001A7F5A"/>
    <w:rsid w:val="001B011E"/>
    <w:rsid w:val="001B10B9"/>
    <w:rsid w:val="001B2301"/>
    <w:rsid w:val="001B26F5"/>
    <w:rsid w:val="001B3441"/>
    <w:rsid w:val="001B38AA"/>
    <w:rsid w:val="001B3A91"/>
    <w:rsid w:val="001B4499"/>
    <w:rsid w:val="001B6346"/>
    <w:rsid w:val="001B66D3"/>
    <w:rsid w:val="001B6CFE"/>
    <w:rsid w:val="001B7992"/>
    <w:rsid w:val="001C00A6"/>
    <w:rsid w:val="001C1BEC"/>
    <w:rsid w:val="001C1F93"/>
    <w:rsid w:val="001C2310"/>
    <w:rsid w:val="001C4347"/>
    <w:rsid w:val="001C44D1"/>
    <w:rsid w:val="001C49FC"/>
    <w:rsid w:val="001C53F5"/>
    <w:rsid w:val="001C5D77"/>
    <w:rsid w:val="001C611F"/>
    <w:rsid w:val="001C6898"/>
    <w:rsid w:val="001C68C2"/>
    <w:rsid w:val="001C6C6D"/>
    <w:rsid w:val="001C7148"/>
    <w:rsid w:val="001D000C"/>
    <w:rsid w:val="001D066D"/>
    <w:rsid w:val="001D099D"/>
    <w:rsid w:val="001D0B1B"/>
    <w:rsid w:val="001D15BF"/>
    <w:rsid w:val="001D2068"/>
    <w:rsid w:val="001D4286"/>
    <w:rsid w:val="001D48BA"/>
    <w:rsid w:val="001D4A53"/>
    <w:rsid w:val="001D5206"/>
    <w:rsid w:val="001D531A"/>
    <w:rsid w:val="001D53C2"/>
    <w:rsid w:val="001D6097"/>
    <w:rsid w:val="001D719B"/>
    <w:rsid w:val="001E05C0"/>
    <w:rsid w:val="001E247A"/>
    <w:rsid w:val="001E2D15"/>
    <w:rsid w:val="001E34F2"/>
    <w:rsid w:val="001E4C29"/>
    <w:rsid w:val="001E4FFF"/>
    <w:rsid w:val="001E53AF"/>
    <w:rsid w:val="001E5505"/>
    <w:rsid w:val="001E561D"/>
    <w:rsid w:val="001E5650"/>
    <w:rsid w:val="001E621B"/>
    <w:rsid w:val="001E709D"/>
    <w:rsid w:val="001E716C"/>
    <w:rsid w:val="001F04A9"/>
    <w:rsid w:val="001F0A56"/>
    <w:rsid w:val="001F0A63"/>
    <w:rsid w:val="001F0B1E"/>
    <w:rsid w:val="001F0C5B"/>
    <w:rsid w:val="001F2E40"/>
    <w:rsid w:val="001F308F"/>
    <w:rsid w:val="001F30DC"/>
    <w:rsid w:val="001F350C"/>
    <w:rsid w:val="001F3E18"/>
    <w:rsid w:val="001F4726"/>
    <w:rsid w:val="001F482B"/>
    <w:rsid w:val="001F5104"/>
    <w:rsid w:val="001F58E8"/>
    <w:rsid w:val="001F72F9"/>
    <w:rsid w:val="001F7E94"/>
    <w:rsid w:val="002016EA"/>
    <w:rsid w:val="002017E8"/>
    <w:rsid w:val="002027BF"/>
    <w:rsid w:val="00204014"/>
    <w:rsid w:val="002040B1"/>
    <w:rsid w:val="00204A93"/>
    <w:rsid w:val="00205C78"/>
    <w:rsid w:val="002079F3"/>
    <w:rsid w:val="002106AB"/>
    <w:rsid w:val="0021128E"/>
    <w:rsid w:val="0021136D"/>
    <w:rsid w:val="00212391"/>
    <w:rsid w:val="002134BC"/>
    <w:rsid w:val="00214C2C"/>
    <w:rsid w:val="002155D4"/>
    <w:rsid w:val="002168A4"/>
    <w:rsid w:val="002169FD"/>
    <w:rsid w:val="0021792F"/>
    <w:rsid w:val="0022029C"/>
    <w:rsid w:val="00220E50"/>
    <w:rsid w:val="00221E8C"/>
    <w:rsid w:val="002220D0"/>
    <w:rsid w:val="002221F5"/>
    <w:rsid w:val="002235F7"/>
    <w:rsid w:val="002238E0"/>
    <w:rsid w:val="00223E34"/>
    <w:rsid w:val="00223E7B"/>
    <w:rsid w:val="002243A3"/>
    <w:rsid w:val="00225154"/>
    <w:rsid w:val="00225DC9"/>
    <w:rsid w:val="00226710"/>
    <w:rsid w:val="00226A4B"/>
    <w:rsid w:val="00226B5C"/>
    <w:rsid w:val="0023094A"/>
    <w:rsid w:val="00230B96"/>
    <w:rsid w:val="00230C52"/>
    <w:rsid w:val="002318DF"/>
    <w:rsid w:val="00231B41"/>
    <w:rsid w:val="00231E99"/>
    <w:rsid w:val="002321E3"/>
    <w:rsid w:val="0023314F"/>
    <w:rsid w:val="0023382A"/>
    <w:rsid w:val="002339FC"/>
    <w:rsid w:val="002340AB"/>
    <w:rsid w:val="00235223"/>
    <w:rsid w:val="00235EB6"/>
    <w:rsid w:val="0023693D"/>
    <w:rsid w:val="002374C5"/>
    <w:rsid w:val="00237B63"/>
    <w:rsid w:val="00237C11"/>
    <w:rsid w:val="00240456"/>
    <w:rsid w:val="002405FD"/>
    <w:rsid w:val="00240F32"/>
    <w:rsid w:val="00242837"/>
    <w:rsid w:val="00243103"/>
    <w:rsid w:val="00243C40"/>
    <w:rsid w:val="00245A9F"/>
    <w:rsid w:val="00245D05"/>
    <w:rsid w:val="00245E51"/>
    <w:rsid w:val="002464CF"/>
    <w:rsid w:val="00247841"/>
    <w:rsid w:val="00247971"/>
    <w:rsid w:val="00250283"/>
    <w:rsid w:val="00250DE8"/>
    <w:rsid w:val="00251266"/>
    <w:rsid w:val="002514E2"/>
    <w:rsid w:val="00251624"/>
    <w:rsid w:val="0025231F"/>
    <w:rsid w:val="002534C1"/>
    <w:rsid w:val="0025396B"/>
    <w:rsid w:val="0025400F"/>
    <w:rsid w:val="00254F18"/>
    <w:rsid w:val="0025569E"/>
    <w:rsid w:val="0025640B"/>
    <w:rsid w:val="00256901"/>
    <w:rsid w:val="00256F6A"/>
    <w:rsid w:val="00261094"/>
    <w:rsid w:val="00261265"/>
    <w:rsid w:val="00261281"/>
    <w:rsid w:val="0026232E"/>
    <w:rsid w:val="00262CFF"/>
    <w:rsid w:val="00262E69"/>
    <w:rsid w:val="0026335D"/>
    <w:rsid w:val="002634DA"/>
    <w:rsid w:val="00263620"/>
    <w:rsid w:val="00263AC6"/>
    <w:rsid w:val="00264BF9"/>
    <w:rsid w:val="00266390"/>
    <w:rsid w:val="00266D5C"/>
    <w:rsid w:val="00267023"/>
    <w:rsid w:val="00267282"/>
    <w:rsid w:val="00267DA4"/>
    <w:rsid w:val="00267EE5"/>
    <w:rsid w:val="00270A36"/>
    <w:rsid w:val="00270B9D"/>
    <w:rsid w:val="00271A33"/>
    <w:rsid w:val="0027393D"/>
    <w:rsid w:val="00275246"/>
    <w:rsid w:val="00277EE9"/>
    <w:rsid w:val="0028056A"/>
    <w:rsid w:val="00280A26"/>
    <w:rsid w:val="00283186"/>
    <w:rsid w:val="0028662E"/>
    <w:rsid w:val="00287583"/>
    <w:rsid w:val="00291155"/>
    <w:rsid w:val="00291167"/>
    <w:rsid w:val="002943A8"/>
    <w:rsid w:val="002944B4"/>
    <w:rsid w:val="002945A4"/>
    <w:rsid w:val="00294740"/>
    <w:rsid w:val="002952E6"/>
    <w:rsid w:val="0029572E"/>
    <w:rsid w:val="002957FE"/>
    <w:rsid w:val="0029586F"/>
    <w:rsid w:val="00295C0D"/>
    <w:rsid w:val="00296310"/>
    <w:rsid w:val="002964BC"/>
    <w:rsid w:val="00297604"/>
    <w:rsid w:val="00297F2F"/>
    <w:rsid w:val="002A196E"/>
    <w:rsid w:val="002A251D"/>
    <w:rsid w:val="002A281D"/>
    <w:rsid w:val="002A6A34"/>
    <w:rsid w:val="002B06CF"/>
    <w:rsid w:val="002B167D"/>
    <w:rsid w:val="002B1B44"/>
    <w:rsid w:val="002B289E"/>
    <w:rsid w:val="002B3CDD"/>
    <w:rsid w:val="002B4C8E"/>
    <w:rsid w:val="002B4D70"/>
    <w:rsid w:val="002B62FC"/>
    <w:rsid w:val="002B66D5"/>
    <w:rsid w:val="002B6AEE"/>
    <w:rsid w:val="002B6D29"/>
    <w:rsid w:val="002B76D3"/>
    <w:rsid w:val="002B7A9F"/>
    <w:rsid w:val="002B7F21"/>
    <w:rsid w:val="002C0AB2"/>
    <w:rsid w:val="002C1E7C"/>
    <w:rsid w:val="002C33A8"/>
    <w:rsid w:val="002C3B1A"/>
    <w:rsid w:val="002C3F69"/>
    <w:rsid w:val="002C53A2"/>
    <w:rsid w:val="002C59E7"/>
    <w:rsid w:val="002C61E3"/>
    <w:rsid w:val="002C66BE"/>
    <w:rsid w:val="002C66E5"/>
    <w:rsid w:val="002C7256"/>
    <w:rsid w:val="002C788B"/>
    <w:rsid w:val="002C7A2E"/>
    <w:rsid w:val="002D2A02"/>
    <w:rsid w:val="002D2BAC"/>
    <w:rsid w:val="002D31DD"/>
    <w:rsid w:val="002D31F5"/>
    <w:rsid w:val="002D3916"/>
    <w:rsid w:val="002D3B4B"/>
    <w:rsid w:val="002D4FFD"/>
    <w:rsid w:val="002D68FE"/>
    <w:rsid w:val="002E07C3"/>
    <w:rsid w:val="002E1C2A"/>
    <w:rsid w:val="002E22F4"/>
    <w:rsid w:val="002E28FA"/>
    <w:rsid w:val="002E2ABC"/>
    <w:rsid w:val="002E3106"/>
    <w:rsid w:val="002E3439"/>
    <w:rsid w:val="002E43C3"/>
    <w:rsid w:val="002E44B9"/>
    <w:rsid w:val="002E5037"/>
    <w:rsid w:val="002E5EFA"/>
    <w:rsid w:val="002E66AC"/>
    <w:rsid w:val="002E7C89"/>
    <w:rsid w:val="002E7D62"/>
    <w:rsid w:val="002F1E3E"/>
    <w:rsid w:val="002F20E7"/>
    <w:rsid w:val="002F210C"/>
    <w:rsid w:val="002F35B6"/>
    <w:rsid w:val="002F3B4C"/>
    <w:rsid w:val="002F548A"/>
    <w:rsid w:val="002F7BDC"/>
    <w:rsid w:val="002F7CC1"/>
    <w:rsid w:val="002F7E3A"/>
    <w:rsid w:val="002F7E9B"/>
    <w:rsid w:val="003020EC"/>
    <w:rsid w:val="003027AC"/>
    <w:rsid w:val="00302ABE"/>
    <w:rsid w:val="0030328C"/>
    <w:rsid w:val="003036A2"/>
    <w:rsid w:val="003037E3"/>
    <w:rsid w:val="00303FD8"/>
    <w:rsid w:val="00303FDA"/>
    <w:rsid w:val="00304CB8"/>
    <w:rsid w:val="00304DE0"/>
    <w:rsid w:val="0030653E"/>
    <w:rsid w:val="003065CC"/>
    <w:rsid w:val="00306A05"/>
    <w:rsid w:val="00306B6C"/>
    <w:rsid w:val="003105E1"/>
    <w:rsid w:val="00310933"/>
    <w:rsid w:val="00311243"/>
    <w:rsid w:val="00311B31"/>
    <w:rsid w:val="00311FD0"/>
    <w:rsid w:val="00313BBD"/>
    <w:rsid w:val="00313DBA"/>
    <w:rsid w:val="00315113"/>
    <w:rsid w:val="00316CDA"/>
    <w:rsid w:val="00317310"/>
    <w:rsid w:val="00317E4B"/>
    <w:rsid w:val="00320ECB"/>
    <w:rsid w:val="0032164F"/>
    <w:rsid w:val="0032244F"/>
    <w:rsid w:val="00322C6F"/>
    <w:rsid w:val="00322D97"/>
    <w:rsid w:val="00324940"/>
    <w:rsid w:val="00324F79"/>
    <w:rsid w:val="00325B55"/>
    <w:rsid w:val="00326AB2"/>
    <w:rsid w:val="00327B0F"/>
    <w:rsid w:val="003320D4"/>
    <w:rsid w:val="00333980"/>
    <w:rsid w:val="00334A94"/>
    <w:rsid w:val="00340FF7"/>
    <w:rsid w:val="0034132B"/>
    <w:rsid w:val="003423D4"/>
    <w:rsid w:val="00343E43"/>
    <w:rsid w:val="0034462C"/>
    <w:rsid w:val="00344993"/>
    <w:rsid w:val="00345368"/>
    <w:rsid w:val="003453F6"/>
    <w:rsid w:val="0034673C"/>
    <w:rsid w:val="00350C6A"/>
    <w:rsid w:val="00350FFD"/>
    <w:rsid w:val="00351611"/>
    <w:rsid w:val="003519B9"/>
    <w:rsid w:val="00351CEB"/>
    <w:rsid w:val="003541E7"/>
    <w:rsid w:val="003555E1"/>
    <w:rsid w:val="00356C6C"/>
    <w:rsid w:val="00357469"/>
    <w:rsid w:val="00357896"/>
    <w:rsid w:val="00357A78"/>
    <w:rsid w:val="00360AB6"/>
    <w:rsid w:val="00360D6F"/>
    <w:rsid w:val="00360F19"/>
    <w:rsid w:val="003616B0"/>
    <w:rsid w:val="00362082"/>
    <w:rsid w:val="00363EEF"/>
    <w:rsid w:val="00364726"/>
    <w:rsid w:val="00364AEB"/>
    <w:rsid w:val="00364C7D"/>
    <w:rsid w:val="003651CC"/>
    <w:rsid w:val="00367161"/>
    <w:rsid w:val="003673EF"/>
    <w:rsid w:val="00367900"/>
    <w:rsid w:val="0037153A"/>
    <w:rsid w:val="00371692"/>
    <w:rsid w:val="00372100"/>
    <w:rsid w:val="003735B2"/>
    <w:rsid w:val="0037626D"/>
    <w:rsid w:val="0037727A"/>
    <w:rsid w:val="00377823"/>
    <w:rsid w:val="00380359"/>
    <w:rsid w:val="00380606"/>
    <w:rsid w:val="00381643"/>
    <w:rsid w:val="003817B4"/>
    <w:rsid w:val="00381F75"/>
    <w:rsid w:val="00381FB3"/>
    <w:rsid w:val="0038218C"/>
    <w:rsid w:val="00383EA8"/>
    <w:rsid w:val="00385557"/>
    <w:rsid w:val="003863C4"/>
    <w:rsid w:val="00386503"/>
    <w:rsid w:val="00386770"/>
    <w:rsid w:val="00386D0C"/>
    <w:rsid w:val="00387D5C"/>
    <w:rsid w:val="003901B4"/>
    <w:rsid w:val="00390285"/>
    <w:rsid w:val="003927B3"/>
    <w:rsid w:val="00393B41"/>
    <w:rsid w:val="00394F47"/>
    <w:rsid w:val="00395611"/>
    <w:rsid w:val="0039591F"/>
    <w:rsid w:val="00395967"/>
    <w:rsid w:val="0039603B"/>
    <w:rsid w:val="003966F2"/>
    <w:rsid w:val="00397118"/>
    <w:rsid w:val="003A00C9"/>
    <w:rsid w:val="003A130A"/>
    <w:rsid w:val="003A1A34"/>
    <w:rsid w:val="003A1F5D"/>
    <w:rsid w:val="003A3150"/>
    <w:rsid w:val="003A40AD"/>
    <w:rsid w:val="003A4638"/>
    <w:rsid w:val="003A5118"/>
    <w:rsid w:val="003A5ED9"/>
    <w:rsid w:val="003A5F0B"/>
    <w:rsid w:val="003A784E"/>
    <w:rsid w:val="003A7EC0"/>
    <w:rsid w:val="003B0051"/>
    <w:rsid w:val="003B0ED9"/>
    <w:rsid w:val="003B24C0"/>
    <w:rsid w:val="003B259C"/>
    <w:rsid w:val="003B50D0"/>
    <w:rsid w:val="003B5290"/>
    <w:rsid w:val="003B5B6A"/>
    <w:rsid w:val="003B5CBE"/>
    <w:rsid w:val="003B6ADF"/>
    <w:rsid w:val="003B6FC8"/>
    <w:rsid w:val="003B6FF6"/>
    <w:rsid w:val="003C00A6"/>
    <w:rsid w:val="003C0FC0"/>
    <w:rsid w:val="003C172B"/>
    <w:rsid w:val="003C1BA1"/>
    <w:rsid w:val="003C22AA"/>
    <w:rsid w:val="003C411E"/>
    <w:rsid w:val="003C4879"/>
    <w:rsid w:val="003C4982"/>
    <w:rsid w:val="003C5920"/>
    <w:rsid w:val="003D0A43"/>
    <w:rsid w:val="003D209A"/>
    <w:rsid w:val="003D2182"/>
    <w:rsid w:val="003D2E03"/>
    <w:rsid w:val="003D3198"/>
    <w:rsid w:val="003D3822"/>
    <w:rsid w:val="003D4F7E"/>
    <w:rsid w:val="003D5589"/>
    <w:rsid w:val="003D5F51"/>
    <w:rsid w:val="003D635D"/>
    <w:rsid w:val="003D638C"/>
    <w:rsid w:val="003D6CFE"/>
    <w:rsid w:val="003D6E05"/>
    <w:rsid w:val="003E00FF"/>
    <w:rsid w:val="003E13E7"/>
    <w:rsid w:val="003E1DF2"/>
    <w:rsid w:val="003E2CEB"/>
    <w:rsid w:val="003E329F"/>
    <w:rsid w:val="003E569D"/>
    <w:rsid w:val="003F0015"/>
    <w:rsid w:val="003F01AC"/>
    <w:rsid w:val="003F251C"/>
    <w:rsid w:val="003F298D"/>
    <w:rsid w:val="003F567C"/>
    <w:rsid w:val="003F669D"/>
    <w:rsid w:val="003F68B0"/>
    <w:rsid w:val="003F6EBD"/>
    <w:rsid w:val="0040132A"/>
    <w:rsid w:val="00401683"/>
    <w:rsid w:val="00401F69"/>
    <w:rsid w:val="004024AF"/>
    <w:rsid w:val="00402A9C"/>
    <w:rsid w:val="004037C4"/>
    <w:rsid w:val="00403807"/>
    <w:rsid w:val="004042E0"/>
    <w:rsid w:val="00406097"/>
    <w:rsid w:val="00406EE0"/>
    <w:rsid w:val="00407C56"/>
    <w:rsid w:val="00410093"/>
    <w:rsid w:val="004115A3"/>
    <w:rsid w:val="00412495"/>
    <w:rsid w:val="00412A84"/>
    <w:rsid w:val="00413A87"/>
    <w:rsid w:val="00413DE1"/>
    <w:rsid w:val="00415779"/>
    <w:rsid w:val="00415D38"/>
    <w:rsid w:val="00415E97"/>
    <w:rsid w:val="00416445"/>
    <w:rsid w:val="00416721"/>
    <w:rsid w:val="00417501"/>
    <w:rsid w:val="0041795F"/>
    <w:rsid w:val="00417E58"/>
    <w:rsid w:val="00417FF1"/>
    <w:rsid w:val="004202F7"/>
    <w:rsid w:val="00420359"/>
    <w:rsid w:val="00420DB8"/>
    <w:rsid w:val="004211EA"/>
    <w:rsid w:val="00421304"/>
    <w:rsid w:val="004213DA"/>
    <w:rsid w:val="00421CAC"/>
    <w:rsid w:val="0042499C"/>
    <w:rsid w:val="004257A8"/>
    <w:rsid w:val="00425DEA"/>
    <w:rsid w:val="00425E1E"/>
    <w:rsid w:val="004276BA"/>
    <w:rsid w:val="0043159B"/>
    <w:rsid w:val="00431917"/>
    <w:rsid w:val="0043234A"/>
    <w:rsid w:val="00432978"/>
    <w:rsid w:val="00433253"/>
    <w:rsid w:val="00433647"/>
    <w:rsid w:val="00433E9C"/>
    <w:rsid w:val="00434D43"/>
    <w:rsid w:val="00435A8B"/>
    <w:rsid w:val="00435B74"/>
    <w:rsid w:val="004365A8"/>
    <w:rsid w:val="004377DF"/>
    <w:rsid w:val="00437B6E"/>
    <w:rsid w:val="004430AF"/>
    <w:rsid w:val="00444079"/>
    <w:rsid w:val="004441EC"/>
    <w:rsid w:val="00444F65"/>
    <w:rsid w:val="00444F94"/>
    <w:rsid w:val="004465E0"/>
    <w:rsid w:val="00446DF1"/>
    <w:rsid w:val="004475ED"/>
    <w:rsid w:val="00450351"/>
    <w:rsid w:val="004517ED"/>
    <w:rsid w:val="00451EFE"/>
    <w:rsid w:val="004522E9"/>
    <w:rsid w:val="00453975"/>
    <w:rsid w:val="00453E99"/>
    <w:rsid w:val="00453F2A"/>
    <w:rsid w:val="00454A26"/>
    <w:rsid w:val="00455A2C"/>
    <w:rsid w:val="00455B78"/>
    <w:rsid w:val="00455FF4"/>
    <w:rsid w:val="004560AA"/>
    <w:rsid w:val="00457BAE"/>
    <w:rsid w:val="00457F5C"/>
    <w:rsid w:val="00460B89"/>
    <w:rsid w:val="00461BAD"/>
    <w:rsid w:val="00462FA0"/>
    <w:rsid w:val="00463189"/>
    <w:rsid w:val="0046629E"/>
    <w:rsid w:val="00466D7B"/>
    <w:rsid w:val="00470E30"/>
    <w:rsid w:val="00471B41"/>
    <w:rsid w:val="00471D9E"/>
    <w:rsid w:val="004721F7"/>
    <w:rsid w:val="00473AC6"/>
    <w:rsid w:val="00473DAB"/>
    <w:rsid w:val="00474A93"/>
    <w:rsid w:val="00475932"/>
    <w:rsid w:val="00475B80"/>
    <w:rsid w:val="00476679"/>
    <w:rsid w:val="00476D46"/>
    <w:rsid w:val="00476DE3"/>
    <w:rsid w:val="00477B5C"/>
    <w:rsid w:val="0048106C"/>
    <w:rsid w:val="00481892"/>
    <w:rsid w:val="00481975"/>
    <w:rsid w:val="004830DF"/>
    <w:rsid w:val="004842B0"/>
    <w:rsid w:val="00484AA9"/>
    <w:rsid w:val="0048529E"/>
    <w:rsid w:val="00487070"/>
    <w:rsid w:val="00487228"/>
    <w:rsid w:val="00491770"/>
    <w:rsid w:val="00492080"/>
    <w:rsid w:val="00492D5F"/>
    <w:rsid w:val="004935D4"/>
    <w:rsid w:val="00493FCE"/>
    <w:rsid w:val="00494609"/>
    <w:rsid w:val="00494F1C"/>
    <w:rsid w:val="0049509B"/>
    <w:rsid w:val="0049734E"/>
    <w:rsid w:val="0049752F"/>
    <w:rsid w:val="00497CDD"/>
    <w:rsid w:val="004A0871"/>
    <w:rsid w:val="004A0C05"/>
    <w:rsid w:val="004A140C"/>
    <w:rsid w:val="004A1662"/>
    <w:rsid w:val="004A238A"/>
    <w:rsid w:val="004A24E4"/>
    <w:rsid w:val="004A390B"/>
    <w:rsid w:val="004A6D23"/>
    <w:rsid w:val="004A771F"/>
    <w:rsid w:val="004B0BAE"/>
    <w:rsid w:val="004B16DF"/>
    <w:rsid w:val="004B30E1"/>
    <w:rsid w:val="004B47E6"/>
    <w:rsid w:val="004B4FD1"/>
    <w:rsid w:val="004B6B03"/>
    <w:rsid w:val="004B7FAC"/>
    <w:rsid w:val="004C1098"/>
    <w:rsid w:val="004C1830"/>
    <w:rsid w:val="004C2CC3"/>
    <w:rsid w:val="004C3036"/>
    <w:rsid w:val="004C3412"/>
    <w:rsid w:val="004C38F8"/>
    <w:rsid w:val="004C3EC7"/>
    <w:rsid w:val="004C51C4"/>
    <w:rsid w:val="004C65FD"/>
    <w:rsid w:val="004C6C3A"/>
    <w:rsid w:val="004C7720"/>
    <w:rsid w:val="004D0193"/>
    <w:rsid w:val="004D13E1"/>
    <w:rsid w:val="004D3C1E"/>
    <w:rsid w:val="004D48B3"/>
    <w:rsid w:val="004D6142"/>
    <w:rsid w:val="004D7615"/>
    <w:rsid w:val="004D7C6A"/>
    <w:rsid w:val="004D7D68"/>
    <w:rsid w:val="004E14F9"/>
    <w:rsid w:val="004E2321"/>
    <w:rsid w:val="004E2490"/>
    <w:rsid w:val="004E5B98"/>
    <w:rsid w:val="004E60BB"/>
    <w:rsid w:val="004E79FD"/>
    <w:rsid w:val="004F00CC"/>
    <w:rsid w:val="004F0141"/>
    <w:rsid w:val="004F1213"/>
    <w:rsid w:val="004F2110"/>
    <w:rsid w:val="004F25ED"/>
    <w:rsid w:val="004F28A5"/>
    <w:rsid w:val="004F2DC8"/>
    <w:rsid w:val="004F50A4"/>
    <w:rsid w:val="004F5C04"/>
    <w:rsid w:val="004F6E1A"/>
    <w:rsid w:val="004F72DC"/>
    <w:rsid w:val="004F7368"/>
    <w:rsid w:val="004F7713"/>
    <w:rsid w:val="004F7B93"/>
    <w:rsid w:val="005007E1"/>
    <w:rsid w:val="005033C0"/>
    <w:rsid w:val="0050445E"/>
    <w:rsid w:val="0050572E"/>
    <w:rsid w:val="005059C8"/>
    <w:rsid w:val="0050736D"/>
    <w:rsid w:val="00507FC9"/>
    <w:rsid w:val="00511CDE"/>
    <w:rsid w:val="00511E80"/>
    <w:rsid w:val="00513AF1"/>
    <w:rsid w:val="00513F99"/>
    <w:rsid w:val="005146C5"/>
    <w:rsid w:val="00514F2C"/>
    <w:rsid w:val="00515CC4"/>
    <w:rsid w:val="00517BB9"/>
    <w:rsid w:val="005201B5"/>
    <w:rsid w:val="0052057A"/>
    <w:rsid w:val="005207A4"/>
    <w:rsid w:val="00520E6C"/>
    <w:rsid w:val="00521097"/>
    <w:rsid w:val="0052189A"/>
    <w:rsid w:val="00521C22"/>
    <w:rsid w:val="005224DD"/>
    <w:rsid w:val="005231B4"/>
    <w:rsid w:val="00523365"/>
    <w:rsid w:val="00524208"/>
    <w:rsid w:val="00524622"/>
    <w:rsid w:val="0052462F"/>
    <w:rsid w:val="00525123"/>
    <w:rsid w:val="00525377"/>
    <w:rsid w:val="005256D2"/>
    <w:rsid w:val="00525A9A"/>
    <w:rsid w:val="00526207"/>
    <w:rsid w:val="005267E0"/>
    <w:rsid w:val="00527E22"/>
    <w:rsid w:val="00530F0A"/>
    <w:rsid w:val="00531D65"/>
    <w:rsid w:val="00532B69"/>
    <w:rsid w:val="00532FDE"/>
    <w:rsid w:val="00533BDC"/>
    <w:rsid w:val="005356AD"/>
    <w:rsid w:val="00535829"/>
    <w:rsid w:val="00535CE6"/>
    <w:rsid w:val="005365F3"/>
    <w:rsid w:val="00536C37"/>
    <w:rsid w:val="00536F06"/>
    <w:rsid w:val="0053789D"/>
    <w:rsid w:val="00540825"/>
    <w:rsid w:val="00542B53"/>
    <w:rsid w:val="00544497"/>
    <w:rsid w:val="005454CB"/>
    <w:rsid w:val="00546C1F"/>
    <w:rsid w:val="005518A7"/>
    <w:rsid w:val="00551D0B"/>
    <w:rsid w:val="00552D5F"/>
    <w:rsid w:val="0055570D"/>
    <w:rsid w:val="00555DEA"/>
    <w:rsid w:val="005561CD"/>
    <w:rsid w:val="005572A4"/>
    <w:rsid w:val="005576CF"/>
    <w:rsid w:val="00562724"/>
    <w:rsid w:val="00562E9A"/>
    <w:rsid w:val="00563182"/>
    <w:rsid w:val="00563EAD"/>
    <w:rsid w:val="005651B0"/>
    <w:rsid w:val="005659DF"/>
    <w:rsid w:val="00571545"/>
    <w:rsid w:val="00571579"/>
    <w:rsid w:val="00573DF7"/>
    <w:rsid w:val="0057424A"/>
    <w:rsid w:val="005747A1"/>
    <w:rsid w:val="00575B69"/>
    <w:rsid w:val="00577BF4"/>
    <w:rsid w:val="0058061E"/>
    <w:rsid w:val="005827D8"/>
    <w:rsid w:val="0058351E"/>
    <w:rsid w:val="00583A89"/>
    <w:rsid w:val="0058401E"/>
    <w:rsid w:val="005844EF"/>
    <w:rsid w:val="00585D68"/>
    <w:rsid w:val="0058640F"/>
    <w:rsid w:val="005873BE"/>
    <w:rsid w:val="0059303E"/>
    <w:rsid w:val="005937EA"/>
    <w:rsid w:val="0059458F"/>
    <w:rsid w:val="0059491F"/>
    <w:rsid w:val="00594D4C"/>
    <w:rsid w:val="005962C0"/>
    <w:rsid w:val="0059635E"/>
    <w:rsid w:val="00596771"/>
    <w:rsid w:val="00596D69"/>
    <w:rsid w:val="0059773B"/>
    <w:rsid w:val="005A0DDD"/>
    <w:rsid w:val="005A11CD"/>
    <w:rsid w:val="005A1861"/>
    <w:rsid w:val="005A18D8"/>
    <w:rsid w:val="005A19E2"/>
    <w:rsid w:val="005A2759"/>
    <w:rsid w:val="005A3EA4"/>
    <w:rsid w:val="005A419D"/>
    <w:rsid w:val="005A4314"/>
    <w:rsid w:val="005A500A"/>
    <w:rsid w:val="005A57FD"/>
    <w:rsid w:val="005A5D7C"/>
    <w:rsid w:val="005A64ED"/>
    <w:rsid w:val="005B05B9"/>
    <w:rsid w:val="005B2A24"/>
    <w:rsid w:val="005B2C81"/>
    <w:rsid w:val="005B3B7E"/>
    <w:rsid w:val="005B4281"/>
    <w:rsid w:val="005B49B9"/>
    <w:rsid w:val="005B4D2C"/>
    <w:rsid w:val="005B5119"/>
    <w:rsid w:val="005B512B"/>
    <w:rsid w:val="005B7138"/>
    <w:rsid w:val="005B71D6"/>
    <w:rsid w:val="005C104D"/>
    <w:rsid w:val="005C1191"/>
    <w:rsid w:val="005C179C"/>
    <w:rsid w:val="005C1852"/>
    <w:rsid w:val="005C199F"/>
    <w:rsid w:val="005C1B20"/>
    <w:rsid w:val="005C291E"/>
    <w:rsid w:val="005C2B00"/>
    <w:rsid w:val="005C2EFE"/>
    <w:rsid w:val="005C3450"/>
    <w:rsid w:val="005C3458"/>
    <w:rsid w:val="005C451C"/>
    <w:rsid w:val="005C4B68"/>
    <w:rsid w:val="005C50DE"/>
    <w:rsid w:val="005C5C22"/>
    <w:rsid w:val="005C6466"/>
    <w:rsid w:val="005C6F87"/>
    <w:rsid w:val="005C70BE"/>
    <w:rsid w:val="005C74EA"/>
    <w:rsid w:val="005C7EE2"/>
    <w:rsid w:val="005D0C5A"/>
    <w:rsid w:val="005D0CAC"/>
    <w:rsid w:val="005D1A7D"/>
    <w:rsid w:val="005D1D5A"/>
    <w:rsid w:val="005D25DA"/>
    <w:rsid w:val="005D2F05"/>
    <w:rsid w:val="005D3F40"/>
    <w:rsid w:val="005D429D"/>
    <w:rsid w:val="005D4358"/>
    <w:rsid w:val="005D4975"/>
    <w:rsid w:val="005D59BA"/>
    <w:rsid w:val="005D6001"/>
    <w:rsid w:val="005D7038"/>
    <w:rsid w:val="005D73E1"/>
    <w:rsid w:val="005D7600"/>
    <w:rsid w:val="005E0512"/>
    <w:rsid w:val="005E0A47"/>
    <w:rsid w:val="005E10B2"/>
    <w:rsid w:val="005E1E3F"/>
    <w:rsid w:val="005E2C23"/>
    <w:rsid w:val="005E387D"/>
    <w:rsid w:val="005E3F7C"/>
    <w:rsid w:val="005E40FA"/>
    <w:rsid w:val="005E47B3"/>
    <w:rsid w:val="005E4C41"/>
    <w:rsid w:val="005E5684"/>
    <w:rsid w:val="005E61E4"/>
    <w:rsid w:val="005E6F98"/>
    <w:rsid w:val="005E6FA2"/>
    <w:rsid w:val="005E79D3"/>
    <w:rsid w:val="005E7A31"/>
    <w:rsid w:val="005F0A3A"/>
    <w:rsid w:val="005F1385"/>
    <w:rsid w:val="005F230A"/>
    <w:rsid w:val="005F35FE"/>
    <w:rsid w:val="005F37CC"/>
    <w:rsid w:val="005F45D8"/>
    <w:rsid w:val="005F4FB1"/>
    <w:rsid w:val="005F73D1"/>
    <w:rsid w:val="005F7454"/>
    <w:rsid w:val="0060035A"/>
    <w:rsid w:val="006004A5"/>
    <w:rsid w:val="00600985"/>
    <w:rsid w:val="00600CAE"/>
    <w:rsid w:val="00600D0E"/>
    <w:rsid w:val="00600E5E"/>
    <w:rsid w:val="006012E0"/>
    <w:rsid w:val="00601499"/>
    <w:rsid w:val="00602237"/>
    <w:rsid w:val="00602822"/>
    <w:rsid w:val="00603F33"/>
    <w:rsid w:val="00604625"/>
    <w:rsid w:val="0060523E"/>
    <w:rsid w:val="00605B3C"/>
    <w:rsid w:val="00605F9C"/>
    <w:rsid w:val="006071C6"/>
    <w:rsid w:val="006112E9"/>
    <w:rsid w:val="00611B53"/>
    <w:rsid w:val="006125F0"/>
    <w:rsid w:val="006127B7"/>
    <w:rsid w:val="00612D78"/>
    <w:rsid w:val="00612EC5"/>
    <w:rsid w:val="006132AD"/>
    <w:rsid w:val="006137CA"/>
    <w:rsid w:val="00613938"/>
    <w:rsid w:val="006143D6"/>
    <w:rsid w:val="00614559"/>
    <w:rsid w:val="00614589"/>
    <w:rsid w:val="006149FD"/>
    <w:rsid w:val="00617D06"/>
    <w:rsid w:val="00620C56"/>
    <w:rsid w:val="00621593"/>
    <w:rsid w:val="006226AA"/>
    <w:rsid w:val="00623BA3"/>
    <w:rsid w:val="00624AC1"/>
    <w:rsid w:val="006256D0"/>
    <w:rsid w:val="00625996"/>
    <w:rsid w:val="0062612E"/>
    <w:rsid w:val="00626F47"/>
    <w:rsid w:val="006302CC"/>
    <w:rsid w:val="00630DF9"/>
    <w:rsid w:val="0063158D"/>
    <w:rsid w:val="00631935"/>
    <w:rsid w:val="00631C6C"/>
    <w:rsid w:val="006324AF"/>
    <w:rsid w:val="00632C2E"/>
    <w:rsid w:val="00633D38"/>
    <w:rsid w:val="0063488F"/>
    <w:rsid w:val="00634C38"/>
    <w:rsid w:val="00635126"/>
    <w:rsid w:val="00636154"/>
    <w:rsid w:val="0063629A"/>
    <w:rsid w:val="00640C55"/>
    <w:rsid w:val="006420B4"/>
    <w:rsid w:val="00643170"/>
    <w:rsid w:val="00643B1D"/>
    <w:rsid w:val="00644495"/>
    <w:rsid w:val="00644796"/>
    <w:rsid w:val="0064552E"/>
    <w:rsid w:val="006457FE"/>
    <w:rsid w:val="0064684C"/>
    <w:rsid w:val="00647898"/>
    <w:rsid w:val="006479ED"/>
    <w:rsid w:val="006527D6"/>
    <w:rsid w:val="00653026"/>
    <w:rsid w:val="006563F3"/>
    <w:rsid w:val="0065746F"/>
    <w:rsid w:val="0065753B"/>
    <w:rsid w:val="00661118"/>
    <w:rsid w:val="00661128"/>
    <w:rsid w:val="00663B37"/>
    <w:rsid w:val="00663B40"/>
    <w:rsid w:val="00664C93"/>
    <w:rsid w:val="0066500A"/>
    <w:rsid w:val="00665185"/>
    <w:rsid w:val="00665855"/>
    <w:rsid w:val="00665D38"/>
    <w:rsid w:val="00665EB9"/>
    <w:rsid w:val="00666146"/>
    <w:rsid w:val="006665E2"/>
    <w:rsid w:val="00666B19"/>
    <w:rsid w:val="00667A2C"/>
    <w:rsid w:val="00670545"/>
    <w:rsid w:val="006714BC"/>
    <w:rsid w:val="00672C31"/>
    <w:rsid w:val="00675069"/>
    <w:rsid w:val="00675431"/>
    <w:rsid w:val="006755C4"/>
    <w:rsid w:val="006758BA"/>
    <w:rsid w:val="006762DD"/>
    <w:rsid w:val="00676CFE"/>
    <w:rsid w:val="00676E60"/>
    <w:rsid w:val="006773E3"/>
    <w:rsid w:val="00677454"/>
    <w:rsid w:val="006774EB"/>
    <w:rsid w:val="00684328"/>
    <w:rsid w:val="0068438D"/>
    <w:rsid w:val="006856A5"/>
    <w:rsid w:val="006866EF"/>
    <w:rsid w:val="00686A0B"/>
    <w:rsid w:val="00687047"/>
    <w:rsid w:val="00687339"/>
    <w:rsid w:val="00687A1C"/>
    <w:rsid w:val="00690111"/>
    <w:rsid w:val="00691B1D"/>
    <w:rsid w:val="00691F6C"/>
    <w:rsid w:val="00692649"/>
    <w:rsid w:val="0069410E"/>
    <w:rsid w:val="00694DD2"/>
    <w:rsid w:val="006950EF"/>
    <w:rsid w:val="006974B9"/>
    <w:rsid w:val="006978F0"/>
    <w:rsid w:val="00697E32"/>
    <w:rsid w:val="006A089F"/>
    <w:rsid w:val="006A0979"/>
    <w:rsid w:val="006A11E0"/>
    <w:rsid w:val="006A1BBA"/>
    <w:rsid w:val="006A3838"/>
    <w:rsid w:val="006A3F06"/>
    <w:rsid w:val="006A4074"/>
    <w:rsid w:val="006A47B5"/>
    <w:rsid w:val="006A50D4"/>
    <w:rsid w:val="006A5AB9"/>
    <w:rsid w:val="006A5F30"/>
    <w:rsid w:val="006A6EEE"/>
    <w:rsid w:val="006A79B7"/>
    <w:rsid w:val="006B080D"/>
    <w:rsid w:val="006B0F37"/>
    <w:rsid w:val="006B192B"/>
    <w:rsid w:val="006B3067"/>
    <w:rsid w:val="006B353F"/>
    <w:rsid w:val="006B4252"/>
    <w:rsid w:val="006B469E"/>
    <w:rsid w:val="006B477F"/>
    <w:rsid w:val="006B5B54"/>
    <w:rsid w:val="006B6FEB"/>
    <w:rsid w:val="006B7AC3"/>
    <w:rsid w:val="006C01B5"/>
    <w:rsid w:val="006C16DA"/>
    <w:rsid w:val="006C1F54"/>
    <w:rsid w:val="006C2249"/>
    <w:rsid w:val="006C2874"/>
    <w:rsid w:val="006C2DB4"/>
    <w:rsid w:val="006C48F6"/>
    <w:rsid w:val="006C71B9"/>
    <w:rsid w:val="006D0554"/>
    <w:rsid w:val="006D0C9D"/>
    <w:rsid w:val="006D1B71"/>
    <w:rsid w:val="006D1D3B"/>
    <w:rsid w:val="006D1E9C"/>
    <w:rsid w:val="006D4775"/>
    <w:rsid w:val="006D60B9"/>
    <w:rsid w:val="006D6C47"/>
    <w:rsid w:val="006D71F1"/>
    <w:rsid w:val="006D7292"/>
    <w:rsid w:val="006E3267"/>
    <w:rsid w:val="006E4266"/>
    <w:rsid w:val="006E4B90"/>
    <w:rsid w:val="006E5667"/>
    <w:rsid w:val="006E6A14"/>
    <w:rsid w:val="006E70DA"/>
    <w:rsid w:val="006E7B87"/>
    <w:rsid w:val="006F0431"/>
    <w:rsid w:val="006F05E0"/>
    <w:rsid w:val="006F094F"/>
    <w:rsid w:val="006F2950"/>
    <w:rsid w:val="006F32F1"/>
    <w:rsid w:val="006F347C"/>
    <w:rsid w:val="006F4410"/>
    <w:rsid w:val="006F5BD4"/>
    <w:rsid w:val="006F6590"/>
    <w:rsid w:val="006F7223"/>
    <w:rsid w:val="006F7B5F"/>
    <w:rsid w:val="0070001F"/>
    <w:rsid w:val="007011AC"/>
    <w:rsid w:val="0070156C"/>
    <w:rsid w:val="0070199E"/>
    <w:rsid w:val="00701B64"/>
    <w:rsid w:val="007030C9"/>
    <w:rsid w:val="00703427"/>
    <w:rsid w:val="00703DF0"/>
    <w:rsid w:val="00704D50"/>
    <w:rsid w:val="00704FD2"/>
    <w:rsid w:val="007069D8"/>
    <w:rsid w:val="0070705A"/>
    <w:rsid w:val="00707175"/>
    <w:rsid w:val="00707D14"/>
    <w:rsid w:val="00707FAC"/>
    <w:rsid w:val="00710127"/>
    <w:rsid w:val="007104D3"/>
    <w:rsid w:val="007104D5"/>
    <w:rsid w:val="00710A57"/>
    <w:rsid w:val="00710BC3"/>
    <w:rsid w:val="00710D87"/>
    <w:rsid w:val="00711744"/>
    <w:rsid w:val="007119FB"/>
    <w:rsid w:val="00711D17"/>
    <w:rsid w:val="00712A92"/>
    <w:rsid w:val="00712BD0"/>
    <w:rsid w:val="00714357"/>
    <w:rsid w:val="00714647"/>
    <w:rsid w:val="007148C6"/>
    <w:rsid w:val="00714F29"/>
    <w:rsid w:val="007151FD"/>
    <w:rsid w:val="00716DA5"/>
    <w:rsid w:val="00717027"/>
    <w:rsid w:val="0071798B"/>
    <w:rsid w:val="00717C81"/>
    <w:rsid w:val="00721295"/>
    <w:rsid w:val="0072168A"/>
    <w:rsid w:val="007216A1"/>
    <w:rsid w:val="00721FE1"/>
    <w:rsid w:val="007222B4"/>
    <w:rsid w:val="00722CCB"/>
    <w:rsid w:val="00723450"/>
    <w:rsid w:val="007238E3"/>
    <w:rsid w:val="00724374"/>
    <w:rsid w:val="00724755"/>
    <w:rsid w:val="007248C0"/>
    <w:rsid w:val="00724E59"/>
    <w:rsid w:val="007250CB"/>
    <w:rsid w:val="007250DC"/>
    <w:rsid w:val="00726441"/>
    <w:rsid w:val="00726F86"/>
    <w:rsid w:val="007305A8"/>
    <w:rsid w:val="00731442"/>
    <w:rsid w:val="0073161E"/>
    <w:rsid w:val="007322AB"/>
    <w:rsid w:val="00733AFA"/>
    <w:rsid w:val="00733CC4"/>
    <w:rsid w:val="0073425D"/>
    <w:rsid w:val="00736295"/>
    <w:rsid w:val="00737194"/>
    <w:rsid w:val="007375FD"/>
    <w:rsid w:val="007407D5"/>
    <w:rsid w:val="007429BC"/>
    <w:rsid w:val="00745843"/>
    <w:rsid w:val="007469DB"/>
    <w:rsid w:val="00746BC8"/>
    <w:rsid w:val="00747C46"/>
    <w:rsid w:val="00747CC7"/>
    <w:rsid w:val="00750812"/>
    <w:rsid w:val="00750829"/>
    <w:rsid w:val="00751EA7"/>
    <w:rsid w:val="00752A19"/>
    <w:rsid w:val="00752F9A"/>
    <w:rsid w:val="00753078"/>
    <w:rsid w:val="00753C91"/>
    <w:rsid w:val="00754A33"/>
    <w:rsid w:val="0075583E"/>
    <w:rsid w:val="007559D3"/>
    <w:rsid w:val="0075605A"/>
    <w:rsid w:val="00756BE8"/>
    <w:rsid w:val="00756E36"/>
    <w:rsid w:val="00756EDA"/>
    <w:rsid w:val="0075759E"/>
    <w:rsid w:val="00757A65"/>
    <w:rsid w:val="00757D01"/>
    <w:rsid w:val="00760F0F"/>
    <w:rsid w:val="00761769"/>
    <w:rsid w:val="0076218E"/>
    <w:rsid w:val="007624D6"/>
    <w:rsid w:val="00762A42"/>
    <w:rsid w:val="00762CB6"/>
    <w:rsid w:val="00762F84"/>
    <w:rsid w:val="00765C9A"/>
    <w:rsid w:val="0076699A"/>
    <w:rsid w:val="00767007"/>
    <w:rsid w:val="00767ABD"/>
    <w:rsid w:val="00767B67"/>
    <w:rsid w:val="00771390"/>
    <w:rsid w:val="00774588"/>
    <w:rsid w:val="00775B96"/>
    <w:rsid w:val="00777B26"/>
    <w:rsid w:val="00780521"/>
    <w:rsid w:val="00780574"/>
    <w:rsid w:val="007825BC"/>
    <w:rsid w:val="00782839"/>
    <w:rsid w:val="00782E8A"/>
    <w:rsid w:val="007845BE"/>
    <w:rsid w:val="007846CA"/>
    <w:rsid w:val="007849B9"/>
    <w:rsid w:val="00785E2E"/>
    <w:rsid w:val="00786C39"/>
    <w:rsid w:val="0078702E"/>
    <w:rsid w:val="0078722B"/>
    <w:rsid w:val="007876CA"/>
    <w:rsid w:val="00787BD1"/>
    <w:rsid w:val="007908EB"/>
    <w:rsid w:val="00790C10"/>
    <w:rsid w:val="00790C5A"/>
    <w:rsid w:val="00791F1B"/>
    <w:rsid w:val="007948BB"/>
    <w:rsid w:val="00795214"/>
    <w:rsid w:val="007968A1"/>
    <w:rsid w:val="007971CA"/>
    <w:rsid w:val="0079764A"/>
    <w:rsid w:val="007A0666"/>
    <w:rsid w:val="007A0D68"/>
    <w:rsid w:val="007A10A1"/>
    <w:rsid w:val="007A1C75"/>
    <w:rsid w:val="007A30C2"/>
    <w:rsid w:val="007A3A88"/>
    <w:rsid w:val="007A4327"/>
    <w:rsid w:val="007A5022"/>
    <w:rsid w:val="007A635F"/>
    <w:rsid w:val="007A6595"/>
    <w:rsid w:val="007A70E2"/>
    <w:rsid w:val="007A7A6A"/>
    <w:rsid w:val="007B03E5"/>
    <w:rsid w:val="007B07D4"/>
    <w:rsid w:val="007B0B61"/>
    <w:rsid w:val="007B13F8"/>
    <w:rsid w:val="007B1729"/>
    <w:rsid w:val="007B26EB"/>
    <w:rsid w:val="007B2ADE"/>
    <w:rsid w:val="007B2E36"/>
    <w:rsid w:val="007B3624"/>
    <w:rsid w:val="007B43F3"/>
    <w:rsid w:val="007B71A3"/>
    <w:rsid w:val="007C036F"/>
    <w:rsid w:val="007C052F"/>
    <w:rsid w:val="007C099F"/>
    <w:rsid w:val="007C1219"/>
    <w:rsid w:val="007C1820"/>
    <w:rsid w:val="007C2117"/>
    <w:rsid w:val="007C267F"/>
    <w:rsid w:val="007C4FC5"/>
    <w:rsid w:val="007C5509"/>
    <w:rsid w:val="007C58F5"/>
    <w:rsid w:val="007C5F86"/>
    <w:rsid w:val="007C686B"/>
    <w:rsid w:val="007D162E"/>
    <w:rsid w:val="007D1976"/>
    <w:rsid w:val="007D248C"/>
    <w:rsid w:val="007D2C01"/>
    <w:rsid w:val="007D313B"/>
    <w:rsid w:val="007D33E4"/>
    <w:rsid w:val="007D34B6"/>
    <w:rsid w:val="007D3DF8"/>
    <w:rsid w:val="007D499E"/>
    <w:rsid w:val="007D5DE3"/>
    <w:rsid w:val="007D6AE6"/>
    <w:rsid w:val="007D6B45"/>
    <w:rsid w:val="007E0FA9"/>
    <w:rsid w:val="007E1C82"/>
    <w:rsid w:val="007E2CC3"/>
    <w:rsid w:val="007E7593"/>
    <w:rsid w:val="007F06B4"/>
    <w:rsid w:val="007F101E"/>
    <w:rsid w:val="007F19B7"/>
    <w:rsid w:val="007F1EF4"/>
    <w:rsid w:val="007F2006"/>
    <w:rsid w:val="007F29A4"/>
    <w:rsid w:val="007F29E4"/>
    <w:rsid w:val="007F2F25"/>
    <w:rsid w:val="007F32BD"/>
    <w:rsid w:val="007F46C6"/>
    <w:rsid w:val="007F4E5E"/>
    <w:rsid w:val="007F53C1"/>
    <w:rsid w:val="007F5EDC"/>
    <w:rsid w:val="007F612D"/>
    <w:rsid w:val="007F6B22"/>
    <w:rsid w:val="0080012D"/>
    <w:rsid w:val="00800365"/>
    <w:rsid w:val="00801FEA"/>
    <w:rsid w:val="00802BFB"/>
    <w:rsid w:val="008042AC"/>
    <w:rsid w:val="00810242"/>
    <w:rsid w:val="0081062D"/>
    <w:rsid w:val="008107BC"/>
    <w:rsid w:val="0081080B"/>
    <w:rsid w:val="00810902"/>
    <w:rsid w:val="00812137"/>
    <w:rsid w:val="00813451"/>
    <w:rsid w:val="00813677"/>
    <w:rsid w:val="008136FE"/>
    <w:rsid w:val="00813F35"/>
    <w:rsid w:val="00814D6F"/>
    <w:rsid w:val="00816998"/>
    <w:rsid w:val="00816FF8"/>
    <w:rsid w:val="00817C4A"/>
    <w:rsid w:val="0082194D"/>
    <w:rsid w:val="008234A6"/>
    <w:rsid w:val="0082397C"/>
    <w:rsid w:val="0082414A"/>
    <w:rsid w:val="00824DD5"/>
    <w:rsid w:val="008251AF"/>
    <w:rsid w:val="00825BBB"/>
    <w:rsid w:val="008267DA"/>
    <w:rsid w:val="008271B9"/>
    <w:rsid w:val="008307DE"/>
    <w:rsid w:val="00830A41"/>
    <w:rsid w:val="00830A4C"/>
    <w:rsid w:val="0083137D"/>
    <w:rsid w:val="008315DE"/>
    <w:rsid w:val="008333B0"/>
    <w:rsid w:val="0083353F"/>
    <w:rsid w:val="00833E14"/>
    <w:rsid w:val="00836803"/>
    <w:rsid w:val="00836B7C"/>
    <w:rsid w:val="00837454"/>
    <w:rsid w:val="008374CA"/>
    <w:rsid w:val="00837528"/>
    <w:rsid w:val="008400F5"/>
    <w:rsid w:val="00840B44"/>
    <w:rsid w:val="00840D7B"/>
    <w:rsid w:val="00842FC9"/>
    <w:rsid w:val="0084320C"/>
    <w:rsid w:val="008434D9"/>
    <w:rsid w:val="00843F64"/>
    <w:rsid w:val="00845AA2"/>
    <w:rsid w:val="00846239"/>
    <w:rsid w:val="00847B32"/>
    <w:rsid w:val="008504F3"/>
    <w:rsid w:val="00851157"/>
    <w:rsid w:val="00851E1E"/>
    <w:rsid w:val="0085230F"/>
    <w:rsid w:val="00852AF1"/>
    <w:rsid w:val="008534E3"/>
    <w:rsid w:val="00853A6E"/>
    <w:rsid w:val="00853C38"/>
    <w:rsid w:val="00855EED"/>
    <w:rsid w:val="008561CE"/>
    <w:rsid w:val="00856AE6"/>
    <w:rsid w:val="00856B53"/>
    <w:rsid w:val="008625CE"/>
    <w:rsid w:val="00863A51"/>
    <w:rsid w:val="00863BDF"/>
    <w:rsid w:val="0086426C"/>
    <w:rsid w:val="00867EAE"/>
    <w:rsid w:val="008718EB"/>
    <w:rsid w:val="00871BBE"/>
    <w:rsid w:val="00871C66"/>
    <w:rsid w:val="008721F0"/>
    <w:rsid w:val="008728B3"/>
    <w:rsid w:val="00872A18"/>
    <w:rsid w:val="00873C1C"/>
    <w:rsid w:val="00873DC4"/>
    <w:rsid w:val="008741A1"/>
    <w:rsid w:val="008744FF"/>
    <w:rsid w:val="00874744"/>
    <w:rsid w:val="00875739"/>
    <w:rsid w:val="0087612F"/>
    <w:rsid w:val="008765D8"/>
    <w:rsid w:val="00876BE5"/>
    <w:rsid w:val="0088017B"/>
    <w:rsid w:val="00881E08"/>
    <w:rsid w:val="008836CC"/>
    <w:rsid w:val="008839C6"/>
    <w:rsid w:val="00884068"/>
    <w:rsid w:val="0088599F"/>
    <w:rsid w:val="00885B21"/>
    <w:rsid w:val="00886721"/>
    <w:rsid w:val="00886C85"/>
    <w:rsid w:val="00887624"/>
    <w:rsid w:val="0088794A"/>
    <w:rsid w:val="0088799B"/>
    <w:rsid w:val="008903C1"/>
    <w:rsid w:val="008915EB"/>
    <w:rsid w:val="00892785"/>
    <w:rsid w:val="0089457C"/>
    <w:rsid w:val="00894E28"/>
    <w:rsid w:val="00894E29"/>
    <w:rsid w:val="00896C4E"/>
    <w:rsid w:val="008975BB"/>
    <w:rsid w:val="008A0372"/>
    <w:rsid w:val="008A0850"/>
    <w:rsid w:val="008A0E65"/>
    <w:rsid w:val="008A14EF"/>
    <w:rsid w:val="008A1C40"/>
    <w:rsid w:val="008A1D74"/>
    <w:rsid w:val="008A39C6"/>
    <w:rsid w:val="008A3EDA"/>
    <w:rsid w:val="008A44D3"/>
    <w:rsid w:val="008A4889"/>
    <w:rsid w:val="008A5DE4"/>
    <w:rsid w:val="008A5F0E"/>
    <w:rsid w:val="008A725D"/>
    <w:rsid w:val="008A7CD1"/>
    <w:rsid w:val="008B1728"/>
    <w:rsid w:val="008B1787"/>
    <w:rsid w:val="008B296E"/>
    <w:rsid w:val="008B3999"/>
    <w:rsid w:val="008B449C"/>
    <w:rsid w:val="008B504E"/>
    <w:rsid w:val="008B5BFE"/>
    <w:rsid w:val="008B5CBD"/>
    <w:rsid w:val="008B5E1E"/>
    <w:rsid w:val="008B6F35"/>
    <w:rsid w:val="008B7A29"/>
    <w:rsid w:val="008C02DA"/>
    <w:rsid w:val="008C22BB"/>
    <w:rsid w:val="008C285C"/>
    <w:rsid w:val="008C3640"/>
    <w:rsid w:val="008C43DC"/>
    <w:rsid w:val="008C46A9"/>
    <w:rsid w:val="008C46DC"/>
    <w:rsid w:val="008C4BA7"/>
    <w:rsid w:val="008C5200"/>
    <w:rsid w:val="008C61E3"/>
    <w:rsid w:val="008D1732"/>
    <w:rsid w:val="008D24CD"/>
    <w:rsid w:val="008D28FC"/>
    <w:rsid w:val="008D2A41"/>
    <w:rsid w:val="008D2F3F"/>
    <w:rsid w:val="008D3ABD"/>
    <w:rsid w:val="008D3C53"/>
    <w:rsid w:val="008D56F6"/>
    <w:rsid w:val="008D6E17"/>
    <w:rsid w:val="008E0D22"/>
    <w:rsid w:val="008E108D"/>
    <w:rsid w:val="008E12C2"/>
    <w:rsid w:val="008E2687"/>
    <w:rsid w:val="008E56F3"/>
    <w:rsid w:val="008E57BA"/>
    <w:rsid w:val="008E7E14"/>
    <w:rsid w:val="008F191E"/>
    <w:rsid w:val="008F1D25"/>
    <w:rsid w:val="008F20D2"/>
    <w:rsid w:val="008F233A"/>
    <w:rsid w:val="008F2804"/>
    <w:rsid w:val="008F3418"/>
    <w:rsid w:val="008F4549"/>
    <w:rsid w:val="008F5C0E"/>
    <w:rsid w:val="008F6A3F"/>
    <w:rsid w:val="00900356"/>
    <w:rsid w:val="00902598"/>
    <w:rsid w:val="00903F1F"/>
    <w:rsid w:val="0090558C"/>
    <w:rsid w:val="00906397"/>
    <w:rsid w:val="009068A3"/>
    <w:rsid w:val="00907313"/>
    <w:rsid w:val="00907507"/>
    <w:rsid w:val="0091045E"/>
    <w:rsid w:val="009108CF"/>
    <w:rsid w:val="00911557"/>
    <w:rsid w:val="0091289C"/>
    <w:rsid w:val="00912940"/>
    <w:rsid w:val="00912C15"/>
    <w:rsid w:val="00913B4B"/>
    <w:rsid w:val="00913D44"/>
    <w:rsid w:val="00913E14"/>
    <w:rsid w:val="009140E3"/>
    <w:rsid w:val="00914935"/>
    <w:rsid w:val="00914958"/>
    <w:rsid w:val="00914DF5"/>
    <w:rsid w:val="00916875"/>
    <w:rsid w:val="009178A7"/>
    <w:rsid w:val="00920149"/>
    <w:rsid w:val="00922D25"/>
    <w:rsid w:val="0092321F"/>
    <w:rsid w:val="0092361B"/>
    <w:rsid w:val="00923D58"/>
    <w:rsid w:val="00923F8F"/>
    <w:rsid w:val="00924CC9"/>
    <w:rsid w:val="00925525"/>
    <w:rsid w:val="00925EE2"/>
    <w:rsid w:val="0092745A"/>
    <w:rsid w:val="0092765A"/>
    <w:rsid w:val="00930DDF"/>
    <w:rsid w:val="00930EB8"/>
    <w:rsid w:val="00931588"/>
    <w:rsid w:val="009317AA"/>
    <w:rsid w:val="00932114"/>
    <w:rsid w:val="00932A59"/>
    <w:rsid w:val="00934022"/>
    <w:rsid w:val="0093496B"/>
    <w:rsid w:val="0093513C"/>
    <w:rsid w:val="00935541"/>
    <w:rsid w:val="0094161A"/>
    <w:rsid w:val="00944EAE"/>
    <w:rsid w:val="00945209"/>
    <w:rsid w:val="00946898"/>
    <w:rsid w:val="00946C25"/>
    <w:rsid w:val="00946E39"/>
    <w:rsid w:val="00947596"/>
    <w:rsid w:val="00947FD5"/>
    <w:rsid w:val="00950C85"/>
    <w:rsid w:val="0095146A"/>
    <w:rsid w:val="009514AE"/>
    <w:rsid w:val="0095254C"/>
    <w:rsid w:val="00953DF3"/>
    <w:rsid w:val="00954D19"/>
    <w:rsid w:val="00955217"/>
    <w:rsid w:val="0095555A"/>
    <w:rsid w:val="00955AFF"/>
    <w:rsid w:val="00955F70"/>
    <w:rsid w:val="00960AAB"/>
    <w:rsid w:val="009610DC"/>
    <w:rsid w:val="0096213B"/>
    <w:rsid w:val="009639C6"/>
    <w:rsid w:val="00963C10"/>
    <w:rsid w:val="00964649"/>
    <w:rsid w:val="00964DDA"/>
    <w:rsid w:val="00965133"/>
    <w:rsid w:val="009654F4"/>
    <w:rsid w:val="00966455"/>
    <w:rsid w:val="0096765D"/>
    <w:rsid w:val="0097175B"/>
    <w:rsid w:val="00973C2D"/>
    <w:rsid w:val="00973DBC"/>
    <w:rsid w:val="00973EA3"/>
    <w:rsid w:val="00976A1A"/>
    <w:rsid w:val="00976BE6"/>
    <w:rsid w:val="00977766"/>
    <w:rsid w:val="00977B76"/>
    <w:rsid w:val="00977F43"/>
    <w:rsid w:val="009800F8"/>
    <w:rsid w:val="0098012B"/>
    <w:rsid w:val="009807FD"/>
    <w:rsid w:val="009808A5"/>
    <w:rsid w:val="00980C45"/>
    <w:rsid w:val="00980E15"/>
    <w:rsid w:val="00982563"/>
    <w:rsid w:val="00982E29"/>
    <w:rsid w:val="009832C6"/>
    <w:rsid w:val="0098350F"/>
    <w:rsid w:val="00983D1D"/>
    <w:rsid w:val="009843DF"/>
    <w:rsid w:val="00984596"/>
    <w:rsid w:val="00986232"/>
    <w:rsid w:val="00986D84"/>
    <w:rsid w:val="00986EA8"/>
    <w:rsid w:val="00987621"/>
    <w:rsid w:val="00990BC6"/>
    <w:rsid w:val="00990BE5"/>
    <w:rsid w:val="00990CCC"/>
    <w:rsid w:val="00991431"/>
    <w:rsid w:val="00991868"/>
    <w:rsid w:val="009918F1"/>
    <w:rsid w:val="00993F21"/>
    <w:rsid w:val="00994092"/>
    <w:rsid w:val="0099413B"/>
    <w:rsid w:val="0099565C"/>
    <w:rsid w:val="0099568A"/>
    <w:rsid w:val="009957CE"/>
    <w:rsid w:val="00996591"/>
    <w:rsid w:val="00996C33"/>
    <w:rsid w:val="009975BA"/>
    <w:rsid w:val="009A01FE"/>
    <w:rsid w:val="009A085F"/>
    <w:rsid w:val="009A2065"/>
    <w:rsid w:val="009A424F"/>
    <w:rsid w:val="009A52BF"/>
    <w:rsid w:val="009A5D0B"/>
    <w:rsid w:val="009A61A0"/>
    <w:rsid w:val="009A7F3F"/>
    <w:rsid w:val="009B074F"/>
    <w:rsid w:val="009B082E"/>
    <w:rsid w:val="009B0863"/>
    <w:rsid w:val="009B13B9"/>
    <w:rsid w:val="009B2CB4"/>
    <w:rsid w:val="009B47F7"/>
    <w:rsid w:val="009B502C"/>
    <w:rsid w:val="009B6E8C"/>
    <w:rsid w:val="009B7A22"/>
    <w:rsid w:val="009B7AEF"/>
    <w:rsid w:val="009B7D4A"/>
    <w:rsid w:val="009C05A3"/>
    <w:rsid w:val="009C0769"/>
    <w:rsid w:val="009C1300"/>
    <w:rsid w:val="009C24B6"/>
    <w:rsid w:val="009C2AD7"/>
    <w:rsid w:val="009C5871"/>
    <w:rsid w:val="009C5A4B"/>
    <w:rsid w:val="009D2296"/>
    <w:rsid w:val="009D25D7"/>
    <w:rsid w:val="009D31E4"/>
    <w:rsid w:val="009D3F20"/>
    <w:rsid w:val="009D4773"/>
    <w:rsid w:val="009D49B8"/>
    <w:rsid w:val="009D5B22"/>
    <w:rsid w:val="009D5D64"/>
    <w:rsid w:val="009D5F7F"/>
    <w:rsid w:val="009D64E8"/>
    <w:rsid w:val="009D771C"/>
    <w:rsid w:val="009E0ED9"/>
    <w:rsid w:val="009E1D43"/>
    <w:rsid w:val="009E2232"/>
    <w:rsid w:val="009E27BA"/>
    <w:rsid w:val="009E3D01"/>
    <w:rsid w:val="009E4E38"/>
    <w:rsid w:val="009E5578"/>
    <w:rsid w:val="009E57BD"/>
    <w:rsid w:val="009E69E8"/>
    <w:rsid w:val="009E6CDE"/>
    <w:rsid w:val="009E7744"/>
    <w:rsid w:val="009E7E98"/>
    <w:rsid w:val="009F0459"/>
    <w:rsid w:val="009F20F3"/>
    <w:rsid w:val="009F3AF3"/>
    <w:rsid w:val="009F3F6A"/>
    <w:rsid w:val="009F493F"/>
    <w:rsid w:val="009F4D65"/>
    <w:rsid w:val="009F58F6"/>
    <w:rsid w:val="009F6157"/>
    <w:rsid w:val="009F6532"/>
    <w:rsid w:val="009F6B48"/>
    <w:rsid w:val="009F6FD4"/>
    <w:rsid w:val="009F749C"/>
    <w:rsid w:val="00A003FF"/>
    <w:rsid w:val="00A01223"/>
    <w:rsid w:val="00A036AC"/>
    <w:rsid w:val="00A04E7D"/>
    <w:rsid w:val="00A04F31"/>
    <w:rsid w:val="00A04F38"/>
    <w:rsid w:val="00A058CA"/>
    <w:rsid w:val="00A05901"/>
    <w:rsid w:val="00A05AA2"/>
    <w:rsid w:val="00A062CB"/>
    <w:rsid w:val="00A07500"/>
    <w:rsid w:val="00A07934"/>
    <w:rsid w:val="00A10E13"/>
    <w:rsid w:val="00A110F0"/>
    <w:rsid w:val="00A1114E"/>
    <w:rsid w:val="00A11234"/>
    <w:rsid w:val="00A1178D"/>
    <w:rsid w:val="00A1289A"/>
    <w:rsid w:val="00A13E7D"/>
    <w:rsid w:val="00A145EB"/>
    <w:rsid w:val="00A154C0"/>
    <w:rsid w:val="00A1560A"/>
    <w:rsid w:val="00A15B4A"/>
    <w:rsid w:val="00A16A79"/>
    <w:rsid w:val="00A17178"/>
    <w:rsid w:val="00A172D0"/>
    <w:rsid w:val="00A21327"/>
    <w:rsid w:val="00A22E43"/>
    <w:rsid w:val="00A23823"/>
    <w:rsid w:val="00A23A39"/>
    <w:rsid w:val="00A25A12"/>
    <w:rsid w:val="00A25B54"/>
    <w:rsid w:val="00A27548"/>
    <w:rsid w:val="00A278F0"/>
    <w:rsid w:val="00A33CB3"/>
    <w:rsid w:val="00A33E8D"/>
    <w:rsid w:val="00A3416B"/>
    <w:rsid w:val="00A341A3"/>
    <w:rsid w:val="00A34FD5"/>
    <w:rsid w:val="00A36726"/>
    <w:rsid w:val="00A37136"/>
    <w:rsid w:val="00A37BAC"/>
    <w:rsid w:val="00A37DA4"/>
    <w:rsid w:val="00A40664"/>
    <w:rsid w:val="00A41BFC"/>
    <w:rsid w:val="00A43225"/>
    <w:rsid w:val="00A445BC"/>
    <w:rsid w:val="00A44E12"/>
    <w:rsid w:val="00A44F87"/>
    <w:rsid w:val="00A4509B"/>
    <w:rsid w:val="00A456A2"/>
    <w:rsid w:val="00A46763"/>
    <w:rsid w:val="00A468BD"/>
    <w:rsid w:val="00A46C6B"/>
    <w:rsid w:val="00A47493"/>
    <w:rsid w:val="00A47D32"/>
    <w:rsid w:val="00A50C3F"/>
    <w:rsid w:val="00A518C1"/>
    <w:rsid w:val="00A518C6"/>
    <w:rsid w:val="00A519DE"/>
    <w:rsid w:val="00A52D5D"/>
    <w:rsid w:val="00A530AD"/>
    <w:rsid w:val="00A536EB"/>
    <w:rsid w:val="00A53E3E"/>
    <w:rsid w:val="00A542DE"/>
    <w:rsid w:val="00A546F8"/>
    <w:rsid w:val="00A552F4"/>
    <w:rsid w:val="00A56726"/>
    <w:rsid w:val="00A57076"/>
    <w:rsid w:val="00A573FA"/>
    <w:rsid w:val="00A57923"/>
    <w:rsid w:val="00A60988"/>
    <w:rsid w:val="00A60B8D"/>
    <w:rsid w:val="00A61206"/>
    <w:rsid w:val="00A61590"/>
    <w:rsid w:val="00A61932"/>
    <w:rsid w:val="00A637E6"/>
    <w:rsid w:val="00A65568"/>
    <w:rsid w:val="00A655D8"/>
    <w:rsid w:val="00A67C2B"/>
    <w:rsid w:val="00A70234"/>
    <w:rsid w:val="00A703FA"/>
    <w:rsid w:val="00A706AF"/>
    <w:rsid w:val="00A7070B"/>
    <w:rsid w:val="00A713FF"/>
    <w:rsid w:val="00A71694"/>
    <w:rsid w:val="00A71A4B"/>
    <w:rsid w:val="00A71CD4"/>
    <w:rsid w:val="00A7238D"/>
    <w:rsid w:val="00A72B92"/>
    <w:rsid w:val="00A73438"/>
    <w:rsid w:val="00A74142"/>
    <w:rsid w:val="00A760E6"/>
    <w:rsid w:val="00A766F6"/>
    <w:rsid w:val="00A76855"/>
    <w:rsid w:val="00A77153"/>
    <w:rsid w:val="00A81536"/>
    <w:rsid w:val="00A826C4"/>
    <w:rsid w:val="00A82898"/>
    <w:rsid w:val="00A82A0A"/>
    <w:rsid w:val="00A833F6"/>
    <w:rsid w:val="00A838C8"/>
    <w:rsid w:val="00A83966"/>
    <w:rsid w:val="00A851F6"/>
    <w:rsid w:val="00A85B67"/>
    <w:rsid w:val="00A85C36"/>
    <w:rsid w:val="00A863A2"/>
    <w:rsid w:val="00A86EF0"/>
    <w:rsid w:val="00A87352"/>
    <w:rsid w:val="00A878EA"/>
    <w:rsid w:val="00A87C54"/>
    <w:rsid w:val="00A91806"/>
    <w:rsid w:val="00A91C67"/>
    <w:rsid w:val="00A92BD9"/>
    <w:rsid w:val="00A934AD"/>
    <w:rsid w:val="00A93C4E"/>
    <w:rsid w:val="00A94B3D"/>
    <w:rsid w:val="00A94D0B"/>
    <w:rsid w:val="00A94E75"/>
    <w:rsid w:val="00A96814"/>
    <w:rsid w:val="00A96F62"/>
    <w:rsid w:val="00A97219"/>
    <w:rsid w:val="00A97221"/>
    <w:rsid w:val="00A973AF"/>
    <w:rsid w:val="00A97514"/>
    <w:rsid w:val="00AA01DB"/>
    <w:rsid w:val="00AA2BEA"/>
    <w:rsid w:val="00AA2BF4"/>
    <w:rsid w:val="00AA40C0"/>
    <w:rsid w:val="00AA42FE"/>
    <w:rsid w:val="00AA53EF"/>
    <w:rsid w:val="00AA58BA"/>
    <w:rsid w:val="00AA6214"/>
    <w:rsid w:val="00AA64E6"/>
    <w:rsid w:val="00AA75E7"/>
    <w:rsid w:val="00AB09A3"/>
    <w:rsid w:val="00AB10FE"/>
    <w:rsid w:val="00AB3184"/>
    <w:rsid w:val="00AB3D73"/>
    <w:rsid w:val="00AB48F7"/>
    <w:rsid w:val="00AB5362"/>
    <w:rsid w:val="00AB5487"/>
    <w:rsid w:val="00AB6278"/>
    <w:rsid w:val="00AB742A"/>
    <w:rsid w:val="00AB76C3"/>
    <w:rsid w:val="00AB78B0"/>
    <w:rsid w:val="00AB7D47"/>
    <w:rsid w:val="00AC2570"/>
    <w:rsid w:val="00AC4C08"/>
    <w:rsid w:val="00AC644D"/>
    <w:rsid w:val="00AC64C2"/>
    <w:rsid w:val="00AC7879"/>
    <w:rsid w:val="00AC7B02"/>
    <w:rsid w:val="00AD019E"/>
    <w:rsid w:val="00AD083E"/>
    <w:rsid w:val="00AD0F11"/>
    <w:rsid w:val="00AD1A13"/>
    <w:rsid w:val="00AD1CB4"/>
    <w:rsid w:val="00AD2417"/>
    <w:rsid w:val="00AD3496"/>
    <w:rsid w:val="00AD3BF9"/>
    <w:rsid w:val="00AD53E9"/>
    <w:rsid w:val="00AD6855"/>
    <w:rsid w:val="00AE0393"/>
    <w:rsid w:val="00AE088E"/>
    <w:rsid w:val="00AE09F2"/>
    <w:rsid w:val="00AE1880"/>
    <w:rsid w:val="00AE1E3E"/>
    <w:rsid w:val="00AE210C"/>
    <w:rsid w:val="00AE2696"/>
    <w:rsid w:val="00AE2D36"/>
    <w:rsid w:val="00AE2E40"/>
    <w:rsid w:val="00AE663E"/>
    <w:rsid w:val="00AE70CC"/>
    <w:rsid w:val="00AF0D61"/>
    <w:rsid w:val="00AF10BA"/>
    <w:rsid w:val="00AF1DDD"/>
    <w:rsid w:val="00AF4B91"/>
    <w:rsid w:val="00AF4BEC"/>
    <w:rsid w:val="00AF50AD"/>
    <w:rsid w:val="00AF5D82"/>
    <w:rsid w:val="00AF6975"/>
    <w:rsid w:val="00AF71D6"/>
    <w:rsid w:val="00AF7861"/>
    <w:rsid w:val="00AF7BE5"/>
    <w:rsid w:val="00B007FD"/>
    <w:rsid w:val="00B01406"/>
    <w:rsid w:val="00B04347"/>
    <w:rsid w:val="00B04C69"/>
    <w:rsid w:val="00B054AB"/>
    <w:rsid w:val="00B05F1F"/>
    <w:rsid w:val="00B0669A"/>
    <w:rsid w:val="00B076EF"/>
    <w:rsid w:val="00B108C8"/>
    <w:rsid w:val="00B10EE0"/>
    <w:rsid w:val="00B11845"/>
    <w:rsid w:val="00B123A5"/>
    <w:rsid w:val="00B123D8"/>
    <w:rsid w:val="00B12436"/>
    <w:rsid w:val="00B1467A"/>
    <w:rsid w:val="00B15255"/>
    <w:rsid w:val="00B15D73"/>
    <w:rsid w:val="00B16941"/>
    <w:rsid w:val="00B16B56"/>
    <w:rsid w:val="00B17D00"/>
    <w:rsid w:val="00B20B19"/>
    <w:rsid w:val="00B20B32"/>
    <w:rsid w:val="00B21199"/>
    <w:rsid w:val="00B211C4"/>
    <w:rsid w:val="00B22460"/>
    <w:rsid w:val="00B23C9F"/>
    <w:rsid w:val="00B243FB"/>
    <w:rsid w:val="00B248C5"/>
    <w:rsid w:val="00B25F3C"/>
    <w:rsid w:val="00B26515"/>
    <w:rsid w:val="00B26823"/>
    <w:rsid w:val="00B2747F"/>
    <w:rsid w:val="00B3122B"/>
    <w:rsid w:val="00B3368E"/>
    <w:rsid w:val="00B33865"/>
    <w:rsid w:val="00B35716"/>
    <w:rsid w:val="00B36B37"/>
    <w:rsid w:val="00B36D39"/>
    <w:rsid w:val="00B36F66"/>
    <w:rsid w:val="00B37691"/>
    <w:rsid w:val="00B37762"/>
    <w:rsid w:val="00B401AC"/>
    <w:rsid w:val="00B40706"/>
    <w:rsid w:val="00B4076C"/>
    <w:rsid w:val="00B40C1D"/>
    <w:rsid w:val="00B4127D"/>
    <w:rsid w:val="00B41463"/>
    <w:rsid w:val="00B41D0C"/>
    <w:rsid w:val="00B42533"/>
    <w:rsid w:val="00B42946"/>
    <w:rsid w:val="00B42FBE"/>
    <w:rsid w:val="00B43191"/>
    <w:rsid w:val="00B4408F"/>
    <w:rsid w:val="00B4669C"/>
    <w:rsid w:val="00B46840"/>
    <w:rsid w:val="00B470F8"/>
    <w:rsid w:val="00B472C5"/>
    <w:rsid w:val="00B47E5C"/>
    <w:rsid w:val="00B502F4"/>
    <w:rsid w:val="00B50345"/>
    <w:rsid w:val="00B50C68"/>
    <w:rsid w:val="00B519F6"/>
    <w:rsid w:val="00B51C71"/>
    <w:rsid w:val="00B52101"/>
    <w:rsid w:val="00B52A6D"/>
    <w:rsid w:val="00B53260"/>
    <w:rsid w:val="00B535CA"/>
    <w:rsid w:val="00B53886"/>
    <w:rsid w:val="00B53AFC"/>
    <w:rsid w:val="00B5438F"/>
    <w:rsid w:val="00B549A2"/>
    <w:rsid w:val="00B5614E"/>
    <w:rsid w:val="00B56595"/>
    <w:rsid w:val="00B5727F"/>
    <w:rsid w:val="00B57589"/>
    <w:rsid w:val="00B61C48"/>
    <w:rsid w:val="00B62365"/>
    <w:rsid w:val="00B637C0"/>
    <w:rsid w:val="00B64973"/>
    <w:rsid w:val="00B65670"/>
    <w:rsid w:val="00B6567B"/>
    <w:rsid w:val="00B657B4"/>
    <w:rsid w:val="00B658EF"/>
    <w:rsid w:val="00B662B9"/>
    <w:rsid w:val="00B66789"/>
    <w:rsid w:val="00B67DE8"/>
    <w:rsid w:val="00B71D55"/>
    <w:rsid w:val="00B72628"/>
    <w:rsid w:val="00B72F58"/>
    <w:rsid w:val="00B75518"/>
    <w:rsid w:val="00B75E80"/>
    <w:rsid w:val="00B80286"/>
    <w:rsid w:val="00B80FCF"/>
    <w:rsid w:val="00B81488"/>
    <w:rsid w:val="00B8243B"/>
    <w:rsid w:val="00B82AF5"/>
    <w:rsid w:val="00B82D0F"/>
    <w:rsid w:val="00B836FC"/>
    <w:rsid w:val="00B8378C"/>
    <w:rsid w:val="00B83ADB"/>
    <w:rsid w:val="00B8410F"/>
    <w:rsid w:val="00B845EA"/>
    <w:rsid w:val="00B857EF"/>
    <w:rsid w:val="00B85AB8"/>
    <w:rsid w:val="00B86364"/>
    <w:rsid w:val="00B87A5A"/>
    <w:rsid w:val="00B90B6F"/>
    <w:rsid w:val="00B91204"/>
    <w:rsid w:val="00B9179E"/>
    <w:rsid w:val="00B91870"/>
    <w:rsid w:val="00B92780"/>
    <w:rsid w:val="00B92CC8"/>
    <w:rsid w:val="00B93901"/>
    <w:rsid w:val="00B93E00"/>
    <w:rsid w:val="00B9544C"/>
    <w:rsid w:val="00B9547E"/>
    <w:rsid w:val="00B95E03"/>
    <w:rsid w:val="00B95F52"/>
    <w:rsid w:val="00B97D38"/>
    <w:rsid w:val="00BA0142"/>
    <w:rsid w:val="00BA12DA"/>
    <w:rsid w:val="00BA28BD"/>
    <w:rsid w:val="00BA2AAC"/>
    <w:rsid w:val="00BA3068"/>
    <w:rsid w:val="00BA36E6"/>
    <w:rsid w:val="00BA3D47"/>
    <w:rsid w:val="00BA59ED"/>
    <w:rsid w:val="00BA611D"/>
    <w:rsid w:val="00BA6763"/>
    <w:rsid w:val="00BB093D"/>
    <w:rsid w:val="00BB0CA9"/>
    <w:rsid w:val="00BB1201"/>
    <w:rsid w:val="00BB1C01"/>
    <w:rsid w:val="00BB2317"/>
    <w:rsid w:val="00BB23B6"/>
    <w:rsid w:val="00BB2636"/>
    <w:rsid w:val="00BB2736"/>
    <w:rsid w:val="00BB2868"/>
    <w:rsid w:val="00BB3669"/>
    <w:rsid w:val="00BB4B94"/>
    <w:rsid w:val="00BB5D9C"/>
    <w:rsid w:val="00BB677E"/>
    <w:rsid w:val="00BB6C67"/>
    <w:rsid w:val="00BB7774"/>
    <w:rsid w:val="00BC0343"/>
    <w:rsid w:val="00BC0695"/>
    <w:rsid w:val="00BC08C5"/>
    <w:rsid w:val="00BC0D7B"/>
    <w:rsid w:val="00BC0DC1"/>
    <w:rsid w:val="00BC1916"/>
    <w:rsid w:val="00BC3380"/>
    <w:rsid w:val="00BC36B7"/>
    <w:rsid w:val="00BC53EE"/>
    <w:rsid w:val="00BC5A3F"/>
    <w:rsid w:val="00BC5E6C"/>
    <w:rsid w:val="00BC679A"/>
    <w:rsid w:val="00BC6DDF"/>
    <w:rsid w:val="00BC769A"/>
    <w:rsid w:val="00BD088D"/>
    <w:rsid w:val="00BD1675"/>
    <w:rsid w:val="00BD1697"/>
    <w:rsid w:val="00BD18FF"/>
    <w:rsid w:val="00BD1A0E"/>
    <w:rsid w:val="00BD275A"/>
    <w:rsid w:val="00BD297E"/>
    <w:rsid w:val="00BD2F8B"/>
    <w:rsid w:val="00BD2FCF"/>
    <w:rsid w:val="00BD4152"/>
    <w:rsid w:val="00BD45BB"/>
    <w:rsid w:val="00BD4BFD"/>
    <w:rsid w:val="00BD4D0A"/>
    <w:rsid w:val="00BD553B"/>
    <w:rsid w:val="00BD5763"/>
    <w:rsid w:val="00BD58EE"/>
    <w:rsid w:val="00BE061F"/>
    <w:rsid w:val="00BE1FEB"/>
    <w:rsid w:val="00BE2B1C"/>
    <w:rsid w:val="00BE2E88"/>
    <w:rsid w:val="00BE308D"/>
    <w:rsid w:val="00BE3C7D"/>
    <w:rsid w:val="00BE3ED9"/>
    <w:rsid w:val="00BE5D1F"/>
    <w:rsid w:val="00BE6B71"/>
    <w:rsid w:val="00BE6C02"/>
    <w:rsid w:val="00BE6C99"/>
    <w:rsid w:val="00BE7C54"/>
    <w:rsid w:val="00BF379F"/>
    <w:rsid w:val="00BF46F6"/>
    <w:rsid w:val="00BF6968"/>
    <w:rsid w:val="00BF6ED9"/>
    <w:rsid w:val="00C00584"/>
    <w:rsid w:val="00C03089"/>
    <w:rsid w:val="00C0382A"/>
    <w:rsid w:val="00C04AFA"/>
    <w:rsid w:val="00C05DA8"/>
    <w:rsid w:val="00C06431"/>
    <w:rsid w:val="00C071AE"/>
    <w:rsid w:val="00C07790"/>
    <w:rsid w:val="00C11E4B"/>
    <w:rsid w:val="00C1205E"/>
    <w:rsid w:val="00C126AA"/>
    <w:rsid w:val="00C126BE"/>
    <w:rsid w:val="00C12AC9"/>
    <w:rsid w:val="00C1379E"/>
    <w:rsid w:val="00C13F2E"/>
    <w:rsid w:val="00C146FB"/>
    <w:rsid w:val="00C15C97"/>
    <w:rsid w:val="00C15E66"/>
    <w:rsid w:val="00C16414"/>
    <w:rsid w:val="00C166D3"/>
    <w:rsid w:val="00C17937"/>
    <w:rsid w:val="00C20730"/>
    <w:rsid w:val="00C21AAC"/>
    <w:rsid w:val="00C2287A"/>
    <w:rsid w:val="00C22999"/>
    <w:rsid w:val="00C22C65"/>
    <w:rsid w:val="00C236FE"/>
    <w:rsid w:val="00C2394F"/>
    <w:rsid w:val="00C24AFB"/>
    <w:rsid w:val="00C24B66"/>
    <w:rsid w:val="00C259DF"/>
    <w:rsid w:val="00C25FF8"/>
    <w:rsid w:val="00C26343"/>
    <w:rsid w:val="00C2692B"/>
    <w:rsid w:val="00C26B29"/>
    <w:rsid w:val="00C27163"/>
    <w:rsid w:val="00C27246"/>
    <w:rsid w:val="00C30179"/>
    <w:rsid w:val="00C311E0"/>
    <w:rsid w:val="00C314AD"/>
    <w:rsid w:val="00C31B52"/>
    <w:rsid w:val="00C32EDB"/>
    <w:rsid w:val="00C34124"/>
    <w:rsid w:val="00C3491B"/>
    <w:rsid w:val="00C3725C"/>
    <w:rsid w:val="00C41886"/>
    <w:rsid w:val="00C422DF"/>
    <w:rsid w:val="00C42974"/>
    <w:rsid w:val="00C4318B"/>
    <w:rsid w:val="00C44979"/>
    <w:rsid w:val="00C45158"/>
    <w:rsid w:val="00C45573"/>
    <w:rsid w:val="00C46E81"/>
    <w:rsid w:val="00C47024"/>
    <w:rsid w:val="00C47D70"/>
    <w:rsid w:val="00C501AE"/>
    <w:rsid w:val="00C50B53"/>
    <w:rsid w:val="00C519DA"/>
    <w:rsid w:val="00C5255A"/>
    <w:rsid w:val="00C526A7"/>
    <w:rsid w:val="00C5290A"/>
    <w:rsid w:val="00C5322F"/>
    <w:rsid w:val="00C55136"/>
    <w:rsid w:val="00C55802"/>
    <w:rsid w:val="00C561EF"/>
    <w:rsid w:val="00C569F6"/>
    <w:rsid w:val="00C56C43"/>
    <w:rsid w:val="00C60580"/>
    <w:rsid w:val="00C60C79"/>
    <w:rsid w:val="00C60C9D"/>
    <w:rsid w:val="00C620AC"/>
    <w:rsid w:val="00C63842"/>
    <w:rsid w:val="00C656CA"/>
    <w:rsid w:val="00C6673A"/>
    <w:rsid w:val="00C66D99"/>
    <w:rsid w:val="00C6738E"/>
    <w:rsid w:val="00C677E1"/>
    <w:rsid w:val="00C70417"/>
    <w:rsid w:val="00C70459"/>
    <w:rsid w:val="00C7057B"/>
    <w:rsid w:val="00C712C1"/>
    <w:rsid w:val="00C714C4"/>
    <w:rsid w:val="00C71A7C"/>
    <w:rsid w:val="00C73402"/>
    <w:rsid w:val="00C73C34"/>
    <w:rsid w:val="00C73F1E"/>
    <w:rsid w:val="00C75E75"/>
    <w:rsid w:val="00C75EC9"/>
    <w:rsid w:val="00C75F6F"/>
    <w:rsid w:val="00C7656E"/>
    <w:rsid w:val="00C804C5"/>
    <w:rsid w:val="00C81FA1"/>
    <w:rsid w:val="00C82AA6"/>
    <w:rsid w:val="00C83038"/>
    <w:rsid w:val="00C845DB"/>
    <w:rsid w:val="00C855DF"/>
    <w:rsid w:val="00C85719"/>
    <w:rsid w:val="00C85C0F"/>
    <w:rsid w:val="00C85D43"/>
    <w:rsid w:val="00C8774A"/>
    <w:rsid w:val="00C90289"/>
    <w:rsid w:val="00C90F6C"/>
    <w:rsid w:val="00C91024"/>
    <w:rsid w:val="00C9151F"/>
    <w:rsid w:val="00C921A3"/>
    <w:rsid w:val="00C94478"/>
    <w:rsid w:val="00C952F0"/>
    <w:rsid w:val="00C96377"/>
    <w:rsid w:val="00C970FC"/>
    <w:rsid w:val="00C97CE5"/>
    <w:rsid w:val="00CA023A"/>
    <w:rsid w:val="00CA0C8B"/>
    <w:rsid w:val="00CA1776"/>
    <w:rsid w:val="00CA18BE"/>
    <w:rsid w:val="00CA1B8A"/>
    <w:rsid w:val="00CA3067"/>
    <w:rsid w:val="00CA33BE"/>
    <w:rsid w:val="00CA5CBE"/>
    <w:rsid w:val="00CA61E3"/>
    <w:rsid w:val="00CA740C"/>
    <w:rsid w:val="00CA773F"/>
    <w:rsid w:val="00CA7D72"/>
    <w:rsid w:val="00CA7E66"/>
    <w:rsid w:val="00CB06CD"/>
    <w:rsid w:val="00CB0F9F"/>
    <w:rsid w:val="00CB191C"/>
    <w:rsid w:val="00CB1F39"/>
    <w:rsid w:val="00CB259D"/>
    <w:rsid w:val="00CB355D"/>
    <w:rsid w:val="00CB3570"/>
    <w:rsid w:val="00CB3743"/>
    <w:rsid w:val="00CB4279"/>
    <w:rsid w:val="00CB4735"/>
    <w:rsid w:val="00CB4D7B"/>
    <w:rsid w:val="00CB512E"/>
    <w:rsid w:val="00CB5EB8"/>
    <w:rsid w:val="00CB748A"/>
    <w:rsid w:val="00CB7AC7"/>
    <w:rsid w:val="00CC1651"/>
    <w:rsid w:val="00CC2231"/>
    <w:rsid w:val="00CC22B8"/>
    <w:rsid w:val="00CC2A7C"/>
    <w:rsid w:val="00CC3D0C"/>
    <w:rsid w:val="00CC509F"/>
    <w:rsid w:val="00CC5284"/>
    <w:rsid w:val="00CC5ACB"/>
    <w:rsid w:val="00CC5F99"/>
    <w:rsid w:val="00CC6053"/>
    <w:rsid w:val="00CC6A52"/>
    <w:rsid w:val="00CC7973"/>
    <w:rsid w:val="00CC7E2A"/>
    <w:rsid w:val="00CD00CF"/>
    <w:rsid w:val="00CD3AC3"/>
    <w:rsid w:val="00CD4639"/>
    <w:rsid w:val="00CD6393"/>
    <w:rsid w:val="00CD6CE2"/>
    <w:rsid w:val="00CD7602"/>
    <w:rsid w:val="00CD7AF9"/>
    <w:rsid w:val="00CE000E"/>
    <w:rsid w:val="00CE0C87"/>
    <w:rsid w:val="00CE297D"/>
    <w:rsid w:val="00CE31F2"/>
    <w:rsid w:val="00CE362E"/>
    <w:rsid w:val="00CE38A0"/>
    <w:rsid w:val="00CE3CC2"/>
    <w:rsid w:val="00CE5322"/>
    <w:rsid w:val="00CE6883"/>
    <w:rsid w:val="00CE6988"/>
    <w:rsid w:val="00CE6E79"/>
    <w:rsid w:val="00CE786E"/>
    <w:rsid w:val="00CE7888"/>
    <w:rsid w:val="00CE7BD8"/>
    <w:rsid w:val="00CE7E36"/>
    <w:rsid w:val="00CF0305"/>
    <w:rsid w:val="00CF06C7"/>
    <w:rsid w:val="00CF098F"/>
    <w:rsid w:val="00CF0A2C"/>
    <w:rsid w:val="00CF0D76"/>
    <w:rsid w:val="00CF247E"/>
    <w:rsid w:val="00CF29BB"/>
    <w:rsid w:val="00CF3CF7"/>
    <w:rsid w:val="00CF415B"/>
    <w:rsid w:val="00CF46A9"/>
    <w:rsid w:val="00CF581C"/>
    <w:rsid w:val="00CF5A64"/>
    <w:rsid w:val="00CF6623"/>
    <w:rsid w:val="00CF6A53"/>
    <w:rsid w:val="00CF710C"/>
    <w:rsid w:val="00CF720B"/>
    <w:rsid w:val="00CF7C88"/>
    <w:rsid w:val="00D000F0"/>
    <w:rsid w:val="00D00976"/>
    <w:rsid w:val="00D00AE0"/>
    <w:rsid w:val="00D013F8"/>
    <w:rsid w:val="00D01A90"/>
    <w:rsid w:val="00D01F40"/>
    <w:rsid w:val="00D02178"/>
    <w:rsid w:val="00D0217E"/>
    <w:rsid w:val="00D021DD"/>
    <w:rsid w:val="00D02FFF"/>
    <w:rsid w:val="00D0505C"/>
    <w:rsid w:val="00D05A89"/>
    <w:rsid w:val="00D05F28"/>
    <w:rsid w:val="00D0618C"/>
    <w:rsid w:val="00D06D07"/>
    <w:rsid w:val="00D06E73"/>
    <w:rsid w:val="00D07675"/>
    <w:rsid w:val="00D10D13"/>
    <w:rsid w:val="00D10F35"/>
    <w:rsid w:val="00D11504"/>
    <w:rsid w:val="00D1179C"/>
    <w:rsid w:val="00D11A9C"/>
    <w:rsid w:val="00D123E6"/>
    <w:rsid w:val="00D13B10"/>
    <w:rsid w:val="00D14BF9"/>
    <w:rsid w:val="00D153BE"/>
    <w:rsid w:val="00D15E64"/>
    <w:rsid w:val="00D1620D"/>
    <w:rsid w:val="00D162FC"/>
    <w:rsid w:val="00D17733"/>
    <w:rsid w:val="00D20C0B"/>
    <w:rsid w:val="00D20E16"/>
    <w:rsid w:val="00D22339"/>
    <w:rsid w:val="00D22890"/>
    <w:rsid w:val="00D22DA2"/>
    <w:rsid w:val="00D22FB0"/>
    <w:rsid w:val="00D230EC"/>
    <w:rsid w:val="00D23341"/>
    <w:rsid w:val="00D2359B"/>
    <w:rsid w:val="00D23BC6"/>
    <w:rsid w:val="00D25F6F"/>
    <w:rsid w:val="00D26697"/>
    <w:rsid w:val="00D30489"/>
    <w:rsid w:val="00D322A8"/>
    <w:rsid w:val="00D32965"/>
    <w:rsid w:val="00D33532"/>
    <w:rsid w:val="00D34029"/>
    <w:rsid w:val="00D3549B"/>
    <w:rsid w:val="00D35DC5"/>
    <w:rsid w:val="00D36074"/>
    <w:rsid w:val="00D3679B"/>
    <w:rsid w:val="00D36AE3"/>
    <w:rsid w:val="00D3717F"/>
    <w:rsid w:val="00D37446"/>
    <w:rsid w:val="00D40E34"/>
    <w:rsid w:val="00D40FA6"/>
    <w:rsid w:val="00D4165E"/>
    <w:rsid w:val="00D420FA"/>
    <w:rsid w:val="00D42366"/>
    <w:rsid w:val="00D42BA0"/>
    <w:rsid w:val="00D42BD2"/>
    <w:rsid w:val="00D43EB9"/>
    <w:rsid w:val="00D44067"/>
    <w:rsid w:val="00D441E8"/>
    <w:rsid w:val="00D449A9"/>
    <w:rsid w:val="00D451B1"/>
    <w:rsid w:val="00D45627"/>
    <w:rsid w:val="00D461B5"/>
    <w:rsid w:val="00D4621B"/>
    <w:rsid w:val="00D50451"/>
    <w:rsid w:val="00D50DBE"/>
    <w:rsid w:val="00D50FED"/>
    <w:rsid w:val="00D5362D"/>
    <w:rsid w:val="00D55ABE"/>
    <w:rsid w:val="00D57142"/>
    <w:rsid w:val="00D5790E"/>
    <w:rsid w:val="00D57E23"/>
    <w:rsid w:val="00D60E40"/>
    <w:rsid w:val="00D612C8"/>
    <w:rsid w:val="00D618AD"/>
    <w:rsid w:val="00D618E6"/>
    <w:rsid w:val="00D625AA"/>
    <w:rsid w:val="00D63D85"/>
    <w:rsid w:val="00D64747"/>
    <w:rsid w:val="00D649BC"/>
    <w:rsid w:val="00D669CF"/>
    <w:rsid w:val="00D669E6"/>
    <w:rsid w:val="00D66D57"/>
    <w:rsid w:val="00D66F16"/>
    <w:rsid w:val="00D67401"/>
    <w:rsid w:val="00D67948"/>
    <w:rsid w:val="00D70AF6"/>
    <w:rsid w:val="00D712A7"/>
    <w:rsid w:val="00D71F72"/>
    <w:rsid w:val="00D725AE"/>
    <w:rsid w:val="00D72C35"/>
    <w:rsid w:val="00D741BE"/>
    <w:rsid w:val="00D74940"/>
    <w:rsid w:val="00D75947"/>
    <w:rsid w:val="00D76311"/>
    <w:rsid w:val="00D77786"/>
    <w:rsid w:val="00D810A6"/>
    <w:rsid w:val="00D820C9"/>
    <w:rsid w:val="00D83690"/>
    <w:rsid w:val="00D843E2"/>
    <w:rsid w:val="00D847FD"/>
    <w:rsid w:val="00D851E5"/>
    <w:rsid w:val="00D873F1"/>
    <w:rsid w:val="00D90FDD"/>
    <w:rsid w:val="00D915BF"/>
    <w:rsid w:val="00D918E5"/>
    <w:rsid w:val="00D91990"/>
    <w:rsid w:val="00D93543"/>
    <w:rsid w:val="00D93BF9"/>
    <w:rsid w:val="00D94045"/>
    <w:rsid w:val="00D94227"/>
    <w:rsid w:val="00D94ADE"/>
    <w:rsid w:val="00D96312"/>
    <w:rsid w:val="00D96524"/>
    <w:rsid w:val="00D96596"/>
    <w:rsid w:val="00DA11F9"/>
    <w:rsid w:val="00DA21EB"/>
    <w:rsid w:val="00DA3CB9"/>
    <w:rsid w:val="00DA417D"/>
    <w:rsid w:val="00DA4C96"/>
    <w:rsid w:val="00DA5DBF"/>
    <w:rsid w:val="00DA6B9E"/>
    <w:rsid w:val="00DA76B7"/>
    <w:rsid w:val="00DB0183"/>
    <w:rsid w:val="00DB0E76"/>
    <w:rsid w:val="00DB1EDA"/>
    <w:rsid w:val="00DB24D1"/>
    <w:rsid w:val="00DB2BEE"/>
    <w:rsid w:val="00DB375F"/>
    <w:rsid w:val="00DB4821"/>
    <w:rsid w:val="00DB4AFF"/>
    <w:rsid w:val="00DB5863"/>
    <w:rsid w:val="00DB6195"/>
    <w:rsid w:val="00DC07D2"/>
    <w:rsid w:val="00DC0B1D"/>
    <w:rsid w:val="00DC0EC8"/>
    <w:rsid w:val="00DC2EC0"/>
    <w:rsid w:val="00DC376D"/>
    <w:rsid w:val="00DC4470"/>
    <w:rsid w:val="00DC5966"/>
    <w:rsid w:val="00DC665E"/>
    <w:rsid w:val="00DC7466"/>
    <w:rsid w:val="00DC7562"/>
    <w:rsid w:val="00DC78D2"/>
    <w:rsid w:val="00DC7DCD"/>
    <w:rsid w:val="00DD2899"/>
    <w:rsid w:val="00DD34ED"/>
    <w:rsid w:val="00DD3578"/>
    <w:rsid w:val="00DD3A4B"/>
    <w:rsid w:val="00DD3D25"/>
    <w:rsid w:val="00DD44B0"/>
    <w:rsid w:val="00DD4707"/>
    <w:rsid w:val="00DD56BC"/>
    <w:rsid w:val="00DD6B3F"/>
    <w:rsid w:val="00DD7535"/>
    <w:rsid w:val="00DD7571"/>
    <w:rsid w:val="00DD7924"/>
    <w:rsid w:val="00DE01DE"/>
    <w:rsid w:val="00DE0A1C"/>
    <w:rsid w:val="00DE247B"/>
    <w:rsid w:val="00DE2A40"/>
    <w:rsid w:val="00DE348B"/>
    <w:rsid w:val="00DE3FB7"/>
    <w:rsid w:val="00DE4F34"/>
    <w:rsid w:val="00DE5304"/>
    <w:rsid w:val="00DE566D"/>
    <w:rsid w:val="00DE5EA6"/>
    <w:rsid w:val="00DE716B"/>
    <w:rsid w:val="00DE7366"/>
    <w:rsid w:val="00DE7883"/>
    <w:rsid w:val="00DF09FB"/>
    <w:rsid w:val="00DF1874"/>
    <w:rsid w:val="00DF1BB6"/>
    <w:rsid w:val="00DF1C37"/>
    <w:rsid w:val="00DF271F"/>
    <w:rsid w:val="00E001FE"/>
    <w:rsid w:val="00E0028C"/>
    <w:rsid w:val="00E012AA"/>
    <w:rsid w:val="00E01BDA"/>
    <w:rsid w:val="00E02393"/>
    <w:rsid w:val="00E02E43"/>
    <w:rsid w:val="00E033DA"/>
    <w:rsid w:val="00E033DB"/>
    <w:rsid w:val="00E0346B"/>
    <w:rsid w:val="00E0353C"/>
    <w:rsid w:val="00E0479F"/>
    <w:rsid w:val="00E10B73"/>
    <w:rsid w:val="00E10D96"/>
    <w:rsid w:val="00E111FD"/>
    <w:rsid w:val="00E115ED"/>
    <w:rsid w:val="00E12EB1"/>
    <w:rsid w:val="00E1304C"/>
    <w:rsid w:val="00E14408"/>
    <w:rsid w:val="00E14905"/>
    <w:rsid w:val="00E1518A"/>
    <w:rsid w:val="00E163E4"/>
    <w:rsid w:val="00E16658"/>
    <w:rsid w:val="00E16B19"/>
    <w:rsid w:val="00E17BBB"/>
    <w:rsid w:val="00E17D29"/>
    <w:rsid w:val="00E205F5"/>
    <w:rsid w:val="00E21098"/>
    <w:rsid w:val="00E21B52"/>
    <w:rsid w:val="00E229F8"/>
    <w:rsid w:val="00E24549"/>
    <w:rsid w:val="00E24A57"/>
    <w:rsid w:val="00E25FA3"/>
    <w:rsid w:val="00E26C31"/>
    <w:rsid w:val="00E2715E"/>
    <w:rsid w:val="00E27B06"/>
    <w:rsid w:val="00E3066E"/>
    <w:rsid w:val="00E30B82"/>
    <w:rsid w:val="00E31EFF"/>
    <w:rsid w:val="00E31F97"/>
    <w:rsid w:val="00E32883"/>
    <w:rsid w:val="00E35868"/>
    <w:rsid w:val="00E35B38"/>
    <w:rsid w:val="00E35C3E"/>
    <w:rsid w:val="00E36098"/>
    <w:rsid w:val="00E36C46"/>
    <w:rsid w:val="00E375C7"/>
    <w:rsid w:val="00E37DDB"/>
    <w:rsid w:val="00E4018C"/>
    <w:rsid w:val="00E40643"/>
    <w:rsid w:val="00E41114"/>
    <w:rsid w:val="00E437DD"/>
    <w:rsid w:val="00E43E44"/>
    <w:rsid w:val="00E44247"/>
    <w:rsid w:val="00E442B8"/>
    <w:rsid w:val="00E44A8E"/>
    <w:rsid w:val="00E45E28"/>
    <w:rsid w:val="00E45FD8"/>
    <w:rsid w:val="00E46143"/>
    <w:rsid w:val="00E467DE"/>
    <w:rsid w:val="00E5031F"/>
    <w:rsid w:val="00E50A85"/>
    <w:rsid w:val="00E50C74"/>
    <w:rsid w:val="00E5150D"/>
    <w:rsid w:val="00E518C0"/>
    <w:rsid w:val="00E52826"/>
    <w:rsid w:val="00E53C4B"/>
    <w:rsid w:val="00E54067"/>
    <w:rsid w:val="00E54CB5"/>
    <w:rsid w:val="00E566D7"/>
    <w:rsid w:val="00E5767D"/>
    <w:rsid w:val="00E57DBB"/>
    <w:rsid w:val="00E57ECB"/>
    <w:rsid w:val="00E60390"/>
    <w:rsid w:val="00E60679"/>
    <w:rsid w:val="00E60816"/>
    <w:rsid w:val="00E618D2"/>
    <w:rsid w:val="00E61919"/>
    <w:rsid w:val="00E61A48"/>
    <w:rsid w:val="00E61CB2"/>
    <w:rsid w:val="00E61F7A"/>
    <w:rsid w:val="00E636FD"/>
    <w:rsid w:val="00E6432A"/>
    <w:rsid w:val="00E64454"/>
    <w:rsid w:val="00E650B3"/>
    <w:rsid w:val="00E6601F"/>
    <w:rsid w:val="00E6615A"/>
    <w:rsid w:val="00E66D28"/>
    <w:rsid w:val="00E6749C"/>
    <w:rsid w:val="00E67BB4"/>
    <w:rsid w:val="00E67D55"/>
    <w:rsid w:val="00E701D4"/>
    <w:rsid w:val="00E70815"/>
    <w:rsid w:val="00E7130D"/>
    <w:rsid w:val="00E7155B"/>
    <w:rsid w:val="00E741F5"/>
    <w:rsid w:val="00E74D08"/>
    <w:rsid w:val="00E758EC"/>
    <w:rsid w:val="00E760EC"/>
    <w:rsid w:val="00E77834"/>
    <w:rsid w:val="00E7793D"/>
    <w:rsid w:val="00E80E98"/>
    <w:rsid w:val="00E81273"/>
    <w:rsid w:val="00E8149D"/>
    <w:rsid w:val="00E8165F"/>
    <w:rsid w:val="00E824FC"/>
    <w:rsid w:val="00E82BDF"/>
    <w:rsid w:val="00E83878"/>
    <w:rsid w:val="00E83A88"/>
    <w:rsid w:val="00E83BE0"/>
    <w:rsid w:val="00E84ACF"/>
    <w:rsid w:val="00E84BE4"/>
    <w:rsid w:val="00E84E98"/>
    <w:rsid w:val="00E864AD"/>
    <w:rsid w:val="00E8669F"/>
    <w:rsid w:val="00E87176"/>
    <w:rsid w:val="00E87692"/>
    <w:rsid w:val="00E901A8"/>
    <w:rsid w:val="00E90656"/>
    <w:rsid w:val="00E9104C"/>
    <w:rsid w:val="00E913DC"/>
    <w:rsid w:val="00E9317D"/>
    <w:rsid w:val="00E941A0"/>
    <w:rsid w:val="00E95219"/>
    <w:rsid w:val="00E9568F"/>
    <w:rsid w:val="00E97061"/>
    <w:rsid w:val="00E9793D"/>
    <w:rsid w:val="00EA0F85"/>
    <w:rsid w:val="00EA11B6"/>
    <w:rsid w:val="00EA19C2"/>
    <w:rsid w:val="00EA1F7E"/>
    <w:rsid w:val="00EA236B"/>
    <w:rsid w:val="00EA25E8"/>
    <w:rsid w:val="00EA3D63"/>
    <w:rsid w:val="00EA493A"/>
    <w:rsid w:val="00EA5131"/>
    <w:rsid w:val="00EA5599"/>
    <w:rsid w:val="00EA6355"/>
    <w:rsid w:val="00EA63D7"/>
    <w:rsid w:val="00EA6591"/>
    <w:rsid w:val="00EA6F92"/>
    <w:rsid w:val="00EA7381"/>
    <w:rsid w:val="00EA755E"/>
    <w:rsid w:val="00EA7601"/>
    <w:rsid w:val="00EB1F6E"/>
    <w:rsid w:val="00EB2425"/>
    <w:rsid w:val="00EB2DCB"/>
    <w:rsid w:val="00EB48F5"/>
    <w:rsid w:val="00EB4F7E"/>
    <w:rsid w:val="00EB52E5"/>
    <w:rsid w:val="00EB55EE"/>
    <w:rsid w:val="00EB5DBC"/>
    <w:rsid w:val="00EB6071"/>
    <w:rsid w:val="00EB6746"/>
    <w:rsid w:val="00EB716B"/>
    <w:rsid w:val="00EB7214"/>
    <w:rsid w:val="00EB7BF5"/>
    <w:rsid w:val="00EC0609"/>
    <w:rsid w:val="00EC0859"/>
    <w:rsid w:val="00EC188B"/>
    <w:rsid w:val="00EC1926"/>
    <w:rsid w:val="00EC19C3"/>
    <w:rsid w:val="00EC2581"/>
    <w:rsid w:val="00EC25A9"/>
    <w:rsid w:val="00EC3159"/>
    <w:rsid w:val="00EC3192"/>
    <w:rsid w:val="00EC3A52"/>
    <w:rsid w:val="00EC4888"/>
    <w:rsid w:val="00EC520B"/>
    <w:rsid w:val="00EC56A5"/>
    <w:rsid w:val="00EC5995"/>
    <w:rsid w:val="00ED0426"/>
    <w:rsid w:val="00ED0547"/>
    <w:rsid w:val="00ED0D43"/>
    <w:rsid w:val="00ED0D87"/>
    <w:rsid w:val="00ED1542"/>
    <w:rsid w:val="00ED23F7"/>
    <w:rsid w:val="00ED2443"/>
    <w:rsid w:val="00ED294C"/>
    <w:rsid w:val="00ED2B0C"/>
    <w:rsid w:val="00ED3B0A"/>
    <w:rsid w:val="00ED4633"/>
    <w:rsid w:val="00ED55F2"/>
    <w:rsid w:val="00ED6124"/>
    <w:rsid w:val="00ED6560"/>
    <w:rsid w:val="00ED696D"/>
    <w:rsid w:val="00ED6DD5"/>
    <w:rsid w:val="00ED7902"/>
    <w:rsid w:val="00ED7CD1"/>
    <w:rsid w:val="00EE38C8"/>
    <w:rsid w:val="00EE3C29"/>
    <w:rsid w:val="00EE4906"/>
    <w:rsid w:val="00EE497F"/>
    <w:rsid w:val="00EE65B4"/>
    <w:rsid w:val="00EE6611"/>
    <w:rsid w:val="00EF00E7"/>
    <w:rsid w:val="00EF0112"/>
    <w:rsid w:val="00EF1B28"/>
    <w:rsid w:val="00EF406B"/>
    <w:rsid w:val="00EF484A"/>
    <w:rsid w:val="00EF48E5"/>
    <w:rsid w:val="00EF4CE5"/>
    <w:rsid w:val="00EF5F80"/>
    <w:rsid w:val="00EF7AB0"/>
    <w:rsid w:val="00EF7D69"/>
    <w:rsid w:val="00EF7FBB"/>
    <w:rsid w:val="00F00EEF"/>
    <w:rsid w:val="00F015E2"/>
    <w:rsid w:val="00F02410"/>
    <w:rsid w:val="00F02B17"/>
    <w:rsid w:val="00F043CB"/>
    <w:rsid w:val="00F046C5"/>
    <w:rsid w:val="00F04B72"/>
    <w:rsid w:val="00F05972"/>
    <w:rsid w:val="00F05A7C"/>
    <w:rsid w:val="00F05DEF"/>
    <w:rsid w:val="00F0646D"/>
    <w:rsid w:val="00F07218"/>
    <w:rsid w:val="00F0762D"/>
    <w:rsid w:val="00F07C73"/>
    <w:rsid w:val="00F10DB9"/>
    <w:rsid w:val="00F1135D"/>
    <w:rsid w:val="00F12E07"/>
    <w:rsid w:val="00F13349"/>
    <w:rsid w:val="00F135B0"/>
    <w:rsid w:val="00F13627"/>
    <w:rsid w:val="00F13675"/>
    <w:rsid w:val="00F13762"/>
    <w:rsid w:val="00F13C58"/>
    <w:rsid w:val="00F161D0"/>
    <w:rsid w:val="00F16746"/>
    <w:rsid w:val="00F16B9F"/>
    <w:rsid w:val="00F16C41"/>
    <w:rsid w:val="00F16FA5"/>
    <w:rsid w:val="00F21917"/>
    <w:rsid w:val="00F21B60"/>
    <w:rsid w:val="00F223A5"/>
    <w:rsid w:val="00F23475"/>
    <w:rsid w:val="00F25691"/>
    <w:rsid w:val="00F25FB8"/>
    <w:rsid w:val="00F26147"/>
    <w:rsid w:val="00F26606"/>
    <w:rsid w:val="00F27A47"/>
    <w:rsid w:val="00F30E37"/>
    <w:rsid w:val="00F31F21"/>
    <w:rsid w:val="00F321EB"/>
    <w:rsid w:val="00F33413"/>
    <w:rsid w:val="00F33DA8"/>
    <w:rsid w:val="00F33EED"/>
    <w:rsid w:val="00F349AF"/>
    <w:rsid w:val="00F34BC6"/>
    <w:rsid w:val="00F35D4B"/>
    <w:rsid w:val="00F363B1"/>
    <w:rsid w:val="00F36D6D"/>
    <w:rsid w:val="00F376C8"/>
    <w:rsid w:val="00F37827"/>
    <w:rsid w:val="00F37FA3"/>
    <w:rsid w:val="00F40517"/>
    <w:rsid w:val="00F40548"/>
    <w:rsid w:val="00F40D16"/>
    <w:rsid w:val="00F40E8C"/>
    <w:rsid w:val="00F4399F"/>
    <w:rsid w:val="00F445F0"/>
    <w:rsid w:val="00F44A4E"/>
    <w:rsid w:val="00F44D9C"/>
    <w:rsid w:val="00F45576"/>
    <w:rsid w:val="00F458E3"/>
    <w:rsid w:val="00F45D35"/>
    <w:rsid w:val="00F50281"/>
    <w:rsid w:val="00F519F4"/>
    <w:rsid w:val="00F51DC5"/>
    <w:rsid w:val="00F52A2F"/>
    <w:rsid w:val="00F53E46"/>
    <w:rsid w:val="00F55BCF"/>
    <w:rsid w:val="00F56395"/>
    <w:rsid w:val="00F56556"/>
    <w:rsid w:val="00F56ADC"/>
    <w:rsid w:val="00F6023D"/>
    <w:rsid w:val="00F60271"/>
    <w:rsid w:val="00F6067B"/>
    <w:rsid w:val="00F60725"/>
    <w:rsid w:val="00F607C3"/>
    <w:rsid w:val="00F610B2"/>
    <w:rsid w:val="00F612C2"/>
    <w:rsid w:val="00F626CC"/>
    <w:rsid w:val="00F62CD8"/>
    <w:rsid w:val="00F6307F"/>
    <w:rsid w:val="00F6336F"/>
    <w:rsid w:val="00F6370A"/>
    <w:rsid w:val="00F6438D"/>
    <w:rsid w:val="00F64A35"/>
    <w:rsid w:val="00F659D9"/>
    <w:rsid w:val="00F706ED"/>
    <w:rsid w:val="00F70E88"/>
    <w:rsid w:val="00F7279C"/>
    <w:rsid w:val="00F733BA"/>
    <w:rsid w:val="00F739A2"/>
    <w:rsid w:val="00F747B6"/>
    <w:rsid w:val="00F752D4"/>
    <w:rsid w:val="00F77637"/>
    <w:rsid w:val="00F80778"/>
    <w:rsid w:val="00F80C10"/>
    <w:rsid w:val="00F810DC"/>
    <w:rsid w:val="00F81905"/>
    <w:rsid w:val="00F821DD"/>
    <w:rsid w:val="00F82B30"/>
    <w:rsid w:val="00F82FA0"/>
    <w:rsid w:val="00F83898"/>
    <w:rsid w:val="00F83ADC"/>
    <w:rsid w:val="00F83E5B"/>
    <w:rsid w:val="00F844D2"/>
    <w:rsid w:val="00F84678"/>
    <w:rsid w:val="00F85F7E"/>
    <w:rsid w:val="00F863D1"/>
    <w:rsid w:val="00F87DE4"/>
    <w:rsid w:val="00F87EFC"/>
    <w:rsid w:val="00F901D9"/>
    <w:rsid w:val="00F90B9A"/>
    <w:rsid w:val="00F92AF7"/>
    <w:rsid w:val="00F9425E"/>
    <w:rsid w:val="00F94856"/>
    <w:rsid w:val="00F9582E"/>
    <w:rsid w:val="00F960CD"/>
    <w:rsid w:val="00F97D2C"/>
    <w:rsid w:val="00FA05D7"/>
    <w:rsid w:val="00FA0898"/>
    <w:rsid w:val="00FA08B5"/>
    <w:rsid w:val="00FA0DC0"/>
    <w:rsid w:val="00FA218F"/>
    <w:rsid w:val="00FA30D0"/>
    <w:rsid w:val="00FA3463"/>
    <w:rsid w:val="00FA39D2"/>
    <w:rsid w:val="00FA3ADE"/>
    <w:rsid w:val="00FA4572"/>
    <w:rsid w:val="00FA4729"/>
    <w:rsid w:val="00FA5351"/>
    <w:rsid w:val="00FA5EA3"/>
    <w:rsid w:val="00FA6824"/>
    <w:rsid w:val="00FA70B7"/>
    <w:rsid w:val="00FA737C"/>
    <w:rsid w:val="00FA7F68"/>
    <w:rsid w:val="00FB0262"/>
    <w:rsid w:val="00FB09DD"/>
    <w:rsid w:val="00FB1449"/>
    <w:rsid w:val="00FB1EA7"/>
    <w:rsid w:val="00FB1FB6"/>
    <w:rsid w:val="00FB237B"/>
    <w:rsid w:val="00FB4F44"/>
    <w:rsid w:val="00FB5118"/>
    <w:rsid w:val="00FB56DB"/>
    <w:rsid w:val="00FB6377"/>
    <w:rsid w:val="00FB652D"/>
    <w:rsid w:val="00FB6AB8"/>
    <w:rsid w:val="00FB6E48"/>
    <w:rsid w:val="00FB70A1"/>
    <w:rsid w:val="00FB7384"/>
    <w:rsid w:val="00FB73C2"/>
    <w:rsid w:val="00FB7D42"/>
    <w:rsid w:val="00FC13D4"/>
    <w:rsid w:val="00FC242A"/>
    <w:rsid w:val="00FC29FE"/>
    <w:rsid w:val="00FC3F21"/>
    <w:rsid w:val="00FC49C2"/>
    <w:rsid w:val="00FC4A1E"/>
    <w:rsid w:val="00FC511A"/>
    <w:rsid w:val="00FC548E"/>
    <w:rsid w:val="00FC5C7E"/>
    <w:rsid w:val="00FC6911"/>
    <w:rsid w:val="00FC6D28"/>
    <w:rsid w:val="00FC7B58"/>
    <w:rsid w:val="00FC7C41"/>
    <w:rsid w:val="00FD1E27"/>
    <w:rsid w:val="00FD26C5"/>
    <w:rsid w:val="00FD2BC3"/>
    <w:rsid w:val="00FD37CB"/>
    <w:rsid w:val="00FD5397"/>
    <w:rsid w:val="00FD5C22"/>
    <w:rsid w:val="00FD65B3"/>
    <w:rsid w:val="00FD7747"/>
    <w:rsid w:val="00FD7EDB"/>
    <w:rsid w:val="00FE159E"/>
    <w:rsid w:val="00FE2A7F"/>
    <w:rsid w:val="00FE2D08"/>
    <w:rsid w:val="00FE3295"/>
    <w:rsid w:val="00FE3A12"/>
    <w:rsid w:val="00FE4B39"/>
    <w:rsid w:val="00FE529D"/>
    <w:rsid w:val="00FE5B83"/>
    <w:rsid w:val="00FE7911"/>
    <w:rsid w:val="00FF027D"/>
    <w:rsid w:val="00FF17D9"/>
    <w:rsid w:val="00FF31BA"/>
    <w:rsid w:val="00FF3373"/>
    <w:rsid w:val="00FF35AD"/>
    <w:rsid w:val="00FF3A38"/>
    <w:rsid w:val="00FF3C00"/>
    <w:rsid w:val="00FF3EF5"/>
    <w:rsid w:val="00FF5666"/>
    <w:rsid w:val="00FF6151"/>
    <w:rsid w:val="00FF6E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 w:type="paragraph" w:customStyle="1" w:styleId="Style1">
    <w:name w:val="Style1"/>
    <w:basedOn w:val="Titre1"/>
    <w:rsid w:val="00AF7BE5"/>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083592"/>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083592"/>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083592"/>
    <w:pPr>
      <w:widowControl w:val="0"/>
      <w:shd w:val="clear" w:color="auto" w:fill="FFFFFF"/>
      <w:spacing w:line="259" w:lineRule="exact"/>
      <w:ind w:hanging="200"/>
    </w:pPr>
    <w:rPr>
      <w:rFonts w:ascii="Book Antiqua" w:eastAsia="Book Antiqua" w:hAnsi="Book Antiqua" w:cs="Book Antiqua"/>
      <w:b w:val="0"/>
      <w:bCs w:val="0"/>
      <w:sz w:val="17"/>
      <w:szCs w:val="17"/>
    </w:rPr>
  </w:style>
  <w:style w:type="character" w:customStyle="1" w:styleId="Bodytext14">
    <w:name w:val="Body text (14)"/>
    <w:basedOn w:val="Policepardfaut"/>
    <w:rsid w:val="00083592"/>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083592"/>
    <w:pPr>
      <w:spacing w:before="100" w:beforeAutospacing="1" w:after="100" w:afterAutospacing="1"/>
    </w:pPr>
    <w:rPr>
      <w:b w:val="0"/>
      <w:bCs w:val="0"/>
    </w:rPr>
  </w:style>
  <w:style w:type="paragraph" w:customStyle="1" w:styleId="m5064850193103259754gmail-msonormal">
    <w:name w:val="m_5064850193103259754gmail-msonormal"/>
    <w:basedOn w:val="Normal"/>
    <w:rsid w:val="005C199F"/>
    <w:pPr>
      <w:spacing w:before="100" w:beforeAutospacing="1" w:after="100" w:afterAutospacing="1"/>
    </w:pPr>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s>
</file>

<file path=word/webSettings.xml><?xml version="1.0" encoding="utf-8"?>
<w:webSettings xmlns:r="http://schemas.openxmlformats.org/officeDocument/2006/relationships" xmlns:w="http://schemas.openxmlformats.org/wordprocessingml/2006/main">
  <w:divs>
    <w:div w:id="142352479">
      <w:bodyDiv w:val="1"/>
      <w:marLeft w:val="0"/>
      <w:marRight w:val="0"/>
      <w:marTop w:val="0"/>
      <w:marBottom w:val="0"/>
      <w:divBdr>
        <w:top w:val="none" w:sz="0" w:space="0" w:color="auto"/>
        <w:left w:val="none" w:sz="0" w:space="0" w:color="auto"/>
        <w:bottom w:val="none" w:sz="0" w:space="0" w:color="auto"/>
        <w:right w:val="none" w:sz="0" w:space="0" w:color="auto"/>
      </w:divBdr>
      <w:divsChild>
        <w:div w:id="1036849393">
          <w:marLeft w:val="0"/>
          <w:marRight w:val="0"/>
          <w:marTop w:val="0"/>
          <w:marBottom w:val="0"/>
          <w:divBdr>
            <w:top w:val="none" w:sz="0" w:space="0" w:color="auto"/>
            <w:left w:val="none" w:sz="0" w:space="0" w:color="auto"/>
            <w:bottom w:val="none" w:sz="0" w:space="0" w:color="auto"/>
            <w:right w:val="none" w:sz="0" w:space="0" w:color="auto"/>
          </w:divBdr>
        </w:div>
      </w:divsChild>
    </w:div>
    <w:div w:id="335422849">
      <w:bodyDiv w:val="1"/>
      <w:marLeft w:val="0"/>
      <w:marRight w:val="0"/>
      <w:marTop w:val="0"/>
      <w:marBottom w:val="0"/>
      <w:divBdr>
        <w:top w:val="none" w:sz="0" w:space="0" w:color="auto"/>
        <w:left w:val="none" w:sz="0" w:space="0" w:color="auto"/>
        <w:bottom w:val="none" w:sz="0" w:space="0" w:color="auto"/>
        <w:right w:val="none" w:sz="0" w:space="0" w:color="auto"/>
      </w:divBdr>
    </w:div>
    <w:div w:id="398864884">
      <w:bodyDiv w:val="1"/>
      <w:marLeft w:val="0"/>
      <w:marRight w:val="0"/>
      <w:marTop w:val="0"/>
      <w:marBottom w:val="0"/>
      <w:divBdr>
        <w:top w:val="none" w:sz="0" w:space="0" w:color="auto"/>
        <w:left w:val="none" w:sz="0" w:space="0" w:color="auto"/>
        <w:bottom w:val="none" w:sz="0" w:space="0" w:color="auto"/>
        <w:right w:val="none" w:sz="0" w:space="0" w:color="auto"/>
      </w:divBdr>
    </w:div>
    <w:div w:id="445738984">
      <w:bodyDiv w:val="1"/>
      <w:marLeft w:val="0"/>
      <w:marRight w:val="0"/>
      <w:marTop w:val="0"/>
      <w:marBottom w:val="0"/>
      <w:divBdr>
        <w:top w:val="none" w:sz="0" w:space="0" w:color="auto"/>
        <w:left w:val="none" w:sz="0" w:space="0" w:color="auto"/>
        <w:bottom w:val="none" w:sz="0" w:space="0" w:color="auto"/>
        <w:right w:val="none" w:sz="0" w:space="0" w:color="auto"/>
      </w:divBdr>
    </w:div>
    <w:div w:id="661156666">
      <w:bodyDiv w:val="1"/>
      <w:marLeft w:val="0"/>
      <w:marRight w:val="0"/>
      <w:marTop w:val="0"/>
      <w:marBottom w:val="0"/>
      <w:divBdr>
        <w:top w:val="none" w:sz="0" w:space="0" w:color="auto"/>
        <w:left w:val="none" w:sz="0" w:space="0" w:color="auto"/>
        <w:bottom w:val="none" w:sz="0" w:space="0" w:color="auto"/>
        <w:right w:val="none" w:sz="0" w:space="0" w:color="auto"/>
      </w:divBdr>
    </w:div>
    <w:div w:id="869538591">
      <w:bodyDiv w:val="1"/>
      <w:marLeft w:val="0"/>
      <w:marRight w:val="0"/>
      <w:marTop w:val="0"/>
      <w:marBottom w:val="0"/>
      <w:divBdr>
        <w:top w:val="none" w:sz="0" w:space="0" w:color="auto"/>
        <w:left w:val="none" w:sz="0" w:space="0" w:color="auto"/>
        <w:bottom w:val="none" w:sz="0" w:space="0" w:color="auto"/>
        <w:right w:val="none" w:sz="0" w:space="0" w:color="auto"/>
      </w:divBdr>
    </w:div>
    <w:div w:id="903686277">
      <w:bodyDiv w:val="1"/>
      <w:marLeft w:val="0"/>
      <w:marRight w:val="0"/>
      <w:marTop w:val="0"/>
      <w:marBottom w:val="0"/>
      <w:divBdr>
        <w:top w:val="none" w:sz="0" w:space="0" w:color="auto"/>
        <w:left w:val="none" w:sz="0" w:space="0" w:color="auto"/>
        <w:bottom w:val="none" w:sz="0" w:space="0" w:color="auto"/>
        <w:right w:val="none" w:sz="0" w:space="0" w:color="auto"/>
      </w:divBdr>
    </w:div>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51">
      <w:bodyDiv w:val="1"/>
      <w:marLeft w:val="0"/>
      <w:marRight w:val="0"/>
      <w:marTop w:val="0"/>
      <w:marBottom w:val="0"/>
      <w:divBdr>
        <w:top w:val="none" w:sz="0" w:space="0" w:color="auto"/>
        <w:left w:val="none" w:sz="0" w:space="0" w:color="auto"/>
        <w:bottom w:val="none" w:sz="0" w:space="0" w:color="auto"/>
        <w:right w:val="none" w:sz="0" w:space="0" w:color="auto"/>
      </w:divBdr>
    </w:div>
    <w:div w:id="1309558247">
      <w:bodyDiv w:val="1"/>
      <w:marLeft w:val="0"/>
      <w:marRight w:val="0"/>
      <w:marTop w:val="0"/>
      <w:marBottom w:val="0"/>
      <w:divBdr>
        <w:top w:val="none" w:sz="0" w:space="0" w:color="auto"/>
        <w:left w:val="none" w:sz="0" w:space="0" w:color="auto"/>
        <w:bottom w:val="none" w:sz="0" w:space="0" w:color="auto"/>
        <w:right w:val="none" w:sz="0" w:space="0" w:color="auto"/>
      </w:divBdr>
    </w:div>
    <w:div w:id="1558391726">
      <w:bodyDiv w:val="1"/>
      <w:marLeft w:val="0"/>
      <w:marRight w:val="0"/>
      <w:marTop w:val="0"/>
      <w:marBottom w:val="0"/>
      <w:divBdr>
        <w:top w:val="none" w:sz="0" w:space="0" w:color="auto"/>
        <w:left w:val="none" w:sz="0" w:space="0" w:color="auto"/>
        <w:bottom w:val="none" w:sz="0" w:space="0" w:color="auto"/>
        <w:right w:val="none" w:sz="0" w:space="0" w:color="auto"/>
      </w:divBdr>
    </w:div>
    <w:div w:id="1562016299">
      <w:bodyDiv w:val="1"/>
      <w:marLeft w:val="0"/>
      <w:marRight w:val="0"/>
      <w:marTop w:val="0"/>
      <w:marBottom w:val="0"/>
      <w:divBdr>
        <w:top w:val="none" w:sz="0" w:space="0" w:color="auto"/>
        <w:left w:val="none" w:sz="0" w:space="0" w:color="auto"/>
        <w:bottom w:val="none" w:sz="0" w:space="0" w:color="auto"/>
        <w:right w:val="none" w:sz="0" w:space="0" w:color="auto"/>
      </w:divBdr>
    </w:div>
    <w:div w:id="1612323197">
      <w:bodyDiv w:val="1"/>
      <w:marLeft w:val="0"/>
      <w:marRight w:val="0"/>
      <w:marTop w:val="0"/>
      <w:marBottom w:val="0"/>
      <w:divBdr>
        <w:top w:val="none" w:sz="0" w:space="0" w:color="auto"/>
        <w:left w:val="none" w:sz="0" w:space="0" w:color="auto"/>
        <w:bottom w:val="none" w:sz="0" w:space="0" w:color="auto"/>
        <w:right w:val="none" w:sz="0" w:space="0" w:color="auto"/>
      </w:divBdr>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 w:id="1935018467">
      <w:bodyDiv w:val="1"/>
      <w:marLeft w:val="0"/>
      <w:marRight w:val="0"/>
      <w:marTop w:val="0"/>
      <w:marBottom w:val="0"/>
      <w:divBdr>
        <w:top w:val="none" w:sz="0" w:space="0" w:color="auto"/>
        <w:left w:val="none" w:sz="0" w:space="0" w:color="auto"/>
        <w:bottom w:val="none" w:sz="0" w:space="0" w:color="auto"/>
        <w:right w:val="none" w:sz="0" w:space="0" w:color="auto"/>
      </w:divBdr>
    </w:div>
    <w:div w:id="19965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4D20-EF0D-48ED-950B-E770C52E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3915</Words>
  <Characters>21537</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Elhousni</dc:creator>
  <cp:lastModifiedBy>User</cp:lastModifiedBy>
  <cp:revision>2</cp:revision>
  <cp:lastPrinted>2017-07-05T08:48:00Z</cp:lastPrinted>
  <dcterms:created xsi:type="dcterms:W3CDTF">2017-12-20T18:37:00Z</dcterms:created>
  <dcterms:modified xsi:type="dcterms:W3CDTF">2017-12-20T18:37:00Z</dcterms:modified>
</cp:coreProperties>
</file>