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5F7" w:rsidRDefault="008005F7" w:rsidP="00FD2EA5">
      <w:pPr>
        <w:spacing w:after="0"/>
        <w:jc w:val="center"/>
        <w:rPr>
          <w:rFonts w:ascii="Arial Rounded MT Bold" w:hAnsi="Arial Rounded MT Bold"/>
          <w:bCs/>
          <w:color w:val="000000"/>
          <w:sz w:val="32"/>
          <w:szCs w:val="32"/>
        </w:rPr>
      </w:pPr>
    </w:p>
    <w:p w:rsidR="008005F7" w:rsidRDefault="008005F7" w:rsidP="00FD2EA5">
      <w:pPr>
        <w:spacing w:after="0"/>
        <w:jc w:val="center"/>
        <w:rPr>
          <w:rFonts w:ascii="Arial Rounded MT Bold" w:hAnsi="Arial Rounded MT Bold"/>
          <w:bCs/>
          <w:color w:val="000000"/>
          <w:sz w:val="32"/>
          <w:szCs w:val="32"/>
        </w:rPr>
      </w:pPr>
    </w:p>
    <w:p w:rsidR="008005F7" w:rsidRDefault="008005F7" w:rsidP="00FD2EA5">
      <w:pPr>
        <w:spacing w:after="0"/>
        <w:jc w:val="center"/>
        <w:rPr>
          <w:rFonts w:ascii="Arial Rounded MT Bold" w:hAnsi="Arial Rounded MT Bold"/>
          <w:bCs/>
          <w:color w:val="000000"/>
          <w:sz w:val="32"/>
          <w:szCs w:val="32"/>
        </w:rPr>
      </w:pPr>
    </w:p>
    <w:p w:rsidR="008005F7" w:rsidRDefault="008005F7" w:rsidP="00FD2EA5">
      <w:pPr>
        <w:spacing w:after="0"/>
        <w:jc w:val="center"/>
        <w:rPr>
          <w:rFonts w:ascii="Arial Rounded MT Bold" w:hAnsi="Arial Rounded MT Bold"/>
          <w:bCs/>
          <w:color w:val="000000"/>
          <w:sz w:val="32"/>
          <w:szCs w:val="32"/>
        </w:rPr>
      </w:pPr>
    </w:p>
    <w:p w:rsidR="00AD3062" w:rsidRDefault="00AD3062" w:rsidP="00FD2EA5">
      <w:pPr>
        <w:spacing w:after="0"/>
        <w:jc w:val="center"/>
        <w:rPr>
          <w:rFonts w:ascii="Arial Rounded MT Bold" w:hAnsi="Arial Rounded MT Bold"/>
          <w:bCs/>
          <w:color w:val="000000"/>
          <w:sz w:val="32"/>
          <w:szCs w:val="32"/>
        </w:rPr>
      </w:pPr>
    </w:p>
    <w:p w:rsidR="00AD3062" w:rsidRDefault="00AD3062" w:rsidP="00FD2EA5">
      <w:pPr>
        <w:spacing w:after="0"/>
        <w:jc w:val="center"/>
        <w:rPr>
          <w:rFonts w:ascii="Arial Rounded MT Bold" w:hAnsi="Arial Rounded MT Bold"/>
          <w:bCs/>
          <w:color w:val="000000"/>
          <w:sz w:val="32"/>
          <w:szCs w:val="32"/>
        </w:rPr>
      </w:pPr>
    </w:p>
    <w:p w:rsidR="00AD3062" w:rsidRDefault="00633681" w:rsidP="00FD2EA5">
      <w:pPr>
        <w:spacing w:after="0"/>
        <w:jc w:val="center"/>
        <w:rPr>
          <w:rFonts w:ascii="Arial Rounded MT Bold" w:hAnsi="Arial Rounded MT Bold"/>
          <w:bCs/>
          <w:color w:val="000000"/>
          <w:sz w:val="32"/>
          <w:szCs w:val="32"/>
        </w:rPr>
      </w:pPr>
      <w:r>
        <w:rPr>
          <w:rFonts w:ascii="Arial Rounded MT Bold" w:hAnsi="Arial Rounded MT Bold"/>
          <w:bCs/>
          <w:color w:val="000000"/>
          <w:sz w:val="32"/>
          <w:szCs w:val="32"/>
        </w:rPr>
        <w:t xml:space="preserve">          </w:t>
      </w:r>
    </w:p>
    <w:p w:rsidR="00887FD4" w:rsidRDefault="00887FD4" w:rsidP="00FD2EA5">
      <w:pPr>
        <w:spacing w:after="0"/>
        <w:jc w:val="center"/>
        <w:rPr>
          <w:rFonts w:ascii="Arial Rounded MT Bold" w:hAnsi="Arial Rounded MT Bold"/>
          <w:bCs/>
          <w:color w:val="000000"/>
          <w:sz w:val="32"/>
          <w:szCs w:val="32"/>
        </w:rPr>
      </w:pPr>
    </w:p>
    <w:p w:rsidR="00AD3062" w:rsidRDefault="00AD3062" w:rsidP="00FD2EA5">
      <w:pPr>
        <w:spacing w:after="0"/>
        <w:jc w:val="center"/>
        <w:rPr>
          <w:rFonts w:ascii="Arial Rounded MT Bold" w:hAnsi="Arial Rounded MT Bold"/>
          <w:bCs/>
          <w:color w:val="000000"/>
          <w:sz w:val="32"/>
          <w:szCs w:val="32"/>
        </w:rPr>
      </w:pPr>
    </w:p>
    <w:p w:rsidR="00AC503B" w:rsidRDefault="008005F7" w:rsidP="00AC503B">
      <w:pPr>
        <w:spacing w:after="0" w:line="480" w:lineRule="auto"/>
        <w:jc w:val="center"/>
        <w:rPr>
          <w:rFonts w:ascii="Arial Rounded MT Bold" w:hAnsi="Arial Rounded MT Bold"/>
          <w:bCs/>
          <w:color w:val="000000"/>
          <w:sz w:val="28"/>
          <w:szCs w:val="28"/>
        </w:rPr>
      </w:pPr>
      <w:r w:rsidRPr="00023AD4">
        <w:rPr>
          <w:rFonts w:ascii="Arial Rounded MT Bold" w:hAnsi="Arial Rounded MT Bold"/>
          <w:bCs/>
          <w:color w:val="000000"/>
          <w:sz w:val="28"/>
          <w:szCs w:val="28"/>
        </w:rPr>
        <w:t>Conférence de presse sur l’évolution de l’économie nationale</w:t>
      </w:r>
    </w:p>
    <w:p w:rsidR="008005F7" w:rsidRPr="00023AD4" w:rsidRDefault="008005F7" w:rsidP="00AC503B">
      <w:pPr>
        <w:spacing w:after="0" w:line="480" w:lineRule="auto"/>
        <w:jc w:val="center"/>
        <w:rPr>
          <w:rFonts w:ascii="Arial Rounded MT Bold" w:hAnsi="Arial Rounded MT Bold"/>
          <w:bCs/>
          <w:color w:val="000000"/>
          <w:sz w:val="28"/>
          <w:szCs w:val="28"/>
        </w:rPr>
      </w:pPr>
      <w:r w:rsidRPr="00023AD4">
        <w:rPr>
          <w:rFonts w:ascii="Arial Rounded MT Bold" w:hAnsi="Arial Rounded MT Bold"/>
          <w:bCs/>
          <w:color w:val="000000"/>
          <w:sz w:val="28"/>
          <w:szCs w:val="28"/>
        </w:rPr>
        <w:t>en 2016 et ses perspectives pour 2017</w:t>
      </w:r>
    </w:p>
    <w:p w:rsidR="008005F7" w:rsidRPr="00023AD4" w:rsidRDefault="008005F7" w:rsidP="00AC503B">
      <w:pPr>
        <w:spacing w:after="0" w:line="480" w:lineRule="auto"/>
        <w:jc w:val="center"/>
        <w:rPr>
          <w:rFonts w:ascii="Arial Rounded MT Bold" w:hAnsi="Arial Rounded MT Bold"/>
          <w:bCs/>
          <w:color w:val="000000"/>
          <w:sz w:val="28"/>
          <w:szCs w:val="28"/>
        </w:rPr>
      </w:pPr>
      <w:r w:rsidRPr="00023AD4">
        <w:rPr>
          <w:rFonts w:ascii="Arial Rounded MT Bold" w:hAnsi="Arial Rounded MT Bold"/>
          <w:bCs/>
          <w:color w:val="000000"/>
          <w:sz w:val="28"/>
          <w:szCs w:val="28"/>
        </w:rPr>
        <w:t>-------</w:t>
      </w:r>
    </w:p>
    <w:p w:rsidR="008005F7" w:rsidRDefault="008005F7" w:rsidP="00FD2EA5">
      <w:pPr>
        <w:spacing w:after="0"/>
        <w:jc w:val="center"/>
        <w:rPr>
          <w:b/>
          <w:color w:val="000000"/>
          <w:sz w:val="30"/>
          <w:szCs w:val="30"/>
        </w:rPr>
      </w:pPr>
    </w:p>
    <w:p w:rsidR="00AD3062" w:rsidRDefault="00AD3062" w:rsidP="00FD2EA5">
      <w:pPr>
        <w:spacing w:after="0"/>
        <w:jc w:val="center"/>
        <w:rPr>
          <w:b/>
          <w:color w:val="000000"/>
          <w:sz w:val="30"/>
          <w:szCs w:val="30"/>
        </w:rPr>
      </w:pPr>
    </w:p>
    <w:p w:rsidR="00AD3062" w:rsidRDefault="00AD3062" w:rsidP="00FD2EA5">
      <w:pPr>
        <w:spacing w:after="0"/>
        <w:jc w:val="center"/>
        <w:rPr>
          <w:b/>
          <w:color w:val="000000"/>
          <w:sz w:val="30"/>
          <w:szCs w:val="30"/>
        </w:rPr>
      </w:pPr>
    </w:p>
    <w:p w:rsidR="008005F7" w:rsidRPr="00023AD4" w:rsidRDefault="00612639" w:rsidP="00612639">
      <w:pPr>
        <w:spacing w:after="0" w:line="360" w:lineRule="auto"/>
        <w:jc w:val="center"/>
        <w:rPr>
          <w:b/>
          <w:color w:val="000000"/>
          <w:sz w:val="28"/>
          <w:szCs w:val="28"/>
        </w:rPr>
      </w:pPr>
      <w:r>
        <w:rPr>
          <w:b/>
          <w:color w:val="000000"/>
          <w:sz w:val="28"/>
          <w:szCs w:val="28"/>
        </w:rPr>
        <w:t>Quelques éléments de l’i</w:t>
      </w:r>
      <w:r w:rsidR="008005F7" w:rsidRPr="00023AD4">
        <w:rPr>
          <w:b/>
          <w:color w:val="000000"/>
          <w:sz w:val="28"/>
          <w:szCs w:val="28"/>
        </w:rPr>
        <w:t>ntroduction de Monsieur Ahmed Lahlimi Alami,</w:t>
      </w:r>
    </w:p>
    <w:p w:rsidR="008005F7" w:rsidRPr="00023AD4" w:rsidRDefault="008005F7" w:rsidP="00AC503B">
      <w:pPr>
        <w:spacing w:after="0" w:line="360" w:lineRule="auto"/>
        <w:jc w:val="center"/>
        <w:rPr>
          <w:b/>
          <w:color w:val="000000"/>
          <w:sz w:val="28"/>
          <w:szCs w:val="28"/>
        </w:rPr>
      </w:pPr>
      <w:r w:rsidRPr="00023AD4">
        <w:rPr>
          <w:b/>
          <w:color w:val="000000"/>
          <w:sz w:val="28"/>
          <w:szCs w:val="28"/>
        </w:rPr>
        <w:t xml:space="preserve"> Haut-Commissaire au Plan </w:t>
      </w:r>
    </w:p>
    <w:p w:rsidR="008005F7" w:rsidRPr="005959F8" w:rsidRDefault="008005F7" w:rsidP="00AC503B">
      <w:pPr>
        <w:spacing w:after="0" w:line="360" w:lineRule="auto"/>
        <w:jc w:val="center"/>
        <w:rPr>
          <w:rFonts w:ascii="Arial Rounded MT Bold" w:hAnsi="Arial Rounded MT Bold"/>
          <w:bCs/>
          <w:color w:val="000000"/>
          <w:sz w:val="30"/>
          <w:szCs w:val="30"/>
        </w:rPr>
      </w:pPr>
      <w:r w:rsidRPr="00023AD4">
        <w:rPr>
          <w:b/>
          <w:color w:val="000000"/>
          <w:sz w:val="28"/>
          <w:szCs w:val="28"/>
        </w:rPr>
        <w:t>à la présentation du Budget Economique Prévisionnel 201</w:t>
      </w:r>
      <w:r w:rsidR="00357F3B" w:rsidRPr="00023AD4">
        <w:rPr>
          <w:b/>
          <w:color w:val="000000"/>
          <w:sz w:val="28"/>
          <w:szCs w:val="28"/>
        </w:rPr>
        <w:t>7</w:t>
      </w:r>
    </w:p>
    <w:p w:rsidR="008005F7" w:rsidRDefault="008005F7" w:rsidP="00FD2EA5">
      <w:pPr>
        <w:spacing w:after="0"/>
        <w:jc w:val="center"/>
        <w:rPr>
          <w:rFonts w:ascii="Book Antiqua" w:hAnsi="Book Antiqua"/>
          <w:b/>
          <w:color w:val="000000"/>
          <w:sz w:val="28"/>
          <w:szCs w:val="28"/>
        </w:rPr>
      </w:pPr>
    </w:p>
    <w:p w:rsidR="008005F7" w:rsidRDefault="008005F7" w:rsidP="00FD2EA5">
      <w:pPr>
        <w:spacing w:after="0"/>
        <w:jc w:val="center"/>
        <w:rPr>
          <w:rFonts w:ascii="Book Antiqua" w:hAnsi="Book Antiqua"/>
          <w:b/>
          <w:color w:val="000000"/>
          <w:sz w:val="28"/>
          <w:szCs w:val="28"/>
        </w:rPr>
      </w:pPr>
    </w:p>
    <w:p w:rsidR="008005F7" w:rsidRDefault="008005F7" w:rsidP="00FD2EA5">
      <w:pPr>
        <w:spacing w:after="0"/>
        <w:jc w:val="center"/>
        <w:rPr>
          <w:rFonts w:ascii="Book Antiqua" w:hAnsi="Book Antiqua"/>
          <w:b/>
          <w:color w:val="000000"/>
          <w:sz w:val="28"/>
          <w:szCs w:val="28"/>
        </w:rPr>
      </w:pPr>
    </w:p>
    <w:p w:rsidR="008005F7" w:rsidRDefault="008005F7" w:rsidP="00FD2EA5">
      <w:pPr>
        <w:spacing w:after="0"/>
        <w:jc w:val="center"/>
        <w:rPr>
          <w:rFonts w:ascii="Book Antiqua" w:hAnsi="Book Antiqua"/>
          <w:b/>
          <w:color w:val="000000"/>
          <w:sz w:val="28"/>
          <w:szCs w:val="28"/>
        </w:rPr>
      </w:pPr>
    </w:p>
    <w:p w:rsidR="008005F7" w:rsidRDefault="008005F7" w:rsidP="00FD2EA5">
      <w:pPr>
        <w:spacing w:after="0"/>
        <w:jc w:val="center"/>
        <w:rPr>
          <w:rFonts w:ascii="Book Antiqua" w:hAnsi="Book Antiqua"/>
          <w:b/>
          <w:color w:val="000000"/>
          <w:sz w:val="28"/>
          <w:szCs w:val="28"/>
        </w:rPr>
      </w:pPr>
    </w:p>
    <w:p w:rsidR="00887FD4" w:rsidRDefault="00887FD4" w:rsidP="00FD2EA5">
      <w:pPr>
        <w:spacing w:after="0"/>
        <w:jc w:val="center"/>
        <w:rPr>
          <w:rFonts w:ascii="Book Antiqua" w:hAnsi="Book Antiqua"/>
          <w:b/>
          <w:color w:val="000000"/>
          <w:sz w:val="28"/>
          <w:szCs w:val="28"/>
        </w:rPr>
      </w:pPr>
    </w:p>
    <w:p w:rsidR="00AC503B" w:rsidRDefault="00AC503B" w:rsidP="00FD2EA5">
      <w:pPr>
        <w:spacing w:after="0"/>
        <w:jc w:val="center"/>
        <w:rPr>
          <w:rFonts w:ascii="Book Antiqua" w:hAnsi="Book Antiqua"/>
          <w:b/>
          <w:color w:val="000000"/>
          <w:sz w:val="28"/>
          <w:szCs w:val="28"/>
        </w:rPr>
      </w:pPr>
    </w:p>
    <w:p w:rsidR="00887FD4" w:rsidRDefault="00887FD4" w:rsidP="00FD2EA5">
      <w:pPr>
        <w:spacing w:after="0"/>
        <w:jc w:val="center"/>
        <w:rPr>
          <w:rFonts w:ascii="Book Antiqua" w:hAnsi="Book Antiqua"/>
          <w:b/>
          <w:color w:val="000000"/>
          <w:sz w:val="28"/>
          <w:szCs w:val="28"/>
        </w:rPr>
      </w:pPr>
    </w:p>
    <w:p w:rsidR="008005F7" w:rsidRDefault="008005F7" w:rsidP="00FD2EA5">
      <w:pPr>
        <w:spacing w:after="0"/>
        <w:jc w:val="center"/>
        <w:rPr>
          <w:rFonts w:ascii="Book Antiqua" w:hAnsi="Book Antiqua"/>
          <w:b/>
          <w:color w:val="000000"/>
          <w:sz w:val="28"/>
          <w:szCs w:val="28"/>
        </w:rPr>
      </w:pPr>
    </w:p>
    <w:p w:rsidR="008005F7" w:rsidRPr="008005F7" w:rsidRDefault="008005F7" w:rsidP="00FD2EA5">
      <w:pPr>
        <w:spacing w:after="0"/>
        <w:jc w:val="center"/>
        <w:rPr>
          <w:b/>
          <w:bCs/>
          <w:sz w:val="24"/>
          <w:szCs w:val="24"/>
        </w:rPr>
      </w:pPr>
      <w:r w:rsidRPr="008005F7">
        <w:rPr>
          <w:b/>
          <w:bCs/>
          <w:color w:val="000000"/>
          <w:sz w:val="24"/>
          <w:szCs w:val="24"/>
        </w:rPr>
        <w:t>- Casablanca, le 17 janvier 201</w:t>
      </w:r>
      <w:r>
        <w:rPr>
          <w:b/>
          <w:bCs/>
          <w:color w:val="000000"/>
          <w:sz w:val="24"/>
          <w:szCs w:val="24"/>
        </w:rPr>
        <w:t>7</w:t>
      </w:r>
      <w:r w:rsidRPr="008005F7">
        <w:rPr>
          <w:b/>
          <w:bCs/>
          <w:color w:val="000000"/>
          <w:sz w:val="24"/>
          <w:szCs w:val="24"/>
        </w:rPr>
        <w:t xml:space="preserve"> -</w:t>
      </w:r>
    </w:p>
    <w:p w:rsidR="008005F7" w:rsidRPr="00352374" w:rsidRDefault="008005F7" w:rsidP="00FD2EA5">
      <w:pPr>
        <w:spacing w:after="0"/>
        <w:rPr>
          <w:rFonts w:ascii="Book Antiqua" w:hAnsi="Book Antiqua"/>
          <w:sz w:val="24"/>
          <w:szCs w:val="24"/>
        </w:rPr>
      </w:pPr>
    </w:p>
    <w:p w:rsidR="004F2A0B" w:rsidRPr="004F2A0B" w:rsidRDefault="008005F7" w:rsidP="002936DF">
      <w:pPr>
        <w:spacing w:after="0"/>
        <w:jc w:val="center"/>
        <w:rPr>
          <w:b/>
          <w:bCs/>
          <w:sz w:val="28"/>
          <w:szCs w:val="28"/>
        </w:rPr>
      </w:pPr>
      <w:r>
        <w:rPr>
          <w:b/>
          <w:bCs/>
          <w:sz w:val="24"/>
          <w:szCs w:val="24"/>
          <w:u w:val="single"/>
        </w:rPr>
        <w:br w:type="page"/>
      </w:r>
      <w:r w:rsidR="004F2A0B" w:rsidRPr="004F2A0B">
        <w:rPr>
          <w:b/>
          <w:bCs/>
          <w:sz w:val="28"/>
          <w:szCs w:val="28"/>
        </w:rPr>
        <w:lastRenderedPageBreak/>
        <w:t>Aperçu sur l’évolution de l’économie nationale</w:t>
      </w:r>
    </w:p>
    <w:p w:rsidR="004F2A0B" w:rsidRDefault="004F2A0B" w:rsidP="004F2A0B">
      <w:pPr>
        <w:spacing w:after="0" w:line="360" w:lineRule="auto"/>
        <w:jc w:val="center"/>
        <w:rPr>
          <w:b/>
          <w:bCs/>
          <w:sz w:val="24"/>
          <w:szCs w:val="24"/>
        </w:rPr>
      </w:pPr>
      <w:r w:rsidRPr="004F2A0B">
        <w:rPr>
          <w:b/>
          <w:bCs/>
          <w:sz w:val="28"/>
          <w:szCs w:val="28"/>
        </w:rPr>
        <w:t>en 2016 et ses perspectives pour 2017</w:t>
      </w:r>
    </w:p>
    <w:p w:rsidR="004F2A0B" w:rsidRDefault="004F2A0B" w:rsidP="00AC503B">
      <w:pPr>
        <w:spacing w:after="0"/>
        <w:jc w:val="both"/>
        <w:rPr>
          <w:b/>
          <w:bCs/>
          <w:sz w:val="24"/>
          <w:szCs w:val="24"/>
        </w:rPr>
      </w:pPr>
    </w:p>
    <w:p w:rsidR="00A9213C" w:rsidRDefault="00821BFD" w:rsidP="008E3364">
      <w:pPr>
        <w:spacing w:after="0"/>
        <w:jc w:val="both"/>
        <w:rPr>
          <w:sz w:val="24"/>
          <w:szCs w:val="24"/>
        </w:rPr>
      </w:pPr>
      <w:r w:rsidRPr="00821BFD">
        <w:rPr>
          <w:b/>
          <w:bCs/>
          <w:sz w:val="24"/>
          <w:szCs w:val="24"/>
        </w:rPr>
        <w:t xml:space="preserve">Le secteur </w:t>
      </w:r>
      <w:r w:rsidR="00437A03">
        <w:rPr>
          <w:b/>
          <w:bCs/>
          <w:sz w:val="24"/>
          <w:szCs w:val="24"/>
        </w:rPr>
        <w:t>primaire</w:t>
      </w:r>
      <w:r>
        <w:rPr>
          <w:b/>
          <w:bCs/>
          <w:sz w:val="24"/>
          <w:szCs w:val="24"/>
        </w:rPr>
        <w:t xml:space="preserve"> </w:t>
      </w:r>
      <w:r w:rsidR="00A9213C">
        <w:rPr>
          <w:sz w:val="24"/>
          <w:szCs w:val="24"/>
        </w:rPr>
        <w:t>a</w:t>
      </w:r>
      <w:r w:rsidR="00882401">
        <w:rPr>
          <w:sz w:val="24"/>
          <w:szCs w:val="24"/>
        </w:rPr>
        <w:t>urait</w:t>
      </w:r>
      <w:r w:rsidR="00A9213C">
        <w:rPr>
          <w:sz w:val="24"/>
          <w:szCs w:val="24"/>
        </w:rPr>
        <w:t xml:space="preserve"> été marqué, comme prévu, par les effets </w:t>
      </w:r>
      <w:r>
        <w:rPr>
          <w:sz w:val="24"/>
          <w:szCs w:val="24"/>
        </w:rPr>
        <w:t>d’un</w:t>
      </w:r>
      <w:r w:rsidR="00A9213C">
        <w:rPr>
          <w:sz w:val="24"/>
          <w:szCs w:val="24"/>
        </w:rPr>
        <w:t xml:space="preserve"> déficit pluviométrique sévère subi, en particulier, par les céréales et légumineuses et d’une épidémie saisonnière de la grippe aviaire sur l’aviculture</w:t>
      </w:r>
      <w:r>
        <w:rPr>
          <w:sz w:val="24"/>
          <w:szCs w:val="24"/>
        </w:rPr>
        <w:t>, au cours de la campagne 2015-2016</w:t>
      </w:r>
      <w:r w:rsidR="00A9213C">
        <w:rPr>
          <w:sz w:val="24"/>
          <w:szCs w:val="24"/>
        </w:rPr>
        <w:t xml:space="preserve">. </w:t>
      </w:r>
      <w:r>
        <w:rPr>
          <w:sz w:val="24"/>
          <w:szCs w:val="24"/>
        </w:rPr>
        <w:t xml:space="preserve">Il </w:t>
      </w:r>
      <w:r w:rsidR="00A9213C">
        <w:rPr>
          <w:sz w:val="24"/>
          <w:szCs w:val="24"/>
        </w:rPr>
        <w:t>a</w:t>
      </w:r>
      <w:r w:rsidR="00882401">
        <w:rPr>
          <w:sz w:val="24"/>
          <w:szCs w:val="24"/>
        </w:rPr>
        <w:t>urait</w:t>
      </w:r>
      <w:r w:rsidR="00A9213C">
        <w:rPr>
          <w:sz w:val="24"/>
          <w:szCs w:val="24"/>
        </w:rPr>
        <w:t xml:space="preserve"> cependant </w:t>
      </w:r>
      <w:r>
        <w:rPr>
          <w:sz w:val="24"/>
          <w:szCs w:val="24"/>
        </w:rPr>
        <w:t>bénéficié</w:t>
      </w:r>
      <w:r w:rsidR="00A9213C">
        <w:rPr>
          <w:sz w:val="24"/>
          <w:szCs w:val="24"/>
        </w:rPr>
        <w:t xml:space="preserve"> de la bonne orientation des productions arboric</w:t>
      </w:r>
      <w:r w:rsidR="00882401">
        <w:rPr>
          <w:sz w:val="24"/>
          <w:szCs w:val="24"/>
        </w:rPr>
        <w:t>ol</w:t>
      </w:r>
      <w:r w:rsidR="00A9213C">
        <w:rPr>
          <w:sz w:val="24"/>
          <w:szCs w:val="24"/>
        </w:rPr>
        <w:t>e</w:t>
      </w:r>
      <w:r w:rsidR="00882401">
        <w:rPr>
          <w:sz w:val="24"/>
          <w:szCs w:val="24"/>
        </w:rPr>
        <w:t>s</w:t>
      </w:r>
      <w:r w:rsidR="00A9213C">
        <w:rPr>
          <w:sz w:val="24"/>
          <w:szCs w:val="24"/>
        </w:rPr>
        <w:t>, maraich</w:t>
      </w:r>
      <w:r w:rsidR="00882401">
        <w:rPr>
          <w:sz w:val="24"/>
          <w:szCs w:val="24"/>
        </w:rPr>
        <w:t>èr</w:t>
      </w:r>
      <w:r w:rsidR="00A9213C">
        <w:rPr>
          <w:sz w:val="24"/>
          <w:szCs w:val="24"/>
        </w:rPr>
        <w:t xml:space="preserve">es et industrielles </w:t>
      </w:r>
      <w:r w:rsidR="00882401">
        <w:rPr>
          <w:sz w:val="24"/>
          <w:szCs w:val="24"/>
        </w:rPr>
        <w:t>et</w:t>
      </w:r>
      <w:r w:rsidR="00A9213C">
        <w:rPr>
          <w:sz w:val="24"/>
          <w:szCs w:val="24"/>
        </w:rPr>
        <w:t xml:space="preserve"> de la résilience du secteur de l’élevage</w:t>
      </w:r>
      <w:r w:rsidR="00EA6BC5">
        <w:rPr>
          <w:sz w:val="24"/>
          <w:szCs w:val="24"/>
        </w:rPr>
        <w:t>, d</w:t>
      </w:r>
      <w:r w:rsidR="00A9213C">
        <w:rPr>
          <w:sz w:val="24"/>
          <w:szCs w:val="24"/>
        </w:rPr>
        <w:t xml:space="preserve">ans le contexte d’un vaste programme de </w:t>
      </w:r>
      <w:r w:rsidR="00A9213C" w:rsidRPr="00D975CA">
        <w:rPr>
          <w:sz w:val="24"/>
          <w:szCs w:val="24"/>
        </w:rPr>
        <w:t>soutien</w:t>
      </w:r>
      <w:r w:rsidR="00A9213C">
        <w:rPr>
          <w:sz w:val="24"/>
          <w:szCs w:val="24"/>
        </w:rPr>
        <w:t xml:space="preserve"> par les pouvoirs publics, aux facteurs de production et aux revenus des agriculteurs</w:t>
      </w:r>
      <w:r w:rsidR="00EA6BC5">
        <w:rPr>
          <w:sz w:val="24"/>
          <w:szCs w:val="24"/>
        </w:rPr>
        <w:t>. Avec un bon comportement de la pêche, le secteur primaire a</w:t>
      </w:r>
      <w:r w:rsidR="00882401">
        <w:rPr>
          <w:sz w:val="24"/>
          <w:szCs w:val="24"/>
        </w:rPr>
        <w:t>urait</w:t>
      </w:r>
      <w:r w:rsidR="00EA6BC5">
        <w:rPr>
          <w:sz w:val="24"/>
          <w:szCs w:val="24"/>
        </w:rPr>
        <w:t xml:space="preserve"> terminé l’année avec une baisse de </w:t>
      </w:r>
      <w:r w:rsidR="008E3364">
        <w:rPr>
          <w:sz w:val="24"/>
          <w:szCs w:val="24"/>
        </w:rPr>
        <w:t>9</w:t>
      </w:r>
      <w:r w:rsidR="00EA6BC5">
        <w:rPr>
          <w:sz w:val="24"/>
          <w:szCs w:val="24"/>
        </w:rPr>
        <w:t>,</w:t>
      </w:r>
      <w:r w:rsidR="008E3364">
        <w:rPr>
          <w:sz w:val="24"/>
          <w:szCs w:val="24"/>
        </w:rPr>
        <w:t>8</w:t>
      </w:r>
      <w:r w:rsidR="00EA6BC5">
        <w:rPr>
          <w:sz w:val="24"/>
          <w:szCs w:val="24"/>
        </w:rPr>
        <w:t xml:space="preserve">% de sa valeur ajoutée et une contribution de </w:t>
      </w:r>
      <w:r w:rsidR="00290BDD" w:rsidRPr="00290BDD">
        <w:rPr>
          <w:sz w:val="24"/>
          <w:szCs w:val="24"/>
        </w:rPr>
        <w:t>-1,3</w:t>
      </w:r>
      <w:r w:rsidR="00A9213C" w:rsidRPr="00290BDD">
        <w:rPr>
          <w:sz w:val="24"/>
          <w:szCs w:val="24"/>
        </w:rPr>
        <w:t>%</w:t>
      </w:r>
      <w:r w:rsidR="00A9213C">
        <w:rPr>
          <w:sz w:val="24"/>
          <w:szCs w:val="24"/>
        </w:rPr>
        <w:t xml:space="preserve"> au PIB national.</w:t>
      </w:r>
    </w:p>
    <w:p w:rsidR="00EA6BC5" w:rsidRDefault="00EA6BC5" w:rsidP="00AC503B">
      <w:pPr>
        <w:spacing w:after="0"/>
        <w:jc w:val="both"/>
        <w:rPr>
          <w:b/>
          <w:bCs/>
          <w:sz w:val="24"/>
          <w:szCs w:val="24"/>
          <w:u w:val="single"/>
        </w:rPr>
      </w:pPr>
    </w:p>
    <w:p w:rsidR="00665A58" w:rsidRDefault="00665A58" w:rsidP="00AC503B">
      <w:pPr>
        <w:spacing w:after="0"/>
        <w:jc w:val="both"/>
        <w:rPr>
          <w:sz w:val="24"/>
          <w:szCs w:val="24"/>
        </w:rPr>
      </w:pPr>
      <w:r w:rsidRPr="00665A58">
        <w:rPr>
          <w:b/>
          <w:bCs/>
          <w:sz w:val="24"/>
          <w:szCs w:val="24"/>
        </w:rPr>
        <w:t>L</w:t>
      </w:r>
      <w:r w:rsidR="000011F0" w:rsidRPr="00665A58">
        <w:rPr>
          <w:b/>
          <w:bCs/>
          <w:sz w:val="24"/>
          <w:szCs w:val="24"/>
        </w:rPr>
        <w:t>’activité hors agriculture</w:t>
      </w:r>
      <w:r w:rsidR="000011F0" w:rsidRPr="000011F0">
        <w:rPr>
          <w:sz w:val="24"/>
          <w:szCs w:val="24"/>
        </w:rPr>
        <w:t xml:space="preserve"> se serait</w:t>
      </w:r>
      <w:r>
        <w:rPr>
          <w:sz w:val="24"/>
          <w:szCs w:val="24"/>
        </w:rPr>
        <w:t>, en 2016,</w:t>
      </w:r>
      <w:r w:rsidR="000011F0" w:rsidRPr="000011F0">
        <w:rPr>
          <w:sz w:val="24"/>
          <w:szCs w:val="24"/>
        </w:rPr>
        <w:t xml:space="preserve"> inscrite dans un régime de croissance faible</w:t>
      </w:r>
      <w:r w:rsidR="00A97300">
        <w:rPr>
          <w:sz w:val="24"/>
          <w:szCs w:val="24"/>
        </w:rPr>
        <w:t xml:space="preserve"> avec </w:t>
      </w:r>
      <w:r w:rsidR="00AD7B3B">
        <w:rPr>
          <w:sz w:val="24"/>
          <w:szCs w:val="24"/>
        </w:rPr>
        <w:t>la</w:t>
      </w:r>
      <w:r w:rsidR="000011F0" w:rsidRPr="000011F0">
        <w:rPr>
          <w:sz w:val="24"/>
          <w:szCs w:val="24"/>
        </w:rPr>
        <w:t xml:space="preserve"> décélération </w:t>
      </w:r>
      <w:r w:rsidR="00A97300">
        <w:rPr>
          <w:sz w:val="24"/>
          <w:szCs w:val="24"/>
        </w:rPr>
        <w:t xml:space="preserve">du rythme de croissance </w:t>
      </w:r>
      <w:r w:rsidR="002B4941">
        <w:rPr>
          <w:sz w:val="24"/>
          <w:szCs w:val="24"/>
        </w:rPr>
        <w:t>du secteur</w:t>
      </w:r>
      <w:r w:rsidR="000011F0" w:rsidRPr="000011F0">
        <w:rPr>
          <w:sz w:val="24"/>
          <w:szCs w:val="24"/>
        </w:rPr>
        <w:t xml:space="preserve"> secondaire</w:t>
      </w:r>
      <w:r w:rsidR="00A97300">
        <w:rPr>
          <w:sz w:val="24"/>
          <w:szCs w:val="24"/>
        </w:rPr>
        <w:t xml:space="preserve"> et</w:t>
      </w:r>
      <w:r w:rsidR="000011F0" w:rsidRPr="000011F0">
        <w:rPr>
          <w:sz w:val="24"/>
          <w:szCs w:val="24"/>
        </w:rPr>
        <w:t xml:space="preserve"> les performances mo</w:t>
      </w:r>
      <w:r w:rsidR="000011F0">
        <w:rPr>
          <w:sz w:val="24"/>
          <w:szCs w:val="24"/>
        </w:rPr>
        <w:t>dérées des activités tertiaires</w:t>
      </w:r>
      <w:r w:rsidR="007625F8">
        <w:rPr>
          <w:sz w:val="24"/>
          <w:szCs w:val="24"/>
        </w:rPr>
        <w:t xml:space="preserve">. A </w:t>
      </w:r>
      <w:r w:rsidR="003E5F82">
        <w:rPr>
          <w:sz w:val="24"/>
          <w:szCs w:val="24"/>
        </w:rPr>
        <w:t>2,2%</w:t>
      </w:r>
      <w:r w:rsidR="00D6635A">
        <w:rPr>
          <w:sz w:val="24"/>
          <w:szCs w:val="24"/>
        </w:rPr>
        <w:t>,</w:t>
      </w:r>
      <w:r w:rsidR="00781B3F">
        <w:rPr>
          <w:sz w:val="24"/>
          <w:szCs w:val="24"/>
        </w:rPr>
        <w:t xml:space="preserve"> </w:t>
      </w:r>
      <w:r w:rsidR="007625F8">
        <w:rPr>
          <w:sz w:val="24"/>
          <w:szCs w:val="24"/>
        </w:rPr>
        <w:t>sa</w:t>
      </w:r>
      <w:r w:rsidR="003E5F82">
        <w:rPr>
          <w:sz w:val="24"/>
          <w:szCs w:val="24"/>
        </w:rPr>
        <w:t xml:space="preserve"> valeur ajoutée</w:t>
      </w:r>
      <w:r w:rsidR="007625F8">
        <w:rPr>
          <w:sz w:val="24"/>
          <w:szCs w:val="24"/>
        </w:rPr>
        <w:t xml:space="preserve">, en </w:t>
      </w:r>
      <w:r>
        <w:rPr>
          <w:sz w:val="24"/>
          <w:szCs w:val="24"/>
        </w:rPr>
        <w:t xml:space="preserve">légère hausse </w:t>
      </w:r>
      <w:r w:rsidR="00AD7B3B">
        <w:rPr>
          <w:sz w:val="24"/>
          <w:szCs w:val="24"/>
        </w:rPr>
        <w:t xml:space="preserve">par rapport </w:t>
      </w:r>
      <w:r>
        <w:rPr>
          <w:sz w:val="24"/>
          <w:szCs w:val="24"/>
        </w:rPr>
        <w:t xml:space="preserve">à 1,8% </w:t>
      </w:r>
      <w:r w:rsidR="003E5F82">
        <w:rPr>
          <w:sz w:val="24"/>
          <w:szCs w:val="24"/>
        </w:rPr>
        <w:t xml:space="preserve">en 2015, </w:t>
      </w:r>
      <w:r w:rsidR="007625F8">
        <w:rPr>
          <w:sz w:val="24"/>
          <w:szCs w:val="24"/>
        </w:rPr>
        <w:t>devrait cependant rester</w:t>
      </w:r>
      <w:r w:rsidR="002707F2">
        <w:rPr>
          <w:sz w:val="24"/>
          <w:szCs w:val="24"/>
        </w:rPr>
        <w:t xml:space="preserve"> dans les limites de </w:t>
      </w:r>
      <w:r w:rsidR="00AD7B3B">
        <w:rPr>
          <w:sz w:val="24"/>
          <w:szCs w:val="24"/>
        </w:rPr>
        <w:t>s</w:t>
      </w:r>
      <w:r w:rsidR="002707F2">
        <w:rPr>
          <w:sz w:val="24"/>
          <w:szCs w:val="24"/>
        </w:rPr>
        <w:t xml:space="preserve">a croissance moyenne </w:t>
      </w:r>
      <w:r w:rsidR="00AD7B3B">
        <w:rPr>
          <w:sz w:val="24"/>
          <w:szCs w:val="24"/>
        </w:rPr>
        <w:t xml:space="preserve">annuelle </w:t>
      </w:r>
      <w:r w:rsidR="002707F2">
        <w:rPr>
          <w:sz w:val="24"/>
          <w:szCs w:val="24"/>
        </w:rPr>
        <w:t>depuis 2013</w:t>
      </w:r>
      <w:r w:rsidR="00AB5AB5">
        <w:rPr>
          <w:sz w:val="24"/>
          <w:szCs w:val="24"/>
        </w:rPr>
        <w:t>,</w:t>
      </w:r>
      <w:r w:rsidR="002707F2">
        <w:rPr>
          <w:sz w:val="24"/>
          <w:szCs w:val="24"/>
        </w:rPr>
        <w:t xml:space="preserve"> mais </w:t>
      </w:r>
      <w:r w:rsidR="003E5F82">
        <w:rPr>
          <w:sz w:val="24"/>
          <w:szCs w:val="24"/>
        </w:rPr>
        <w:t xml:space="preserve">largement en deçà </w:t>
      </w:r>
      <w:r w:rsidR="00AD7B3B">
        <w:rPr>
          <w:sz w:val="24"/>
          <w:szCs w:val="24"/>
        </w:rPr>
        <w:t>des</w:t>
      </w:r>
      <w:r w:rsidR="003E5F82">
        <w:rPr>
          <w:sz w:val="24"/>
          <w:szCs w:val="24"/>
        </w:rPr>
        <w:t xml:space="preserve"> 4,2% des années 20</w:t>
      </w:r>
      <w:r w:rsidR="002707F2">
        <w:rPr>
          <w:sz w:val="24"/>
          <w:szCs w:val="24"/>
        </w:rPr>
        <w:t>08</w:t>
      </w:r>
      <w:r w:rsidR="003E5F82">
        <w:rPr>
          <w:sz w:val="24"/>
          <w:szCs w:val="24"/>
        </w:rPr>
        <w:t xml:space="preserve">-2012. </w:t>
      </w:r>
      <w:r w:rsidR="002707F2">
        <w:rPr>
          <w:sz w:val="24"/>
          <w:szCs w:val="24"/>
        </w:rPr>
        <w:t xml:space="preserve">Une faible performance </w:t>
      </w:r>
      <w:r w:rsidR="00AD7B3B">
        <w:rPr>
          <w:sz w:val="24"/>
          <w:szCs w:val="24"/>
        </w:rPr>
        <w:t>due</w:t>
      </w:r>
      <w:r w:rsidR="00AB5AB5">
        <w:rPr>
          <w:sz w:val="24"/>
          <w:szCs w:val="24"/>
        </w:rPr>
        <w:t>,</w:t>
      </w:r>
      <w:r w:rsidR="00AD7B3B">
        <w:rPr>
          <w:sz w:val="24"/>
          <w:szCs w:val="24"/>
        </w:rPr>
        <w:t xml:space="preserve"> en particulier</w:t>
      </w:r>
      <w:r w:rsidR="00AB5AB5">
        <w:rPr>
          <w:sz w:val="24"/>
          <w:szCs w:val="24"/>
        </w:rPr>
        <w:t>,</w:t>
      </w:r>
      <w:r w:rsidR="00AD7B3B">
        <w:rPr>
          <w:sz w:val="24"/>
          <w:szCs w:val="24"/>
        </w:rPr>
        <w:t xml:space="preserve"> au </w:t>
      </w:r>
      <w:r w:rsidR="002707F2">
        <w:rPr>
          <w:sz w:val="24"/>
          <w:szCs w:val="24"/>
        </w:rPr>
        <w:t xml:space="preserve">ralentissement </w:t>
      </w:r>
      <w:r w:rsidR="00C33EDF">
        <w:rPr>
          <w:sz w:val="24"/>
          <w:szCs w:val="24"/>
        </w:rPr>
        <w:t xml:space="preserve">à 1,9% de croissance du secteur secondaire et </w:t>
      </w:r>
      <w:r w:rsidR="00AD7B3B">
        <w:rPr>
          <w:sz w:val="24"/>
          <w:szCs w:val="24"/>
        </w:rPr>
        <w:t>à</w:t>
      </w:r>
      <w:r w:rsidR="00F207E2">
        <w:rPr>
          <w:sz w:val="24"/>
          <w:szCs w:val="24"/>
        </w:rPr>
        <w:t xml:space="preserve"> </w:t>
      </w:r>
      <w:r w:rsidR="00C33EDF">
        <w:rPr>
          <w:sz w:val="24"/>
          <w:szCs w:val="24"/>
        </w:rPr>
        <w:t>la faible reprise à 2,3% des activités tertiaires.</w:t>
      </w:r>
    </w:p>
    <w:p w:rsidR="00437A03" w:rsidRDefault="00437A03" w:rsidP="00AC503B">
      <w:pPr>
        <w:spacing w:after="0"/>
        <w:jc w:val="both"/>
        <w:rPr>
          <w:sz w:val="24"/>
          <w:szCs w:val="24"/>
        </w:rPr>
      </w:pPr>
    </w:p>
    <w:p w:rsidR="00C8250E" w:rsidRDefault="00C8250E" w:rsidP="00AC503B">
      <w:pPr>
        <w:spacing w:after="0"/>
        <w:jc w:val="both"/>
        <w:rPr>
          <w:sz w:val="24"/>
          <w:szCs w:val="24"/>
        </w:rPr>
      </w:pPr>
      <w:r>
        <w:rPr>
          <w:b/>
          <w:bCs/>
          <w:sz w:val="24"/>
          <w:szCs w:val="24"/>
        </w:rPr>
        <w:t xml:space="preserve">La croissance du </w:t>
      </w:r>
      <w:r w:rsidRPr="00665A58">
        <w:rPr>
          <w:b/>
          <w:bCs/>
          <w:sz w:val="24"/>
          <w:szCs w:val="24"/>
        </w:rPr>
        <w:t>PIB</w:t>
      </w:r>
      <w:r w:rsidR="00CB7BB2" w:rsidRPr="00CB7BB2">
        <w:rPr>
          <w:sz w:val="24"/>
          <w:szCs w:val="24"/>
        </w:rPr>
        <w:t xml:space="preserve"> </w:t>
      </w:r>
      <w:r w:rsidR="00CB7BB2">
        <w:rPr>
          <w:sz w:val="24"/>
          <w:szCs w:val="24"/>
        </w:rPr>
        <w:t>serait</w:t>
      </w:r>
      <w:r>
        <w:rPr>
          <w:sz w:val="24"/>
          <w:szCs w:val="24"/>
        </w:rPr>
        <w:t>, compte tenu de l’évolution de 6,6% des impôts et taxes s</w:t>
      </w:r>
      <w:r w:rsidR="00AB5AB5">
        <w:rPr>
          <w:sz w:val="24"/>
          <w:szCs w:val="24"/>
        </w:rPr>
        <w:t>ur produits nets de subventions</w:t>
      </w:r>
      <w:r w:rsidR="00CB7BB2">
        <w:rPr>
          <w:sz w:val="24"/>
          <w:szCs w:val="24"/>
        </w:rPr>
        <w:t xml:space="preserve">, </w:t>
      </w:r>
      <w:r w:rsidR="00AB5AB5">
        <w:rPr>
          <w:sz w:val="24"/>
          <w:szCs w:val="24"/>
        </w:rPr>
        <w:t>de 1,1%</w:t>
      </w:r>
      <w:r>
        <w:rPr>
          <w:sz w:val="24"/>
          <w:szCs w:val="24"/>
        </w:rPr>
        <w:t xml:space="preserve"> </w:t>
      </w:r>
      <w:r w:rsidR="00AB5AB5">
        <w:rPr>
          <w:sz w:val="24"/>
          <w:szCs w:val="24"/>
        </w:rPr>
        <w:t>et l</w:t>
      </w:r>
      <w:r w:rsidR="00230239">
        <w:rPr>
          <w:sz w:val="24"/>
          <w:szCs w:val="24"/>
        </w:rPr>
        <w:t>’inflation</w:t>
      </w:r>
      <w:r w:rsidR="00AB5AB5">
        <w:rPr>
          <w:sz w:val="24"/>
          <w:szCs w:val="24"/>
        </w:rPr>
        <w:t xml:space="preserve"> </w:t>
      </w:r>
      <w:r w:rsidR="00230239">
        <w:rPr>
          <w:sz w:val="24"/>
          <w:szCs w:val="24"/>
        </w:rPr>
        <w:t xml:space="preserve">de </w:t>
      </w:r>
      <w:r w:rsidR="00AE33DF">
        <w:rPr>
          <w:sz w:val="24"/>
          <w:szCs w:val="24"/>
        </w:rPr>
        <w:t>1,7</w:t>
      </w:r>
      <w:r w:rsidR="002E433D">
        <w:rPr>
          <w:sz w:val="24"/>
          <w:szCs w:val="24"/>
        </w:rPr>
        <w:t>%</w:t>
      </w:r>
      <w:r w:rsidR="00230239">
        <w:rPr>
          <w:sz w:val="24"/>
          <w:szCs w:val="24"/>
        </w:rPr>
        <w:t>.</w:t>
      </w:r>
    </w:p>
    <w:p w:rsidR="00C8250E" w:rsidRDefault="00C8250E" w:rsidP="00AC503B">
      <w:pPr>
        <w:spacing w:after="0"/>
        <w:jc w:val="both"/>
        <w:rPr>
          <w:sz w:val="24"/>
          <w:szCs w:val="24"/>
          <w:highlight w:val="yellow"/>
        </w:rPr>
      </w:pPr>
    </w:p>
    <w:p w:rsidR="00AD7B3B" w:rsidRPr="00437A03" w:rsidRDefault="00AD7B3B" w:rsidP="008E3364">
      <w:pPr>
        <w:spacing w:after="0"/>
        <w:jc w:val="both"/>
        <w:rPr>
          <w:sz w:val="24"/>
          <w:szCs w:val="24"/>
        </w:rPr>
      </w:pPr>
      <w:r w:rsidRPr="00450132">
        <w:rPr>
          <w:b/>
          <w:bCs/>
          <w:sz w:val="24"/>
          <w:szCs w:val="24"/>
        </w:rPr>
        <w:t>En 2017</w:t>
      </w:r>
      <w:r w:rsidRPr="00C8250E">
        <w:rPr>
          <w:sz w:val="24"/>
          <w:szCs w:val="24"/>
        </w:rPr>
        <w:t xml:space="preserve">, les prévisions d’un retour à une production moyenne de la céréaliculture et d’une consolidation </w:t>
      </w:r>
      <w:r w:rsidR="00C8250E" w:rsidRPr="00C8250E">
        <w:rPr>
          <w:sz w:val="24"/>
          <w:szCs w:val="24"/>
        </w:rPr>
        <w:t xml:space="preserve">de la productivité </w:t>
      </w:r>
      <w:r w:rsidRPr="00C8250E">
        <w:rPr>
          <w:sz w:val="24"/>
          <w:szCs w:val="24"/>
        </w:rPr>
        <w:t>des autres cultures, de l’élevage et de la pêche maritime, le secteur primaire créerait une valeur ajoutée en hausse de 9,</w:t>
      </w:r>
      <w:r w:rsidR="008E3364">
        <w:rPr>
          <w:sz w:val="24"/>
          <w:szCs w:val="24"/>
        </w:rPr>
        <w:t>7</w:t>
      </w:r>
      <w:r w:rsidRPr="00C8250E">
        <w:rPr>
          <w:sz w:val="24"/>
          <w:szCs w:val="24"/>
        </w:rPr>
        <w:t xml:space="preserve">%, portant sa contribution à </w:t>
      </w:r>
      <w:r w:rsidR="00290BDD">
        <w:rPr>
          <w:sz w:val="24"/>
          <w:szCs w:val="24"/>
        </w:rPr>
        <w:t>1,2</w:t>
      </w:r>
      <w:r w:rsidRPr="00C8250E">
        <w:rPr>
          <w:sz w:val="24"/>
          <w:szCs w:val="24"/>
        </w:rPr>
        <w:t>% au PIB prévisionnel</w:t>
      </w:r>
      <w:r w:rsidR="00C8250E" w:rsidRPr="00C8250E">
        <w:rPr>
          <w:sz w:val="24"/>
          <w:szCs w:val="24"/>
        </w:rPr>
        <w:t xml:space="preserve"> de cette année</w:t>
      </w:r>
      <w:r w:rsidRPr="00C8250E">
        <w:rPr>
          <w:sz w:val="24"/>
          <w:szCs w:val="24"/>
        </w:rPr>
        <w:t>.</w:t>
      </w:r>
      <w:r>
        <w:rPr>
          <w:sz w:val="24"/>
          <w:szCs w:val="24"/>
        </w:rPr>
        <w:t xml:space="preserve">  </w:t>
      </w:r>
    </w:p>
    <w:p w:rsidR="00AD7B3B" w:rsidRDefault="00AD7B3B" w:rsidP="00AC503B">
      <w:pPr>
        <w:spacing w:after="0"/>
        <w:jc w:val="both"/>
        <w:rPr>
          <w:sz w:val="24"/>
          <w:szCs w:val="24"/>
        </w:rPr>
      </w:pPr>
    </w:p>
    <w:p w:rsidR="00437A03" w:rsidRDefault="00C8250E" w:rsidP="00AC503B">
      <w:pPr>
        <w:spacing w:after="0"/>
        <w:jc w:val="both"/>
        <w:rPr>
          <w:sz w:val="24"/>
          <w:szCs w:val="24"/>
        </w:rPr>
      </w:pPr>
      <w:r>
        <w:rPr>
          <w:sz w:val="24"/>
          <w:szCs w:val="24"/>
        </w:rPr>
        <w:t>L</w:t>
      </w:r>
      <w:r w:rsidR="00E05F09">
        <w:rPr>
          <w:sz w:val="24"/>
          <w:szCs w:val="24"/>
        </w:rPr>
        <w:t>a valeur ajoutée non agricole</w:t>
      </w:r>
      <w:r>
        <w:rPr>
          <w:sz w:val="24"/>
          <w:szCs w:val="24"/>
        </w:rPr>
        <w:t>, de son côté,</w:t>
      </w:r>
      <w:r w:rsidR="00E05F09">
        <w:rPr>
          <w:sz w:val="24"/>
          <w:szCs w:val="24"/>
        </w:rPr>
        <w:t xml:space="preserve"> s’améliorerait à 2,4% sous l’effet d’une hausse à 2,5% du rythme de croissance du secteur secondaire et de la consolidation à </w:t>
      </w:r>
      <w:r w:rsidR="00D31036">
        <w:rPr>
          <w:sz w:val="24"/>
          <w:szCs w:val="24"/>
        </w:rPr>
        <w:t>2,4%</w:t>
      </w:r>
      <w:r w:rsidR="00E05F09">
        <w:rPr>
          <w:sz w:val="24"/>
          <w:szCs w:val="24"/>
        </w:rPr>
        <w:t xml:space="preserve"> </w:t>
      </w:r>
      <w:r>
        <w:rPr>
          <w:sz w:val="24"/>
          <w:szCs w:val="24"/>
        </w:rPr>
        <w:t xml:space="preserve">de celui du </w:t>
      </w:r>
      <w:r w:rsidR="00E05F09">
        <w:rPr>
          <w:sz w:val="24"/>
          <w:szCs w:val="24"/>
        </w:rPr>
        <w:t xml:space="preserve">secteur tertiaire </w:t>
      </w:r>
      <w:r>
        <w:rPr>
          <w:sz w:val="24"/>
          <w:szCs w:val="24"/>
        </w:rPr>
        <w:t xml:space="preserve">confirmant </w:t>
      </w:r>
      <w:r w:rsidR="00E05F09">
        <w:rPr>
          <w:sz w:val="24"/>
          <w:szCs w:val="24"/>
        </w:rPr>
        <w:t xml:space="preserve">la légère reprise </w:t>
      </w:r>
      <w:r w:rsidR="00D31036">
        <w:rPr>
          <w:sz w:val="24"/>
          <w:szCs w:val="24"/>
        </w:rPr>
        <w:t>amorcé</w:t>
      </w:r>
      <w:r>
        <w:rPr>
          <w:sz w:val="24"/>
          <w:szCs w:val="24"/>
        </w:rPr>
        <w:t>e</w:t>
      </w:r>
      <w:r w:rsidR="00E05F09">
        <w:rPr>
          <w:sz w:val="24"/>
          <w:szCs w:val="24"/>
        </w:rPr>
        <w:t xml:space="preserve"> </w:t>
      </w:r>
      <w:r w:rsidR="00D31036">
        <w:rPr>
          <w:sz w:val="24"/>
          <w:szCs w:val="24"/>
        </w:rPr>
        <w:t>depuis</w:t>
      </w:r>
      <w:r w:rsidR="00E05F09">
        <w:rPr>
          <w:sz w:val="24"/>
          <w:szCs w:val="24"/>
        </w:rPr>
        <w:t xml:space="preserve"> 2015.</w:t>
      </w:r>
      <w:r w:rsidR="00000FE5">
        <w:rPr>
          <w:sz w:val="24"/>
          <w:szCs w:val="24"/>
        </w:rPr>
        <w:t xml:space="preserve"> </w:t>
      </w:r>
    </w:p>
    <w:p w:rsidR="00000FE5" w:rsidRDefault="00000FE5" w:rsidP="00AC503B">
      <w:pPr>
        <w:spacing w:after="0"/>
        <w:jc w:val="both"/>
        <w:rPr>
          <w:sz w:val="24"/>
          <w:szCs w:val="24"/>
        </w:rPr>
      </w:pPr>
    </w:p>
    <w:p w:rsidR="00000FE5" w:rsidRDefault="00C8250E" w:rsidP="00AC503B">
      <w:pPr>
        <w:spacing w:after="0"/>
        <w:jc w:val="both"/>
        <w:rPr>
          <w:sz w:val="24"/>
          <w:szCs w:val="24"/>
        </w:rPr>
      </w:pPr>
      <w:r>
        <w:rPr>
          <w:sz w:val="24"/>
          <w:szCs w:val="24"/>
        </w:rPr>
        <w:t xml:space="preserve">Au total, </w:t>
      </w:r>
      <w:r w:rsidR="00000FE5">
        <w:rPr>
          <w:sz w:val="24"/>
          <w:szCs w:val="24"/>
        </w:rPr>
        <w:t>l</w:t>
      </w:r>
      <w:r>
        <w:rPr>
          <w:sz w:val="24"/>
          <w:szCs w:val="24"/>
        </w:rPr>
        <w:t xml:space="preserve">’économie nationale terminerait l’année 2017 </w:t>
      </w:r>
      <w:r w:rsidR="00230239">
        <w:rPr>
          <w:sz w:val="24"/>
          <w:szCs w:val="24"/>
        </w:rPr>
        <w:t>avec</w:t>
      </w:r>
      <w:r>
        <w:rPr>
          <w:sz w:val="24"/>
          <w:szCs w:val="24"/>
        </w:rPr>
        <w:t xml:space="preserve"> une </w:t>
      </w:r>
      <w:r w:rsidR="00000FE5">
        <w:rPr>
          <w:sz w:val="24"/>
          <w:szCs w:val="24"/>
        </w:rPr>
        <w:t>croissance de 3,6%</w:t>
      </w:r>
      <w:r w:rsidR="00230239">
        <w:rPr>
          <w:sz w:val="24"/>
          <w:szCs w:val="24"/>
        </w:rPr>
        <w:t xml:space="preserve"> et </w:t>
      </w:r>
      <w:r w:rsidR="00D7295E">
        <w:rPr>
          <w:sz w:val="24"/>
          <w:szCs w:val="24"/>
        </w:rPr>
        <w:t>l’</w:t>
      </w:r>
      <w:r w:rsidR="00230239">
        <w:rPr>
          <w:sz w:val="24"/>
          <w:szCs w:val="24"/>
        </w:rPr>
        <w:t xml:space="preserve">inflation </w:t>
      </w:r>
      <w:r w:rsidR="00D7295E">
        <w:rPr>
          <w:sz w:val="24"/>
          <w:szCs w:val="24"/>
        </w:rPr>
        <w:t>en hausse à</w:t>
      </w:r>
      <w:r w:rsidR="00230239">
        <w:rPr>
          <w:sz w:val="24"/>
          <w:szCs w:val="24"/>
        </w:rPr>
        <w:t xml:space="preserve"> </w:t>
      </w:r>
      <w:r w:rsidR="00AE33DF" w:rsidRPr="00AE33DF">
        <w:rPr>
          <w:sz w:val="24"/>
          <w:szCs w:val="24"/>
        </w:rPr>
        <w:t>2,1</w:t>
      </w:r>
      <w:r w:rsidR="002E433D" w:rsidRPr="00AE33DF">
        <w:rPr>
          <w:sz w:val="24"/>
          <w:szCs w:val="24"/>
        </w:rPr>
        <w:t>%.</w:t>
      </w:r>
    </w:p>
    <w:p w:rsidR="003C1F71" w:rsidRDefault="003C1F71" w:rsidP="00AC503B">
      <w:pPr>
        <w:spacing w:after="0"/>
        <w:jc w:val="both"/>
        <w:rPr>
          <w:sz w:val="24"/>
          <w:szCs w:val="24"/>
        </w:rPr>
      </w:pPr>
    </w:p>
    <w:p w:rsidR="005B5D20" w:rsidRDefault="005B5D20" w:rsidP="00AC503B">
      <w:pPr>
        <w:spacing w:after="0"/>
        <w:jc w:val="both"/>
        <w:rPr>
          <w:sz w:val="24"/>
          <w:szCs w:val="24"/>
        </w:rPr>
      </w:pPr>
      <w:r>
        <w:rPr>
          <w:sz w:val="24"/>
          <w:szCs w:val="24"/>
        </w:rPr>
        <w:t xml:space="preserve">La double évolution de la situation économique estimée pour 2016 et celle prévue pour 2017, </w:t>
      </w:r>
      <w:r w:rsidR="00720DA6">
        <w:rPr>
          <w:sz w:val="24"/>
          <w:szCs w:val="24"/>
        </w:rPr>
        <w:t>devrait reproduire</w:t>
      </w:r>
      <w:r>
        <w:rPr>
          <w:sz w:val="24"/>
          <w:szCs w:val="24"/>
        </w:rPr>
        <w:t xml:space="preserve"> ainsi, l’une et l’autre, la dépendance de notre offre agricole </w:t>
      </w:r>
      <w:r w:rsidR="00720DA6">
        <w:rPr>
          <w:sz w:val="24"/>
          <w:szCs w:val="24"/>
        </w:rPr>
        <w:t>des</w:t>
      </w:r>
      <w:r>
        <w:rPr>
          <w:sz w:val="24"/>
          <w:szCs w:val="24"/>
        </w:rPr>
        <w:t xml:space="preserve"> conditions climatiques et, comme le </w:t>
      </w:r>
      <w:r w:rsidR="00A44EB1">
        <w:rPr>
          <w:sz w:val="24"/>
          <w:szCs w:val="24"/>
        </w:rPr>
        <w:t xml:space="preserve">montre le </w:t>
      </w:r>
      <w:r>
        <w:rPr>
          <w:sz w:val="24"/>
          <w:szCs w:val="24"/>
        </w:rPr>
        <w:t xml:space="preserve">tableau ci-joint, </w:t>
      </w:r>
      <w:r w:rsidR="00720DA6">
        <w:rPr>
          <w:sz w:val="24"/>
          <w:szCs w:val="24"/>
        </w:rPr>
        <w:t xml:space="preserve">la tendance </w:t>
      </w:r>
      <w:r>
        <w:rPr>
          <w:sz w:val="24"/>
          <w:szCs w:val="24"/>
        </w:rPr>
        <w:t>persistant</w:t>
      </w:r>
      <w:r w:rsidR="00720DA6">
        <w:rPr>
          <w:sz w:val="24"/>
          <w:szCs w:val="24"/>
        </w:rPr>
        <w:t>e du</w:t>
      </w:r>
      <w:r>
        <w:rPr>
          <w:sz w:val="24"/>
          <w:szCs w:val="24"/>
        </w:rPr>
        <w:t xml:space="preserve"> </w:t>
      </w:r>
      <w:r w:rsidR="00720DA6">
        <w:rPr>
          <w:sz w:val="24"/>
          <w:szCs w:val="24"/>
        </w:rPr>
        <w:t>ralentissement que manifeste</w:t>
      </w:r>
      <w:r w:rsidR="002260E7">
        <w:rPr>
          <w:sz w:val="24"/>
          <w:szCs w:val="24"/>
        </w:rPr>
        <w:t>rait</w:t>
      </w:r>
      <w:r w:rsidR="00720DA6">
        <w:rPr>
          <w:sz w:val="24"/>
          <w:szCs w:val="24"/>
        </w:rPr>
        <w:t xml:space="preserve"> </w:t>
      </w:r>
      <w:r>
        <w:rPr>
          <w:sz w:val="24"/>
          <w:szCs w:val="24"/>
        </w:rPr>
        <w:t>la croissance de l’ensemble des activités</w:t>
      </w:r>
      <w:r w:rsidR="00E01308">
        <w:rPr>
          <w:sz w:val="24"/>
          <w:szCs w:val="24"/>
        </w:rPr>
        <w:t xml:space="preserve"> non agricoles</w:t>
      </w:r>
      <w:r w:rsidR="00720DA6">
        <w:rPr>
          <w:sz w:val="24"/>
          <w:szCs w:val="24"/>
        </w:rPr>
        <w:t>,</w:t>
      </w:r>
      <w:r>
        <w:rPr>
          <w:sz w:val="24"/>
          <w:szCs w:val="24"/>
        </w:rPr>
        <w:t xml:space="preserve"> aussi bien </w:t>
      </w:r>
      <w:r w:rsidR="00882401">
        <w:rPr>
          <w:sz w:val="24"/>
          <w:szCs w:val="24"/>
        </w:rPr>
        <w:t xml:space="preserve">celles </w:t>
      </w:r>
      <w:r>
        <w:rPr>
          <w:sz w:val="24"/>
          <w:szCs w:val="24"/>
        </w:rPr>
        <w:t>du secteur secondaire que</w:t>
      </w:r>
      <w:r w:rsidR="00882401">
        <w:rPr>
          <w:sz w:val="24"/>
          <w:szCs w:val="24"/>
        </w:rPr>
        <w:t xml:space="preserve"> celles</w:t>
      </w:r>
      <w:r>
        <w:rPr>
          <w:sz w:val="24"/>
          <w:szCs w:val="24"/>
        </w:rPr>
        <w:t xml:space="preserve"> du secteur tertiaire.</w:t>
      </w:r>
    </w:p>
    <w:tbl>
      <w:tblPr>
        <w:tblW w:w="5000" w:type="pct"/>
        <w:tblCellMar>
          <w:left w:w="70" w:type="dxa"/>
          <w:right w:w="70" w:type="dxa"/>
        </w:tblCellMar>
        <w:tblLook w:val="04A0"/>
      </w:tblPr>
      <w:tblGrid>
        <w:gridCol w:w="1372"/>
        <w:gridCol w:w="853"/>
        <w:gridCol w:w="720"/>
        <w:gridCol w:w="587"/>
        <w:gridCol w:w="587"/>
        <w:gridCol w:w="587"/>
        <w:gridCol w:w="587"/>
        <w:gridCol w:w="587"/>
        <w:gridCol w:w="587"/>
        <w:gridCol w:w="587"/>
        <w:gridCol w:w="587"/>
        <w:gridCol w:w="769"/>
        <w:gridCol w:w="800"/>
      </w:tblGrid>
      <w:tr w:rsidR="00626284" w:rsidRPr="00626284" w:rsidTr="005607C0">
        <w:trPr>
          <w:trHeight w:val="355"/>
        </w:trPr>
        <w:tc>
          <w:tcPr>
            <w:tcW w:w="3791" w:type="pct"/>
            <w:gridSpan w:val="10"/>
            <w:tcBorders>
              <w:top w:val="nil"/>
              <w:left w:val="nil"/>
              <w:bottom w:val="nil"/>
              <w:right w:val="nil"/>
            </w:tcBorders>
            <w:shd w:val="clear" w:color="auto" w:fill="auto"/>
            <w:noWrap/>
            <w:vAlign w:val="bottom"/>
            <w:hideMark/>
          </w:tcPr>
          <w:p w:rsidR="00626284" w:rsidRPr="00626284" w:rsidRDefault="00626284" w:rsidP="00626284">
            <w:pPr>
              <w:spacing w:after="0" w:line="240" w:lineRule="auto"/>
              <w:jc w:val="center"/>
              <w:rPr>
                <w:rFonts w:eastAsia="Times New Roman" w:cs="Calibri"/>
                <w:b/>
                <w:bCs/>
                <w:color w:val="000000"/>
                <w:lang w:eastAsia="fr-FR"/>
              </w:rPr>
            </w:pPr>
            <w:r w:rsidRPr="00626284">
              <w:rPr>
                <w:rFonts w:eastAsia="Times New Roman" w:cs="Calibri"/>
                <w:b/>
                <w:bCs/>
                <w:color w:val="000000"/>
                <w:lang w:eastAsia="fr-FR"/>
              </w:rPr>
              <w:lastRenderedPageBreak/>
              <w:t>Evolution de la valeur ajoutée sectorielle et du PIB national</w:t>
            </w:r>
          </w:p>
        </w:tc>
        <w:tc>
          <w:tcPr>
            <w:tcW w:w="292" w:type="pct"/>
            <w:tcBorders>
              <w:top w:val="nil"/>
              <w:left w:val="nil"/>
              <w:bottom w:val="nil"/>
              <w:right w:val="nil"/>
            </w:tcBorders>
            <w:shd w:val="clear" w:color="auto" w:fill="auto"/>
            <w:noWrap/>
            <w:vAlign w:val="bottom"/>
            <w:hideMark/>
          </w:tcPr>
          <w:p w:rsidR="00626284" w:rsidRPr="00626284" w:rsidRDefault="00626284" w:rsidP="00626284">
            <w:pPr>
              <w:spacing w:after="0" w:line="240" w:lineRule="auto"/>
              <w:rPr>
                <w:rFonts w:eastAsia="Times New Roman" w:cs="Calibri"/>
                <w:color w:val="000000"/>
                <w:lang w:eastAsia="fr-FR"/>
              </w:rPr>
            </w:pPr>
          </w:p>
        </w:tc>
        <w:tc>
          <w:tcPr>
            <w:tcW w:w="449" w:type="pct"/>
            <w:tcBorders>
              <w:top w:val="nil"/>
              <w:left w:val="nil"/>
              <w:bottom w:val="nil"/>
              <w:right w:val="nil"/>
            </w:tcBorders>
            <w:shd w:val="clear" w:color="auto" w:fill="auto"/>
            <w:noWrap/>
            <w:vAlign w:val="bottom"/>
            <w:hideMark/>
          </w:tcPr>
          <w:p w:rsidR="00626284" w:rsidRPr="00626284" w:rsidRDefault="00626284" w:rsidP="00626284">
            <w:pPr>
              <w:spacing w:after="0" w:line="240" w:lineRule="auto"/>
              <w:rPr>
                <w:rFonts w:eastAsia="Times New Roman" w:cs="Calibri"/>
                <w:color w:val="000000"/>
                <w:lang w:eastAsia="fr-FR"/>
              </w:rPr>
            </w:pPr>
          </w:p>
        </w:tc>
        <w:tc>
          <w:tcPr>
            <w:tcW w:w="469" w:type="pct"/>
            <w:tcBorders>
              <w:top w:val="nil"/>
              <w:left w:val="nil"/>
              <w:bottom w:val="nil"/>
              <w:right w:val="nil"/>
            </w:tcBorders>
            <w:shd w:val="clear" w:color="auto" w:fill="auto"/>
            <w:noWrap/>
            <w:vAlign w:val="bottom"/>
            <w:hideMark/>
          </w:tcPr>
          <w:p w:rsidR="00626284" w:rsidRPr="00626284" w:rsidRDefault="00626284" w:rsidP="00626284">
            <w:pPr>
              <w:spacing w:after="0" w:line="240" w:lineRule="auto"/>
              <w:rPr>
                <w:rFonts w:eastAsia="Times New Roman" w:cs="Calibri"/>
                <w:color w:val="000000"/>
                <w:lang w:eastAsia="fr-FR"/>
              </w:rPr>
            </w:pPr>
          </w:p>
        </w:tc>
      </w:tr>
      <w:tr w:rsidR="005607C0" w:rsidRPr="00626284" w:rsidTr="005607C0">
        <w:trPr>
          <w:trHeight w:val="355"/>
        </w:trPr>
        <w:tc>
          <w:tcPr>
            <w:tcW w:w="776" w:type="pct"/>
            <w:tcBorders>
              <w:top w:val="nil"/>
              <w:left w:val="nil"/>
              <w:bottom w:val="nil"/>
              <w:right w:val="nil"/>
            </w:tcBorders>
            <w:shd w:val="clear" w:color="auto" w:fill="auto"/>
            <w:noWrap/>
            <w:vAlign w:val="bottom"/>
            <w:hideMark/>
          </w:tcPr>
          <w:p w:rsidR="00626284" w:rsidRPr="00626284" w:rsidRDefault="00626284" w:rsidP="00626284">
            <w:pPr>
              <w:spacing w:after="0" w:line="240" w:lineRule="auto"/>
              <w:rPr>
                <w:rFonts w:eastAsia="Times New Roman" w:cs="Calibri"/>
                <w:color w:val="000000"/>
                <w:lang w:eastAsia="fr-FR"/>
              </w:rPr>
            </w:pPr>
          </w:p>
        </w:tc>
        <w:tc>
          <w:tcPr>
            <w:tcW w:w="494" w:type="pct"/>
            <w:tcBorders>
              <w:top w:val="nil"/>
              <w:left w:val="nil"/>
              <w:bottom w:val="nil"/>
              <w:right w:val="nil"/>
            </w:tcBorders>
            <w:shd w:val="clear" w:color="auto" w:fill="auto"/>
            <w:noWrap/>
            <w:vAlign w:val="bottom"/>
            <w:hideMark/>
          </w:tcPr>
          <w:p w:rsidR="00626284" w:rsidRPr="00626284" w:rsidRDefault="00626284" w:rsidP="00626284">
            <w:pPr>
              <w:spacing w:after="0" w:line="240" w:lineRule="auto"/>
              <w:rPr>
                <w:rFonts w:eastAsia="Times New Roman" w:cs="Calibri"/>
                <w:color w:val="000000"/>
                <w:lang w:eastAsia="fr-FR"/>
              </w:rPr>
            </w:pPr>
          </w:p>
        </w:tc>
        <w:tc>
          <w:tcPr>
            <w:tcW w:w="422" w:type="pct"/>
            <w:tcBorders>
              <w:top w:val="nil"/>
              <w:left w:val="nil"/>
              <w:bottom w:val="nil"/>
              <w:right w:val="nil"/>
            </w:tcBorders>
            <w:shd w:val="clear" w:color="auto" w:fill="auto"/>
            <w:noWrap/>
            <w:vAlign w:val="bottom"/>
            <w:hideMark/>
          </w:tcPr>
          <w:p w:rsidR="00626284" w:rsidRPr="00626284" w:rsidRDefault="00626284" w:rsidP="00626284">
            <w:pPr>
              <w:spacing w:after="0" w:line="240" w:lineRule="auto"/>
              <w:rPr>
                <w:rFonts w:eastAsia="Times New Roman" w:cs="Calibri"/>
                <w:color w:val="000000"/>
                <w:lang w:eastAsia="fr-FR"/>
              </w:rPr>
            </w:pPr>
          </w:p>
        </w:tc>
        <w:tc>
          <w:tcPr>
            <w:tcW w:w="349" w:type="pct"/>
            <w:tcBorders>
              <w:top w:val="nil"/>
              <w:left w:val="nil"/>
              <w:bottom w:val="nil"/>
              <w:right w:val="nil"/>
            </w:tcBorders>
            <w:shd w:val="clear" w:color="auto" w:fill="auto"/>
            <w:noWrap/>
            <w:vAlign w:val="bottom"/>
            <w:hideMark/>
          </w:tcPr>
          <w:p w:rsidR="00626284" w:rsidRPr="00626284" w:rsidRDefault="00626284" w:rsidP="00626284">
            <w:pPr>
              <w:spacing w:after="0" w:line="240" w:lineRule="auto"/>
              <w:rPr>
                <w:rFonts w:eastAsia="Times New Roman" w:cs="Calibri"/>
                <w:color w:val="000000"/>
                <w:lang w:eastAsia="fr-FR"/>
              </w:rPr>
            </w:pPr>
          </w:p>
        </w:tc>
        <w:tc>
          <w:tcPr>
            <w:tcW w:w="292" w:type="pct"/>
            <w:tcBorders>
              <w:top w:val="nil"/>
              <w:left w:val="nil"/>
              <w:bottom w:val="nil"/>
              <w:right w:val="nil"/>
            </w:tcBorders>
            <w:shd w:val="clear" w:color="auto" w:fill="auto"/>
            <w:noWrap/>
            <w:vAlign w:val="bottom"/>
            <w:hideMark/>
          </w:tcPr>
          <w:p w:rsidR="00626284" w:rsidRPr="00626284" w:rsidRDefault="00626284" w:rsidP="00626284">
            <w:pPr>
              <w:spacing w:after="0" w:line="240" w:lineRule="auto"/>
              <w:rPr>
                <w:rFonts w:eastAsia="Times New Roman" w:cs="Calibri"/>
                <w:color w:val="000000"/>
                <w:lang w:eastAsia="fr-FR"/>
              </w:rPr>
            </w:pPr>
          </w:p>
        </w:tc>
        <w:tc>
          <w:tcPr>
            <w:tcW w:w="292" w:type="pct"/>
            <w:tcBorders>
              <w:top w:val="nil"/>
              <w:left w:val="nil"/>
              <w:bottom w:val="nil"/>
              <w:right w:val="nil"/>
            </w:tcBorders>
            <w:shd w:val="clear" w:color="auto" w:fill="auto"/>
            <w:noWrap/>
            <w:vAlign w:val="bottom"/>
            <w:hideMark/>
          </w:tcPr>
          <w:p w:rsidR="00626284" w:rsidRPr="00626284" w:rsidRDefault="00626284" w:rsidP="00626284">
            <w:pPr>
              <w:spacing w:after="0" w:line="240" w:lineRule="auto"/>
              <w:rPr>
                <w:rFonts w:eastAsia="Times New Roman" w:cs="Calibri"/>
                <w:color w:val="000000"/>
                <w:lang w:eastAsia="fr-FR"/>
              </w:rPr>
            </w:pPr>
          </w:p>
        </w:tc>
        <w:tc>
          <w:tcPr>
            <w:tcW w:w="292" w:type="pct"/>
            <w:tcBorders>
              <w:top w:val="nil"/>
              <w:left w:val="nil"/>
              <w:bottom w:val="nil"/>
              <w:right w:val="nil"/>
            </w:tcBorders>
            <w:shd w:val="clear" w:color="auto" w:fill="auto"/>
            <w:noWrap/>
            <w:vAlign w:val="bottom"/>
            <w:hideMark/>
          </w:tcPr>
          <w:p w:rsidR="00626284" w:rsidRPr="00626284" w:rsidRDefault="00626284" w:rsidP="00626284">
            <w:pPr>
              <w:spacing w:after="0" w:line="240" w:lineRule="auto"/>
              <w:rPr>
                <w:rFonts w:eastAsia="Times New Roman" w:cs="Calibri"/>
                <w:color w:val="000000"/>
                <w:lang w:eastAsia="fr-FR"/>
              </w:rPr>
            </w:pPr>
          </w:p>
        </w:tc>
        <w:tc>
          <w:tcPr>
            <w:tcW w:w="292" w:type="pct"/>
            <w:tcBorders>
              <w:top w:val="nil"/>
              <w:left w:val="nil"/>
              <w:bottom w:val="nil"/>
              <w:right w:val="nil"/>
            </w:tcBorders>
            <w:shd w:val="clear" w:color="auto" w:fill="auto"/>
            <w:noWrap/>
            <w:vAlign w:val="bottom"/>
            <w:hideMark/>
          </w:tcPr>
          <w:p w:rsidR="00626284" w:rsidRPr="00626284" w:rsidRDefault="00626284" w:rsidP="00626284">
            <w:pPr>
              <w:spacing w:after="0" w:line="240" w:lineRule="auto"/>
              <w:rPr>
                <w:rFonts w:eastAsia="Times New Roman" w:cs="Calibri"/>
                <w:color w:val="000000"/>
                <w:lang w:eastAsia="fr-FR"/>
              </w:rPr>
            </w:pPr>
          </w:p>
        </w:tc>
        <w:tc>
          <w:tcPr>
            <w:tcW w:w="292" w:type="pct"/>
            <w:tcBorders>
              <w:top w:val="nil"/>
              <w:left w:val="nil"/>
              <w:bottom w:val="nil"/>
              <w:right w:val="nil"/>
            </w:tcBorders>
            <w:shd w:val="clear" w:color="auto" w:fill="auto"/>
            <w:noWrap/>
            <w:vAlign w:val="bottom"/>
            <w:hideMark/>
          </w:tcPr>
          <w:p w:rsidR="00626284" w:rsidRPr="00626284" w:rsidRDefault="00626284" w:rsidP="00626284">
            <w:pPr>
              <w:spacing w:after="0" w:line="240" w:lineRule="auto"/>
              <w:rPr>
                <w:rFonts w:eastAsia="Times New Roman" w:cs="Calibri"/>
                <w:color w:val="000000"/>
                <w:lang w:eastAsia="fr-FR"/>
              </w:rPr>
            </w:pPr>
          </w:p>
        </w:tc>
        <w:tc>
          <w:tcPr>
            <w:tcW w:w="293" w:type="pct"/>
            <w:tcBorders>
              <w:top w:val="nil"/>
              <w:left w:val="nil"/>
              <w:bottom w:val="nil"/>
              <w:right w:val="nil"/>
            </w:tcBorders>
            <w:shd w:val="clear" w:color="auto" w:fill="auto"/>
            <w:noWrap/>
            <w:vAlign w:val="bottom"/>
            <w:hideMark/>
          </w:tcPr>
          <w:p w:rsidR="00626284" w:rsidRPr="00626284" w:rsidRDefault="00626284" w:rsidP="00626284">
            <w:pPr>
              <w:spacing w:after="0" w:line="240" w:lineRule="auto"/>
              <w:rPr>
                <w:rFonts w:eastAsia="Times New Roman" w:cs="Calibri"/>
                <w:color w:val="000000"/>
                <w:lang w:eastAsia="fr-FR"/>
              </w:rPr>
            </w:pPr>
          </w:p>
        </w:tc>
        <w:tc>
          <w:tcPr>
            <w:tcW w:w="292" w:type="pct"/>
            <w:tcBorders>
              <w:top w:val="nil"/>
              <w:left w:val="nil"/>
              <w:bottom w:val="nil"/>
              <w:right w:val="nil"/>
            </w:tcBorders>
            <w:shd w:val="clear" w:color="auto" w:fill="auto"/>
            <w:noWrap/>
            <w:vAlign w:val="bottom"/>
            <w:hideMark/>
          </w:tcPr>
          <w:p w:rsidR="00626284" w:rsidRPr="00626284" w:rsidRDefault="00626284" w:rsidP="00626284">
            <w:pPr>
              <w:spacing w:after="0" w:line="240" w:lineRule="auto"/>
              <w:rPr>
                <w:rFonts w:eastAsia="Times New Roman" w:cs="Calibri"/>
                <w:color w:val="000000"/>
                <w:lang w:eastAsia="fr-FR"/>
              </w:rPr>
            </w:pPr>
          </w:p>
        </w:tc>
        <w:tc>
          <w:tcPr>
            <w:tcW w:w="917" w:type="pct"/>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26284" w:rsidRPr="00626284" w:rsidRDefault="00626284" w:rsidP="00626284">
            <w:pPr>
              <w:spacing w:after="0" w:line="240" w:lineRule="auto"/>
              <w:jc w:val="center"/>
              <w:rPr>
                <w:rFonts w:eastAsia="Times New Roman" w:cs="Calibri"/>
                <w:b/>
                <w:bCs/>
                <w:color w:val="000000"/>
                <w:lang w:eastAsia="fr-FR"/>
              </w:rPr>
            </w:pPr>
            <w:r w:rsidRPr="00626284">
              <w:rPr>
                <w:rFonts w:eastAsia="Times New Roman" w:cs="Calibri"/>
                <w:b/>
                <w:bCs/>
                <w:color w:val="000000"/>
                <w:lang w:eastAsia="fr-FR"/>
              </w:rPr>
              <w:t>Moyenne</w:t>
            </w:r>
          </w:p>
        </w:tc>
      </w:tr>
      <w:tr w:rsidR="005607C0" w:rsidRPr="00626284" w:rsidTr="005607C0">
        <w:trPr>
          <w:trHeight w:val="710"/>
        </w:trPr>
        <w:tc>
          <w:tcPr>
            <w:tcW w:w="776" w:type="pct"/>
            <w:tcBorders>
              <w:top w:val="single" w:sz="8" w:space="0" w:color="auto"/>
              <w:left w:val="single" w:sz="8" w:space="0" w:color="auto"/>
              <w:bottom w:val="single" w:sz="8" w:space="0" w:color="auto"/>
              <w:right w:val="single" w:sz="8" w:space="0" w:color="auto"/>
            </w:tcBorders>
            <w:shd w:val="clear" w:color="auto" w:fill="auto"/>
            <w:noWrap/>
            <w:hideMark/>
          </w:tcPr>
          <w:p w:rsidR="00626284" w:rsidRPr="00626284" w:rsidRDefault="00626284" w:rsidP="00626284">
            <w:pPr>
              <w:bidi/>
              <w:spacing w:after="0" w:line="240" w:lineRule="auto"/>
              <w:jc w:val="center"/>
              <w:rPr>
                <w:rFonts w:eastAsia="Times New Roman" w:cs="Calibri"/>
                <w:b/>
                <w:bCs/>
                <w:lang w:eastAsia="fr-FR"/>
              </w:rPr>
            </w:pPr>
            <w:r w:rsidRPr="00626284">
              <w:rPr>
                <w:rFonts w:eastAsia="Times New Roman" w:cs="Calibri"/>
                <w:b/>
                <w:bCs/>
                <w:rtl/>
                <w:lang w:eastAsia="fr-FR"/>
              </w:rPr>
              <w:t> </w:t>
            </w:r>
          </w:p>
        </w:tc>
        <w:tc>
          <w:tcPr>
            <w:tcW w:w="494" w:type="pct"/>
            <w:tcBorders>
              <w:top w:val="single" w:sz="8" w:space="0" w:color="auto"/>
              <w:left w:val="nil"/>
              <w:bottom w:val="single" w:sz="8" w:space="0" w:color="auto"/>
              <w:right w:val="single" w:sz="8" w:space="0" w:color="auto"/>
            </w:tcBorders>
            <w:shd w:val="clear" w:color="auto" w:fill="auto"/>
            <w:vAlign w:val="center"/>
            <w:hideMark/>
          </w:tcPr>
          <w:p w:rsidR="00626284" w:rsidRPr="00626284" w:rsidRDefault="00626284" w:rsidP="00626284">
            <w:pPr>
              <w:spacing w:after="0" w:line="240" w:lineRule="auto"/>
              <w:jc w:val="center"/>
              <w:rPr>
                <w:rFonts w:eastAsia="Times New Roman" w:cs="Calibri"/>
                <w:b/>
                <w:bCs/>
                <w:color w:val="000000"/>
                <w:lang w:eastAsia="fr-FR"/>
              </w:rPr>
            </w:pPr>
            <w:r w:rsidRPr="00626284">
              <w:rPr>
                <w:rFonts w:eastAsia="Times New Roman" w:cs="Calibri"/>
                <w:b/>
                <w:bCs/>
                <w:color w:val="000000"/>
                <w:lang w:eastAsia="fr-FR"/>
              </w:rPr>
              <w:t>2008</w:t>
            </w:r>
          </w:p>
        </w:tc>
        <w:tc>
          <w:tcPr>
            <w:tcW w:w="422" w:type="pct"/>
            <w:tcBorders>
              <w:top w:val="single" w:sz="8" w:space="0" w:color="auto"/>
              <w:left w:val="nil"/>
              <w:bottom w:val="single" w:sz="8" w:space="0" w:color="auto"/>
              <w:right w:val="single" w:sz="8" w:space="0" w:color="auto"/>
            </w:tcBorders>
            <w:shd w:val="clear" w:color="auto" w:fill="auto"/>
            <w:vAlign w:val="center"/>
            <w:hideMark/>
          </w:tcPr>
          <w:p w:rsidR="00626284" w:rsidRPr="00626284" w:rsidRDefault="00626284" w:rsidP="00626284">
            <w:pPr>
              <w:spacing w:after="0" w:line="240" w:lineRule="auto"/>
              <w:jc w:val="center"/>
              <w:rPr>
                <w:rFonts w:eastAsia="Times New Roman" w:cs="Calibri"/>
                <w:b/>
                <w:bCs/>
                <w:color w:val="000000"/>
                <w:lang w:eastAsia="fr-FR"/>
              </w:rPr>
            </w:pPr>
            <w:r w:rsidRPr="00626284">
              <w:rPr>
                <w:rFonts w:eastAsia="Times New Roman" w:cs="Calibri"/>
                <w:b/>
                <w:bCs/>
                <w:color w:val="000000"/>
                <w:lang w:eastAsia="fr-FR"/>
              </w:rPr>
              <w:t>2009</w:t>
            </w:r>
          </w:p>
        </w:tc>
        <w:tc>
          <w:tcPr>
            <w:tcW w:w="349" w:type="pct"/>
            <w:tcBorders>
              <w:top w:val="single" w:sz="8" w:space="0" w:color="auto"/>
              <w:left w:val="nil"/>
              <w:bottom w:val="single" w:sz="8" w:space="0" w:color="auto"/>
              <w:right w:val="single" w:sz="8" w:space="0" w:color="auto"/>
            </w:tcBorders>
            <w:shd w:val="clear" w:color="auto" w:fill="auto"/>
            <w:vAlign w:val="center"/>
            <w:hideMark/>
          </w:tcPr>
          <w:p w:rsidR="00626284" w:rsidRPr="00626284" w:rsidRDefault="00626284" w:rsidP="00626284">
            <w:pPr>
              <w:spacing w:after="0" w:line="240" w:lineRule="auto"/>
              <w:jc w:val="center"/>
              <w:rPr>
                <w:rFonts w:eastAsia="Times New Roman" w:cs="Calibri"/>
                <w:b/>
                <w:bCs/>
                <w:color w:val="000000"/>
                <w:lang w:eastAsia="fr-FR"/>
              </w:rPr>
            </w:pPr>
            <w:r w:rsidRPr="00626284">
              <w:rPr>
                <w:rFonts w:eastAsia="Times New Roman" w:cs="Calibri"/>
                <w:b/>
                <w:bCs/>
                <w:color w:val="000000"/>
                <w:lang w:eastAsia="fr-FR"/>
              </w:rPr>
              <w:t>2010</w:t>
            </w:r>
          </w:p>
        </w:tc>
        <w:tc>
          <w:tcPr>
            <w:tcW w:w="292" w:type="pct"/>
            <w:tcBorders>
              <w:top w:val="single" w:sz="8" w:space="0" w:color="auto"/>
              <w:left w:val="nil"/>
              <w:bottom w:val="single" w:sz="8" w:space="0" w:color="auto"/>
              <w:right w:val="single" w:sz="8" w:space="0" w:color="auto"/>
            </w:tcBorders>
            <w:shd w:val="clear" w:color="auto" w:fill="auto"/>
            <w:vAlign w:val="center"/>
            <w:hideMark/>
          </w:tcPr>
          <w:p w:rsidR="00626284" w:rsidRPr="00626284" w:rsidRDefault="00626284" w:rsidP="00626284">
            <w:pPr>
              <w:spacing w:after="0" w:line="240" w:lineRule="auto"/>
              <w:jc w:val="center"/>
              <w:rPr>
                <w:rFonts w:eastAsia="Times New Roman" w:cs="Calibri"/>
                <w:b/>
                <w:bCs/>
                <w:color w:val="000000"/>
                <w:lang w:eastAsia="fr-FR"/>
              </w:rPr>
            </w:pPr>
            <w:r w:rsidRPr="00626284">
              <w:rPr>
                <w:rFonts w:eastAsia="Times New Roman" w:cs="Calibri"/>
                <w:b/>
                <w:bCs/>
                <w:color w:val="000000"/>
                <w:lang w:eastAsia="fr-FR"/>
              </w:rPr>
              <w:t>2011</w:t>
            </w:r>
          </w:p>
        </w:tc>
        <w:tc>
          <w:tcPr>
            <w:tcW w:w="292" w:type="pct"/>
            <w:tcBorders>
              <w:top w:val="single" w:sz="8" w:space="0" w:color="auto"/>
              <w:left w:val="nil"/>
              <w:bottom w:val="single" w:sz="8" w:space="0" w:color="auto"/>
              <w:right w:val="single" w:sz="8" w:space="0" w:color="auto"/>
            </w:tcBorders>
            <w:shd w:val="clear" w:color="auto" w:fill="auto"/>
            <w:vAlign w:val="center"/>
            <w:hideMark/>
          </w:tcPr>
          <w:p w:rsidR="00626284" w:rsidRPr="00626284" w:rsidRDefault="00626284" w:rsidP="00626284">
            <w:pPr>
              <w:spacing w:after="0" w:line="240" w:lineRule="auto"/>
              <w:jc w:val="center"/>
              <w:rPr>
                <w:rFonts w:eastAsia="Times New Roman" w:cs="Calibri"/>
                <w:b/>
                <w:bCs/>
                <w:color w:val="000000"/>
                <w:lang w:eastAsia="fr-FR"/>
              </w:rPr>
            </w:pPr>
            <w:r w:rsidRPr="00626284">
              <w:rPr>
                <w:rFonts w:eastAsia="Times New Roman" w:cs="Calibri"/>
                <w:b/>
                <w:bCs/>
                <w:color w:val="000000"/>
                <w:lang w:eastAsia="fr-FR"/>
              </w:rPr>
              <w:t>2012</w:t>
            </w:r>
          </w:p>
        </w:tc>
        <w:tc>
          <w:tcPr>
            <w:tcW w:w="292" w:type="pct"/>
            <w:tcBorders>
              <w:top w:val="single" w:sz="8" w:space="0" w:color="auto"/>
              <w:left w:val="nil"/>
              <w:bottom w:val="single" w:sz="8" w:space="0" w:color="auto"/>
              <w:right w:val="single" w:sz="8" w:space="0" w:color="auto"/>
            </w:tcBorders>
            <w:shd w:val="clear" w:color="auto" w:fill="auto"/>
            <w:vAlign w:val="center"/>
            <w:hideMark/>
          </w:tcPr>
          <w:p w:rsidR="00626284" w:rsidRPr="00626284" w:rsidRDefault="00626284" w:rsidP="00626284">
            <w:pPr>
              <w:spacing w:after="0" w:line="240" w:lineRule="auto"/>
              <w:jc w:val="center"/>
              <w:rPr>
                <w:rFonts w:eastAsia="Times New Roman" w:cs="Calibri"/>
                <w:b/>
                <w:bCs/>
                <w:color w:val="000000"/>
                <w:lang w:eastAsia="fr-FR"/>
              </w:rPr>
            </w:pPr>
            <w:r w:rsidRPr="00626284">
              <w:rPr>
                <w:rFonts w:eastAsia="Times New Roman" w:cs="Calibri"/>
                <w:b/>
                <w:bCs/>
                <w:color w:val="000000"/>
                <w:lang w:eastAsia="fr-FR"/>
              </w:rPr>
              <w:t>2013</w:t>
            </w:r>
          </w:p>
        </w:tc>
        <w:tc>
          <w:tcPr>
            <w:tcW w:w="292" w:type="pct"/>
            <w:tcBorders>
              <w:top w:val="single" w:sz="8" w:space="0" w:color="auto"/>
              <w:left w:val="nil"/>
              <w:bottom w:val="single" w:sz="8" w:space="0" w:color="auto"/>
              <w:right w:val="single" w:sz="8" w:space="0" w:color="auto"/>
            </w:tcBorders>
            <w:shd w:val="clear" w:color="auto" w:fill="auto"/>
            <w:vAlign w:val="center"/>
            <w:hideMark/>
          </w:tcPr>
          <w:p w:rsidR="00626284" w:rsidRPr="00626284" w:rsidRDefault="00626284" w:rsidP="00626284">
            <w:pPr>
              <w:spacing w:after="0" w:line="240" w:lineRule="auto"/>
              <w:jc w:val="center"/>
              <w:rPr>
                <w:rFonts w:eastAsia="Times New Roman" w:cs="Calibri"/>
                <w:b/>
                <w:bCs/>
                <w:color w:val="000000"/>
                <w:lang w:eastAsia="fr-FR"/>
              </w:rPr>
            </w:pPr>
            <w:r w:rsidRPr="00626284">
              <w:rPr>
                <w:rFonts w:eastAsia="Times New Roman" w:cs="Calibri"/>
                <w:b/>
                <w:bCs/>
                <w:color w:val="000000"/>
                <w:lang w:eastAsia="fr-FR"/>
              </w:rPr>
              <w:t>2014</w:t>
            </w:r>
          </w:p>
        </w:tc>
        <w:tc>
          <w:tcPr>
            <w:tcW w:w="292" w:type="pct"/>
            <w:tcBorders>
              <w:top w:val="single" w:sz="8" w:space="0" w:color="auto"/>
              <w:left w:val="nil"/>
              <w:bottom w:val="single" w:sz="8" w:space="0" w:color="auto"/>
              <w:right w:val="single" w:sz="8" w:space="0" w:color="auto"/>
            </w:tcBorders>
            <w:shd w:val="clear" w:color="auto" w:fill="auto"/>
            <w:vAlign w:val="center"/>
            <w:hideMark/>
          </w:tcPr>
          <w:p w:rsidR="00626284" w:rsidRPr="00626284" w:rsidRDefault="00626284" w:rsidP="00626284">
            <w:pPr>
              <w:spacing w:after="0" w:line="240" w:lineRule="auto"/>
              <w:jc w:val="center"/>
              <w:rPr>
                <w:rFonts w:eastAsia="Times New Roman" w:cs="Calibri"/>
                <w:b/>
                <w:bCs/>
                <w:color w:val="000000"/>
                <w:lang w:eastAsia="fr-FR"/>
              </w:rPr>
            </w:pPr>
            <w:r w:rsidRPr="00626284">
              <w:rPr>
                <w:rFonts w:eastAsia="Times New Roman" w:cs="Calibri"/>
                <w:b/>
                <w:bCs/>
                <w:color w:val="000000"/>
                <w:lang w:eastAsia="fr-FR"/>
              </w:rPr>
              <w:t>2015</w:t>
            </w:r>
          </w:p>
        </w:tc>
        <w:tc>
          <w:tcPr>
            <w:tcW w:w="293" w:type="pct"/>
            <w:tcBorders>
              <w:top w:val="single" w:sz="8" w:space="0" w:color="auto"/>
              <w:left w:val="nil"/>
              <w:bottom w:val="single" w:sz="8" w:space="0" w:color="auto"/>
              <w:right w:val="single" w:sz="8" w:space="0" w:color="auto"/>
            </w:tcBorders>
            <w:shd w:val="clear" w:color="auto" w:fill="auto"/>
            <w:vAlign w:val="center"/>
            <w:hideMark/>
          </w:tcPr>
          <w:p w:rsidR="00626284" w:rsidRPr="00626284" w:rsidRDefault="00626284" w:rsidP="00626284">
            <w:pPr>
              <w:spacing w:after="0" w:line="240" w:lineRule="auto"/>
              <w:jc w:val="center"/>
              <w:rPr>
                <w:rFonts w:eastAsia="Times New Roman" w:cs="Calibri"/>
                <w:b/>
                <w:bCs/>
                <w:color w:val="000000"/>
                <w:lang w:eastAsia="fr-FR"/>
              </w:rPr>
            </w:pPr>
            <w:r w:rsidRPr="00626284">
              <w:rPr>
                <w:rFonts w:eastAsia="Times New Roman" w:cs="Calibri"/>
                <w:b/>
                <w:bCs/>
                <w:color w:val="000000"/>
                <w:lang w:eastAsia="fr-FR"/>
              </w:rPr>
              <w:t>2016</w:t>
            </w:r>
          </w:p>
        </w:tc>
        <w:tc>
          <w:tcPr>
            <w:tcW w:w="292" w:type="pct"/>
            <w:tcBorders>
              <w:top w:val="single" w:sz="8" w:space="0" w:color="auto"/>
              <w:left w:val="nil"/>
              <w:bottom w:val="single" w:sz="8" w:space="0" w:color="auto"/>
              <w:right w:val="single" w:sz="8" w:space="0" w:color="auto"/>
            </w:tcBorders>
            <w:shd w:val="clear" w:color="auto" w:fill="auto"/>
            <w:vAlign w:val="center"/>
            <w:hideMark/>
          </w:tcPr>
          <w:p w:rsidR="00626284" w:rsidRPr="00626284" w:rsidRDefault="00626284" w:rsidP="00626284">
            <w:pPr>
              <w:spacing w:after="0" w:line="240" w:lineRule="auto"/>
              <w:jc w:val="center"/>
              <w:rPr>
                <w:rFonts w:eastAsia="Times New Roman" w:cs="Calibri"/>
                <w:b/>
                <w:bCs/>
                <w:color w:val="000000"/>
                <w:lang w:eastAsia="fr-FR"/>
              </w:rPr>
            </w:pPr>
            <w:r w:rsidRPr="00626284">
              <w:rPr>
                <w:rFonts w:eastAsia="Times New Roman" w:cs="Calibri"/>
                <w:b/>
                <w:bCs/>
                <w:color w:val="000000"/>
                <w:lang w:eastAsia="fr-FR"/>
              </w:rPr>
              <w:t>2017</w:t>
            </w:r>
          </w:p>
        </w:tc>
        <w:tc>
          <w:tcPr>
            <w:tcW w:w="449" w:type="pct"/>
            <w:tcBorders>
              <w:top w:val="nil"/>
              <w:left w:val="nil"/>
              <w:bottom w:val="single" w:sz="8" w:space="0" w:color="auto"/>
              <w:right w:val="single" w:sz="8" w:space="0" w:color="auto"/>
            </w:tcBorders>
            <w:shd w:val="clear" w:color="auto" w:fill="auto"/>
            <w:vAlign w:val="center"/>
            <w:hideMark/>
          </w:tcPr>
          <w:p w:rsidR="00626284" w:rsidRPr="00626284" w:rsidRDefault="00626284" w:rsidP="00626284">
            <w:pPr>
              <w:spacing w:after="0" w:line="240" w:lineRule="auto"/>
              <w:jc w:val="center"/>
              <w:rPr>
                <w:rFonts w:eastAsia="Times New Roman" w:cs="Calibri"/>
                <w:b/>
                <w:bCs/>
                <w:color w:val="000000"/>
                <w:lang w:eastAsia="fr-FR"/>
              </w:rPr>
            </w:pPr>
            <w:r w:rsidRPr="00626284">
              <w:rPr>
                <w:rFonts w:eastAsia="Times New Roman" w:cs="Calibri"/>
                <w:b/>
                <w:bCs/>
                <w:color w:val="000000"/>
                <w:lang w:eastAsia="fr-FR"/>
              </w:rPr>
              <w:t>2008-2011</w:t>
            </w:r>
          </w:p>
        </w:tc>
        <w:tc>
          <w:tcPr>
            <w:tcW w:w="469" w:type="pct"/>
            <w:tcBorders>
              <w:top w:val="nil"/>
              <w:left w:val="nil"/>
              <w:bottom w:val="single" w:sz="8" w:space="0" w:color="auto"/>
              <w:right w:val="single" w:sz="8" w:space="0" w:color="auto"/>
            </w:tcBorders>
            <w:shd w:val="clear" w:color="auto" w:fill="auto"/>
            <w:vAlign w:val="center"/>
            <w:hideMark/>
          </w:tcPr>
          <w:p w:rsidR="00626284" w:rsidRPr="00626284" w:rsidRDefault="00626284" w:rsidP="00626284">
            <w:pPr>
              <w:spacing w:after="0" w:line="240" w:lineRule="auto"/>
              <w:jc w:val="center"/>
              <w:rPr>
                <w:rFonts w:eastAsia="Times New Roman" w:cs="Calibri"/>
                <w:b/>
                <w:bCs/>
                <w:color w:val="000000"/>
                <w:lang w:eastAsia="fr-FR"/>
              </w:rPr>
            </w:pPr>
            <w:r w:rsidRPr="00626284">
              <w:rPr>
                <w:rFonts w:eastAsia="Times New Roman" w:cs="Calibri"/>
                <w:b/>
                <w:bCs/>
                <w:color w:val="000000"/>
                <w:lang w:eastAsia="fr-FR"/>
              </w:rPr>
              <w:t>2012-2017</w:t>
            </w:r>
          </w:p>
        </w:tc>
      </w:tr>
      <w:tr w:rsidR="005607C0" w:rsidRPr="00626284" w:rsidTr="005607C0">
        <w:trPr>
          <w:trHeight w:val="438"/>
        </w:trPr>
        <w:tc>
          <w:tcPr>
            <w:tcW w:w="776" w:type="pct"/>
            <w:tcBorders>
              <w:top w:val="nil"/>
              <w:left w:val="single" w:sz="8" w:space="0" w:color="auto"/>
              <w:bottom w:val="nil"/>
              <w:right w:val="single" w:sz="8" w:space="0" w:color="auto"/>
            </w:tcBorders>
            <w:shd w:val="clear" w:color="auto" w:fill="auto"/>
            <w:noWrap/>
            <w:hideMark/>
          </w:tcPr>
          <w:p w:rsidR="00626284" w:rsidRPr="00626284" w:rsidRDefault="00626284" w:rsidP="005607C0">
            <w:pPr>
              <w:spacing w:after="0" w:line="240" w:lineRule="auto"/>
              <w:rPr>
                <w:rFonts w:eastAsia="Times New Roman" w:cs="Calibri"/>
                <w:b/>
                <w:bCs/>
                <w:sz w:val="20"/>
                <w:szCs w:val="20"/>
                <w:lang w:eastAsia="fr-FR"/>
              </w:rPr>
            </w:pPr>
            <w:r w:rsidRPr="00626284">
              <w:rPr>
                <w:rFonts w:eastAsia="Times New Roman" w:cs="Calibri"/>
                <w:b/>
                <w:bCs/>
                <w:sz w:val="20"/>
                <w:szCs w:val="20"/>
                <w:lang w:eastAsia="fr-FR"/>
              </w:rPr>
              <w:t>V</w:t>
            </w:r>
            <w:r w:rsidR="005607C0">
              <w:rPr>
                <w:rFonts w:eastAsia="Times New Roman" w:cs="Calibri"/>
                <w:b/>
                <w:bCs/>
                <w:sz w:val="20"/>
                <w:szCs w:val="20"/>
                <w:lang w:eastAsia="fr-FR"/>
              </w:rPr>
              <w:t>A</w:t>
            </w:r>
            <w:r w:rsidRPr="00626284">
              <w:rPr>
                <w:rFonts w:eastAsia="Times New Roman" w:cs="Calibri"/>
                <w:b/>
                <w:bCs/>
                <w:sz w:val="20"/>
                <w:szCs w:val="20"/>
                <w:lang w:eastAsia="fr-FR"/>
              </w:rPr>
              <w:t xml:space="preserve"> Primaire</w:t>
            </w:r>
          </w:p>
        </w:tc>
        <w:tc>
          <w:tcPr>
            <w:tcW w:w="494" w:type="pct"/>
            <w:tcBorders>
              <w:top w:val="nil"/>
              <w:left w:val="nil"/>
              <w:bottom w:val="nil"/>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lang w:eastAsia="fr-FR"/>
              </w:rPr>
            </w:pPr>
            <w:r w:rsidRPr="00626284">
              <w:rPr>
                <w:rFonts w:eastAsia="Times New Roman" w:cs="Calibri"/>
                <w:lang w:eastAsia="fr-FR"/>
              </w:rPr>
              <w:t>18,6</w:t>
            </w:r>
          </w:p>
        </w:tc>
        <w:tc>
          <w:tcPr>
            <w:tcW w:w="422" w:type="pct"/>
            <w:tcBorders>
              <w:top w:val="nil"/>
              <w:left w:val="nil"/>
              <w:bottom w:val="nil"/>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lang w:eastAsia="fr-FR"/>
              </w:rPr>
            </w:pPr>
            <w:r w:rsidRPr="00626284">
              <w:rPr>
                <w:rFonts w:eastAsia="Times New Roman" w:cs="Calibri"/>
                <w:lang w:eastAsia="fr-FR"/>
              </w:rPr>
              <w:t>23,9</w:t>
            </w:r>
          </w:p>
        </w:tc>
        <w:tc>
          <w:tcPr>
            <w:tcW w:w="349" w:type="pct"/>
            <w:tcBorders>
              <w:top w:val="nil"/>
              <w:left w:val="nil"/>
              <w:bottom w:val="nil"/>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lang w:eastAsia="fr-FR"/>
              </w:rPr>
            </w:pPr>
            <w:r w:rsidRPr="00626284">
              <w:rPr>
                <w:rFonts w:eastAsia="Times New Roman" w:cs="Calibri"/>
                <w:lang w:eastAsia="fr-FR"/>
              </w:rPr>
              <w:t>1,1</w:t>
            </w:r>
          </w:p>
        </w:tc>
        <w:tc>
          <w:tcPr>
            <w:tcW w:w="292" w:type="pct"/>
            <w:tcBorders>
              <w:top w:val="nil"/>
              <w:left w:val="nil"/>
              <w:bottom w:val="nil"/>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lang w:eastAsia="fr-FR"/>
              </w:rPr>
            </w:pPr>
            <w:r w:rsidRPr="00626284">
              <w:rPr>
                <w:rFonts w:eastAsia="Times New Roman" w:cs="Calibri"/>
                <w:lang w:eastAsia="fr-FR"/>
              </w:rPr>
              <w:t>6,7</w:t>
            </w:r>
          </w:p>
        </w:tc>
        <w:tc>
          <w:tcPr>
            <w:tcW w:w="292" w:type="pct"/>
            <w:tcBorders>
              <w:top w:val="nil"/>
              <w:left w:val="nil"/>
              <w:bottom w:val="nil"/>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lang w:eastAsia="fr-FR"/>
              </w:rPr>
            </w:pPr>
            <w:r w:rsidRPr="00626284">
              <w:rPr>
                <w:rFonts w:eastAsia="Times New Roman" w:cs="Calibri"/>
                <w:lang w:eastAsia="fr-FR"/>
              </w:rPr>
              <w:t>-7,8</w:t>
            </w:r>
          </w:p>
        </w:tc>
        <w:tc>
          <w:tcPr>
            <w:tcW w:w="292" w:type="pct"/>
            <w:tcBorders>
              <w:top w:val="nil"/>
              <w:left w:val="nil"/>
              <w:bottom w:val="nil"/>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lang w:eastAsia="fr-FR"/>
              </w:rPr>
            </w:pPr>
            <w:r w:rsidRPr="00626284">
              <w:rPr>
                <w:rFonts w:eastAsia="Times New Roman" w:cs="Calibri"/>
                <w:lang w:eastAsia="fr-FR"/>
              </w:rPr>
              <w:t>17,8</w:t>
            </w:r>
          </w:p>
        </w:tc>
        <w:tc>
          <w:tcPr>
            <w:tcW w:w="292" w:type="pct"/>
            <w:tcBorders>
              <w:top w:val="nil"/>
              <w:left w:val="nil"/>
              <w:bottom w:val="nil"/>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lang w:eastAsia="fr-FR"/>
              </w:rPr>
            </w:pPr>
            <w:r w:rsidRPr="00626284">
              <w:rPr>
                <w:rFonts w:eastAsia="Times New Roman" w:cs="Calibri"/>
                <w:lang w:eastAsia="fr-FR"/>
              </w:rPr>
              <w:t>-2,3</w:t>
            </w:r>
          </w:p>
        </w:tc>
        <w:tc>
          <w:tcPr>
            <w:tcW w:w="292" w:type="pct"/>
            <w:tcBorders>
              <w:top w:val="nil"/>
              <w:left w:val="nil"/>
              <w:bottom w:val="nil"/>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lang w:eastAsia="fr-FR"/>
              </w:rPr>
            </w:pPr>
            <w:r w:rsidRPr="00626284">
              <w:rPr>
                <w:rFonts w:eastAsia="Times New Roman" w:cs="Calibri"/>
                <w:lang w:eastAsia="fr-FR"/>
              </w:rPr>
              <w:t>13,0</w:t>
            </w:r>
          </w:p>
        </w:tc>
        <w:tc>
          <w:tcPr>
            <w:tcW w:w="293" w:type="pct"/>
            <w:tcBorders>
              <w:top w:val="nil"/>
              <w:left w:val="nil"/>
              <w:bottom w:val="nil"/>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lang w:eastAsia="fr-FR"/>
              </w:rPr>
            </w:pPr>
            <w:r w:rsidRPr="00626284">
              <w:rPr>
                <w:rFonts w:eastAsia="Times New Roman" w:cs="Calibri"/>
                <w:lang w:eastAsia="fr-FR"/>
              </w:rPr>
              <w:t>-9,8</w:t>
            </w:r>
          </w:p>
        </w:tc>
        <w:tc>
          <w:tcPr>
            <w:tcW w:w="292" w:type="pct"/>
            <w:tcBorders>
              <w:top w:val="nil"/>
              <w:left w:val="nil"/>
              <w:bottom w:val="nil"/>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lang w:eastAsia="fr-FR"/>
              </w:rPr>
            </w:pPr>
            <w:r w:rsidRPr="00626284">
              <w:rPr>
                <w:rFonts w:eastAsia="Times New Roman" w:cs="Calibri"/>
                <w:lang w:eastAsia="fr-FR"/>
              </w:rPr>
              <w:t>9,7</w:t>
            </w:r>
          </w:p>
        </w:tc>
        <w:tc>
          <w:tcPr>
            <w:tcW w:w="449" w:type="pct"/>
            <w:tcBorders>
              <w:top w:val="nil"/>
              <w:left w:val="nil"/>
              <w:bottom w:val="nil"/>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lang w:eastAsia="fr-FR"/>
              </w:rPr>
            </w:pPr>
            <w:r w:rsidRPr="00626284">
              <w:rPr>
                <w:rFonts w:eastAsia="Times New Roman" w:cs="Calibri"/>
                <w:lang w:eastAsia="fr-FR"/>
              </w:rPr>
              <w:t>12,6</w:t>
            </w:r>
          </w:p>
        </w:tc>
        <w:tc>
          <w:tcPr>
            <w:tcW w:w="469" w:type="pct"/>
            <w:tcBorders>
              <w:top w:val="nil"/>
              <w:left w:val="nil"/>
              <w:bottom w:val="nil"/>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lang w:eastAsia="fr-FR"/>
              </w:rPr>
            </w:pPr>
            <w:r w:rsidRPr="00626284">
              <w:rPr>
                <w:rFonts w:eastAsia="Times New Roman" w:cs="Calibri"/>
                <w:lang w:eastAsia="fr-FR"/>
              </w:rPr>
              <w:t>3,4</w:t>
            </w:r>
          </w:p>
        </w:tc>
      </w:tr>
      <w:tr w:rsidR="005607C0" w:rsidRPr="00626284" w:rsidTr="005607C0">
        <w:trPr>
          <w:trHeight w:val="342"/>
        </w:trPr>
        <w:tc>
          <w:tcPr>
            <w:tcW w:w="776" w:type="pct"/>
            <w:tcBorders>
              <w:top w:val="nil"/>
              <w:left w:val="single" w:sz="8" w:space="0" w:color="auto"/>
              <w:bottom w:val="nil"/>
              <w:right w:val="single" w:sz="8" w:space="0" w:color="auto"/>
            </w:tcBorders>
            <w:shd w:val="clear" w:color="auto" w:fill="auto"/>
            <w:noWrap/>
            <w:hideMark/>
          </w:tcPr>
          <w:p w:rsidR="00626284" w:rsidRPr="00626284" w:rsidRDefault="00626284" w:rsidP="005607C0">
            <w:pPr>
              <w:spacing w:after="0" w:line="240" w:lineRule="auto"/>
              <w:rPr>
                <w:rFonts w:eastAsia="Times New Roman" w:cs="Calibri"/>
                <w:b/>
                <w:bCs/>
                <w:sz w:val="20"/>
                <w:szCs w:val="20"/>
                <w:lang w:eastAsia="fr-FR"/>
              </w:rPr>
            </w:pPr>
            <w:r w:rsidRPr="00626284">
              <w:rPr>
                <w:rFonts w:eastAsia="Times New Roman" w:cs="Calibri"/>
                <w:b/>
                <w:bCs/>
                <w:sz w:val="20"/>
                <w:szCs w:val="20"/>
                <w:lang w:eastAsia="fr-FR"/>
              </w:rPr>
              <w:t>V</w:t>
            </w:r>
            <w:r w:rsidR="005607C0">
              <w:rPr>
                <w:rFonts w:eastAsia="Times New Roman" w:cs="Calibri"/>
                <w:b/>
                <w:bCs/>
                <w:sz w:val="20"/>
                <w:szCs w:val="20"/>
                <w:lang w:eastAsia="fr-FR"/>
              </w:rPr>
              <w:t>A</w:t>
            </w:r>
            <w:r w:rsidRPr="00626284">
              <w:rPr>
                <w:rFonts w:eastAsia="Times New Roman" w:cs="Calibri"/>
                <w:b/>
                <w:bCs/>
                <w:sz w:val="20"/>
                <w:szCs w:val="20"/>
                <w:lang w:eastAsia="fr-FR"/>
              </w:rPr>
              <w:t xml:space="preserve"> Secondaire</w:t>
            </w:r>
          </w:p>
        </w:tc>
        <w:tc>
          <w:tcPr>
            <w:tcW w:w="494" w:type="pct"/>
            <w:tcBorders>
              <w:top w:val="nil"/>
              <w:left w:val="nil"/>
              <w:bottom w:val="nil"/>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lang w:eastAsia="fr-FR"/>
              </w:rPr>
            </w:pPr>
            <w:r w:rsidRPr="00626284">
              <w:rPr>
                <w:rFonts w:eastAsia="Times New Roman" w:cs="Calibri"/>
                <w:lang w:eastAsia="fr-FR"/>
              </w:rPr>
              <w:t>5,9</w:t>
            </w:r>
          </w:p>
        </w:tc>
        <w:tc>
          <w:tcPr>
            <w:tcW w:w="422" w:type="pct"/>
            <w:tcBorders>
              <w:top w:val="nil"/>
              <w:left w:val="nil"/>
              <w:bottom w:val="nil"/>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lang w:eastAsia="fr-FR"/>
              </w:rPr>
            </w:pPr>
            <w:r w:rsidRPr="00626284">
              <w:rPr>
                <w:rFonts w:eastAsia="Times New Roman" w:cs="Calibri"/>
                <w:lang w:eastAsia="fr-FR"/>
              </w:rPr>
              <w:t>-6,6</w:t>
            </w:r>
          </w:p>
        </w:tc>
        <w:tc>
          <w:tcPr>
            <w:tcW w:w="349" w:type="pct"/>
            <w:tcBorders>
              <w:top w:val="nil"/>
              <w:left w:val="nil"/>
              <w:bottom w:val="nil"/>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lang w:eastAsia="fr-FR"/>
              </w:rPr>
            </w:pPr>
            <w:r w:rsidRPr="00626284">
              <w:rPr>
                <w:rFonts w:eastAsia="Times New Roman" w:cs="Calibri"/>
                <w:lang w:eastAsia="fr-FR"/>
              </w:rPr>
              <w:t>10,2</w:t>
            </w:r>
          </w:p>
        </w:tc>
        <w:tc>
          <w:tcPr>
            <w:tcW w:w="292" w:type="pct"/>
            <w:tcBorders>
              <w:top w:val="nil"/>
              <w:left w:val="nil"/>
              <w:bottom w:val="nil"/>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lang w:eastAsia="fr-FR"/>
              </w:rPr>
            </w:pPr>
            <w:r w:rsidRPr="00626284">
              <w:rPr>
                <w:rFonts w:eastAsia="Times New Roman" w:cs="Calibri"/>
                <w:lang w:eastAsia="fr-FR"/>
              </w:rPr>
              <w:t>6,3</w:t>
            </w:r>
          </w:p>
        </w:tc>
        <w:tc>
          <w:tcPr>
            <w:tcW w:w="292" w:type="pct"/>
            <w:tcBorders>
              <w:top w:val="nil"/>
              <w:left w:val="nil"/>
              <w:bottom w:val="nil"/>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lang w:eastAsia="fr-FR"/>
              </w:rPr>
            </w:pPr>
            <w:r w:rsidRPr="00626284">
              <w:rPr>
                <w:rFonts w:eastAsia="Times New Roman" w:cs="Calibri"/>
                <w:lang w:eastAsia="fr-FR"/>
              </w:rPr>
              <w:t>0,8</w:t>
            </w:r>
          </w:p>
        </w:tc>
        <w:tc>
          <w:tcPr>
            <w:tcW w:w="292" w:type="pct"/>
            <w:tcBorders>
              <w:top w:val="nil"/>
              <w:left w:val="nil"/>
              <w:bottom w:val="nil"/>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lang w:eastAsia="fr-FR"/>
              </w:rPr>
            </w:pPr>
            <w:r w:rsidRPr="00626284">
              <w:rPr>
                <w:rFonts w:eastAsia="Times New Roman" w:cs="Calibri"/>
                <w:lang w:eastAsia="fr-FR"/>
              </w:rPr>
              <w:t>0,6</w:t>
            </w:r>
          </w:p>
        </w:tc>
        <w:tc>
          <w:tcPr>
            <w:tcW w:w="292" w:type="pct"/>
            <w:tcBorders>
              <w:top w:val="nil"/>
              <w:left w:val="nil"/>
              <w:bottom w:val="nil"/>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lang w:eastAsia="fr-FR"/>
              </w:rPr>
            </w:pPr>
            <w:r w:rsidRPr="00626284">
              <w:rPr>
                <w:rFonts w:eastAsia="Times New Roman" w:cs="Calibri"/>
                <w:lang w:eastAsia="fr-FR"/>
              </w:rPr>
              <w:t>3,1</w:t>
            </w:r>
          </w:p>
        </w:tc>
        <w:tc>
          <w:tcPr>
            <w:tcW w:w="292" w:type="pct"/>
            <w:tcBorders>
              <w:top w:val="nil"/>
              <w:left w:val="nil"/>
              <w:bottom w:val="nil"/>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lang w:eastAsia="fr-FR"/>
              </w:rPr>
            </w:pPr>
            <w:r w:rsidRPr="00626284">
              <w:rPr>
                <w:rFonts w:eastAsia="Times New Roman" w:cs="Calibri"/>
                <w:lang w:eastAsia="fr-FR"/>
              </w:rPr>
              <w:t>2,8</w:t>
            </w:r>
          </w:p>
        </w:tc>
        <w:tc>
          <w:tcPr>
            <w:tcW w:w="293" w:type="pct"/>
            <w:tcBorders>
              <w:top w:val="nil"/>
              <w:left w:val="nil"/>
              <w:bottom w:val="nil"/>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lang w:eastAsia="fr-FR"/>
              </w:rPr>
            </w:pPr>
            <w:r w:rsidRPr="00626284">
              <w:rPr>
                <w:rFonts w:eastAsia="Times New Roman" w:cs="Calibri"/>
                <w:lang w:eastAsia="fr-FR"/>
              </w:rPr>
              <w:t>1,9</w:t>
            </w:r>
          </w:p>
        </w:tc>
        <w:tc>
          <w:tcPr>
            <w:tcW w:w="292" w:type="pct"/>
            <w:tcBorders>
              <w:top w:val="nil"/>
              <w:left w:val="nil"/>
              <w:bottom w:val="nil"/>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lang w:eastAsia="fr-FR"/>
              </w:rPr>
            </w:pPr>
            <w:r w:rsidRPr="00626284">
              <w:rPr>
                <w:rFonts w:eastAsia="Times New Roman" w:cs="Calibri"/>
                <w:lang w:eastAsia="fr-FR"/>
              </w:rPr>
              <w:t>2,5</w:t>
            </w:r>
          </w:p>
        </w:tc>
        <w:tc>
          <w:tcPr>
            <w:tcW w:w="449" w:type="pct"/>
            <w:tcBorders>
              <w:top w:val="nil"/>
              <w:left w:val="nil"/>
              <w:bottom w:val="nil"/>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lang w:eastAsia="fr-FR"/>
              </w:rPr>
            </w:pPr>
            <w:r w:rsidRPr="00626284">
              <w:rPr>
                <w:rFonts w:eastAsia="Times New Roman" w:cs="Calibri"/>
                <w:lang w:eastAsia="fr-FR"/>
              </w:rPr>
              <w:t>4,0</w:t>
            </w:r>
          </w:p>
        </w:tc>
        <w:tc>
          <w:tcPr>
            <w:tcW w:w="469" w:type="pct"/>
            <w:tcBorders>
              <w:top w:val="nil"/>
              <w:left w:val="nil"/>
              <w:bottom w:val="nil"/>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lang w:eastAsia="fr-FR"/>
              </w:rPr>
            </w:pPr>
            <w:r w:rsidRPr="00626284">
              <w:rPr>
                <w:rFonts w:eastAsia="Times New Roman" w:cs="Calibri"/>
                <w:lang w:eastAsia="fr-FR"/>
              </w:rPr>
              <w:t>1,9</w:t>
            </w:r>
          </w:p>
        </w:tc>
      </w:tr>
      <w:tr w:rsidR="005607C0" w:rsidRPr="00626284" w:rsidTr="005607C0">
        <w:trPr>
          <w:trHeight w:val="342"/>
        </w:trPr>
        <w:tc>
          <w:tcPr>
            <w:tcW w:w="776" w:type="pct"/>
            <w:tcBorders>
              <w:top w:val="nil"/>
              <w:left w:val="single" w:sz="8" w:space="0" w:color="auto"/>
              <w:bottom w:val="nil"/>
              <w:right w:val="single" w:sz="8" w:space="0" w:color="auto"/>
            </w:tcBorders>
            <w:shd w:val="clear" w:color="auto" w:fill="auto"/>
            <w:noWrap/>
            <w:hideMark/>
          </w:tcPr>
          <w:p w:rsidR="00626284" w:rsidRPr="00626284" w:rsidRDefault="00626284" w:rsidP="005607C0">
            <w:pPr>
              <w:spacing w:after="0" w:line="240" w:lineRule="auto"/>
              <w:rPr>
                <w:rFonts w:eastAsia="Times New Roman" w:cs="Calibri"/>
                <w:b/>
                <w:bCs/>
                <w:sz w:val="20"/>
                <w:szCs w:val="20"/>
                <w:lang w:eastAsia="fr-FR"/>
              </w:rPr>
            </w:pPr>
            <w:r w:rsidRPr="00626284">
              <w:rPr>
                <w:rFonts w:eastAsia="Times New Roman" w:cs="Calibri"/>
                <w:b/>
                <w:bCs/>
                <w:sz w:val="20"/>
                <w:szCs w:val="20"/>
                <w:lang w:eastAsia="fr-FR"/>
              </w:rPr>
              <w:t>V</w:t>
            </w:r>
            <w:r w:rsidR="005607C0">
              <w:rPr>
                <w:rFonts w:eastAsia="Times New Roman" w:cs="Calibri"/>
                <w:b/>
                <w:bCs/>
                <w:sz w:val="20"/>
                <w:szCs w:val="20"/>
                <w:lang w:eastAsia="fr-FR"/>
              </w:rPr>
              <w:t>A</w:t>
            </w:r>
            <w:r w:rsidRPr="00626284">
              <w:rPr>
                <w:rFonts w:eastAsia="Times New Roman" w:cs="Calibri"/>
                <w:b/>
                <w:bCs/>
                <w:sz w:val="20"/>
                <w:szCs w:val="20"/>
                <w:lang w:eastAsia="fr-FR"/>
              </w:rPr>
              <w:t xml:space="preserve"> tertiaire</w:t>
            </w:r>
          </w:p>
        </w:tc>
        <w:tc>
          <w:tcPr>
            <w:tcW w:w="494" w:type="pct"/>
            <w:tcBorders>
              <w:top w:val="nil"/>
              <w:left w:val="nil"/>
              <w:bottom w:val="nil"/>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lang w:eastAsia="fr-FR"/>
              </w:rPr>
            </w:pPr>
            <w:r w:rsidRPr="00626284">
              <w:rPr>
                <w:rFonts w:eastAsia="Times New Roman" w:cs="Calibri"/>
                <w:lang w:eastAsia="fr-FR"/>
              </w:rPr>
              <w:t>4,4</w:t>
            </w:r>
          </w:p>
        </w:tc>
        <w:tc>
          <w:tcPr>
            <w:tcW w:w="422" w:type="pct"/>
            <w:tcBorders>
              <w:top w:val="nil"/>
              <w:left w:val="nil"/>
              <w:bottom w:val="nil"/>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lang w:eastAsia="fr-FR"/>
              </w:rPr>
            </w:pPr>
            <w:r w:rsidRPr="00626284">
              <w:rPr>
                <w:rFonts w:eastAsia="Times New Roman" w:cs="Calibri"/>
                <w:lang w:eastAsia="fr-FR"/>
              </w:rPr>
              <w:t>3,7</w:t>
            </w:r>
          </w:p>
        </w:tc>
        <w:tc>
          <w:tcPr>
            <w:tcW w:w="349" w:type="pct"/>
            <w:tcBorders>
              <w:top w:val="nil"/>
              <w:left w:val="nil"/>
              <w:bottom w:val="nil"/>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lang w:eastAsia="fr-FR"/>
              </w:rPr>
            </w:pPr>
            <w:r w:rsidRPr="00626284">
              <w:rPr>
                <w:rFonts w:eastAsia="Times New Roman" w:cs="Calibri"/>
                <w:lang w:eastAsia="fr-FR"/>
              </w:rPr>
              <w:t>2,9</w:t>
            </w:r>
          </w:p>
        </w:tc>
        <w:tc>
          <w:tcPr>
            <w:tcW w:w="292" w:type="pct"/>
            <w:tcBorders>
              <w:top w:val="nil"/>
              <w:left w:val="nil"/>
              <w:bottom w:val="nil"/>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lang w:eastAsia="fr-FR"/>
              </w:rPr>
            </w:pPr>
            <w:r w:rsidRPr="00626284">
              <w:rPr>
                <w:rFonts w:eastAsia="Times New Roman" w:cs="Calibri"/>
                <w:lang w:eastAsia="fr-FR"/>
              </w:rPr>
              <w:t>6,2</w:t>
            </w:r>
          </w:p>
        </w:tc>
        <w:tc>
          <w:tcPr>
            <w:tcW w:w="292" w:type="pct"/>
            <w:tcBorders>
              <w:top w:val="nil"/>
              <w:left w:val="nil"/>
              <w:bottom w:val="nil"/>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lang w:eastAsia="fr-FR"/>
              </w:rPr>
            </w:pPr>
            <w:r w:rsidRPr="00626284">
              <w:rPr>
                <w:rFonts w:eastAsia="Times New Roman" w:cs="Calibri"/>
                <w:lang w:eastAsia="fr-FR"/>
              </w:rPr>
              <w:t>6,3</w:t>
            </w:r>
          </w:p>
        </w:tc>
        <w:tc>
          <w:tcPr>
            <w:tcW w:w="292" w:type="pct"/>
            <w:tcBorders>
              <w:top w:val="nil"/>
              <w:left w:val="nil"/>
              <w:bottom w:val="nil"/>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lang w:eastAsia="fr-FR"/>
              </w:rPr>
            </w:pPr>
            <w:r w:rsidRPr="00626284">
              <w:rPr>
                <w:rFonts w:eastAsia="Times New Roman" w:cs="Calibri"/>
                <w:lang w:eastAsia="fr-FR"/>
              </w:rPr>
              <w:t>1,9</w:t>
            </w:r>
          </w:p>
        </w:tc>
        <w:tc>
          <w:tcPr>
            <w:tcW w:w="292" w:type="pct"/>
            <w:tcBorders>
              <w:top w:val="nil"/>
              <w:left w:val="nil"/>
              <w:bottom w:val="nil"/>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lang w:eastAsia="fr-FR"/>
              </w:rPr>
            </w:pPr>
            <w:r w:rsidRPr="00626284">
              <w:rPr>
                <w:rFonts w:eastAsia="Times New Roman" w:cs="Calibri"/>
                <w:lang w:eastAsia="fr-FR"/>
              </w:rPr>
              <w:t>2,3</w:t>
            </w:r>
          </w:p>
        </w:tc>
        <w:tc>
          <w:tcPr>
            <w:tcW w:w="292" w:type="pct"/>
            <w:tcBorders>
              <w:top w:val="nil"/>
              <w:left w:val="nil"/>
              <w:bottom w:val="nil"/>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lang w:eastAsia="fr-FR"/>
              </w:rPr>
            </w:pPr>
            <w:r w:rsidRPr="00626284">
              <w:rPr>
                <w:rFonts w:eastAsia="Times New Roman" w:cs="Calibri"/>
                <w:lang w:eastAsia="fr-FR"/>
              </w:rPr>
              <w:t>1,2</w:t>
            </w:r>
          </w:p>
        </w:tc>
        <w:tc>
          <w:tcPr>
            <w:tcW w:w="293" w:type="pct"/>
            <w:tcBorders>
              <w:top w:val="nil"/>
              <w:left w:val="nil"/>
              <w:bottom w:val="nil"/>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lang w:eastAsia="fr-FR"/>
              </w:rPr>
            </w:pPr>
            <w:r w:rsidRPr="00626284">
              <w:rPr>
                <w:rFonts w:eastAsia="Times New Roman" w:cs="Calibri"/>
                <w:lang w:eastAsia="fr-FR"/>
              </w:rPr>
              <w:t>2,3</w:t>
            </w:r>
          </w:p>
        </w:tc>
        <w:tc>
          <w:tcPr>
            <w:tcW w:w="292" w:type="pct"/>
            <w:tcBorders>
              <w:top w:val="nil"/>
              <w:left w:val="nil"/>
              <w:bottom w:val="nil"/>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lang w:eastAsia="fr-FR"/>
              </w:rPr>
            </w:pPr>
            <w:r w:rsidRPr="00626284">
              <w:rPr>
                <w:rFonts w:eastAsia="Times New Roman" w:cs="Calibri"/>
                <w:lang w:eastAsia="fr-FR"/>
              </w:rPr>
              <w:t>2,4</w:t>
            </w:r>
          </w:p>
        </w:tc>
        <w:tc>
          <w:tcPr>
            <w:tcW w:w="449" w:type="pct"/>
            <w:tcBorders>
              <w:top w:val="nil"/>
              <w:left w:val="nil"/>
              <w:bottom w:val="nil"/>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lang w:eastAsia="fr-FR"/>
              </w:rPr>
            </w:pPr>
            <w:r w:rsidRPr="00626284">
              <w:rPr>
                <w:rFonts w:eastAsia="Times New Roman" w:cs="Calibri"/>
                <w:lang w:eastAsia="fr-FR"/>
              </w:rPr>
              <w:t>4,3</w:t>
            </w:r>
          </w:p>
        </w:tc>
        <w:tc>
          <w:tcPr>
            <w:tcW w:w="469" w:type="pct"/>
            <w:tcBorders>
              <w:top w:val="nil"/>
              <w:left w:val="nil"/>
              <w:bottom w:val="nil"/>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lang w:eastAsia="fr-FR"/>
              </w:rPr>
            </w:pPr>
            <w:r w:rsidRPr="00626284">
              <w:rPr>
                <w:rFonts w:eastAsia="Times New Roman" w:cs="Calibri"/>
                <w:lang w:eastAsia="fr-FR"/>
              </w:rPr>
              <w:t>2,7</w:t>
            </w:r>
          </w:p>
        </w:tc>
      </w:tr>
      <w:tr w:rsidR="005607C0" w:rsidRPr="00626284" w:rsidTr="005607C0">
        <w:trPr>
          <w:trHeight w:val="450"/>
        </w:trPr>
        <w:tc>
          <w:tcPr>
            <w:tcW w:w="776" w:type="pct"/>
            <w:tcBorders>
              <w:top w:val="nil"/>
              <w:left w:val="single" w:sz="8" w:space="0" w:color="auto"/>
              <w:bottom w:val="single" w:sz="8" w:space="0" w:color="auto"/>
              <w:right w:val="single" w:sz="8" w:space="0" w:color="auto"/>
            </w:tcBorders>
            <w:shd w:val="clear" w:color="auto" w:fill="auto"/>
            <w:noWrap/>
            <w:hideMark/>
          </w:tcPr>
          <w:p w:rsidR="00626284" w:rsidRPr="00626284" w:rsidRDefault="00626284" w:rsidP="00626284">
            <w:pPr>
              <w:spacing w:after="0" w:line="240" w:lineRule="auto"/>
              <w:rPr>
                <w:rFonts w:eastAsia="Times New Roman" w:cs="Calibri"/>
                <w:b/>
                <w:bCs/>
                <w:color w:val="002060"/>
                <w:sz w:val="20"/>
                <w:szCs w:val="20"/>
                <w:lang w:eastAsia="fr-FR"/>
              </w:rPr>
            </w:pPr>
            <w:r w:rsidRPr="00626284">
              <w:rPr>
                <w:rFonts w:eastAsia="Times New Roman" w:cs="Calibri"/>
                <w:b/>
                <w:bCs/>
                <w:color w:val="002060"/>
                <w:sz w:val="20"/>
                <w:szCs w:val="20"/>
                <w:lang w:eastAsia="fr-FR"/>
              </w:rPr>
              <w:t>PIB en volume</w:t>
            </w:r>
          </w:p>
        </w:tc>
        <w:tc>
          <w:tcPr>
            <w:tcW w:w="494" w:type="pct"/>
            <w:tcBorders>
              <w:top w:val="nil"/>
              <w:left w:val="nil"/>
              <w:bottom w:val="single" w:sz="8" w:space="0" w:color="auto"/>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b/>
                <w:bCs/>
                <w:lang w:eastAsia="fr-FR"/>
              </w:rPr>
            </w:pPr>
            <w:r w:rsidRPr="00626284">
              <w:rPr>
                <w:rFonts w:eastAsia="Times New Roman" w:cs="Calibri"/>
                <w:b/>
                <w:bCs/>
                <w:lang w:eastAsia="fr-FR"/>
              </w:rPr>
              <w:t>5,9</w:t>
            </w:r>
          </w:p>
        </w:tc>
        <w:tc>
          <w:tcPr>
            <w:tcW w:w="422" w:type="pct"/>
            <w:tcBorders>
              <w:top w:val="nil"/>
              <w:left w:val="nil"/>
              <w:bottom w:val="single" w:sz="8" w:space="0" w:color="auto"/>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b/>
                <w:bCs/>
                <w:lang w:eastAsia="fr-FR"/>
              </w:rPr>
            </w:pPr>
            <w:r w:rsidRPr="00626284">
              <w:rPr>
                <w:rFonts w:eastAsia="Times New Roman" w:cs="Calibri"/>
                <w:b/>
                <w:bCs/>
                <w:lang w:eastAsia="fr-FR"/>
              </w:rPr>
              <w:t>4,2</w:t>
            </w:r>
          </w:p>
        </w:tc>
        <w:tc>
          <w:tcPr>
            <w:tcW w:w="349" w:type="pct"/>
            <w:tcBorders>
              <w:top w:val="nil"/>
              <w:left w:val="nil"/>
              <w:bottom w:val="single" w:sz="8" w:space="0" w:color="auto"/>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b/>
                <w:bCs/>
                <w:lang w:eastAsia="fr-FR"/>
              </w:rPr>
            </w:pPr>
            <w:r w:rsidRPr="00626284">
              <w:rPr>
                <w:rFonts w:eastAsia="Times New Roman" w:cs="Calibri"/>
                <w:b/>
                <w:bCs/>
                <w:lang w:eastAsia="fr-FR"/>
              </w:rPr>
              <w:t>3,8</w:t>
            </w:r>
          </w:p>
        </w:tc>
        <w:tc>
          <w:tcPr>
            <w:tcW w:w="292" w:type="pct"/>
            <w:tcBorders>
              <w:top w:val="nil"/>
              <w:left w:val="nil"/>
              <w:bottom w:val="single" w:sz="8" w:space="0" w:color="auto"/>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b/>
                <w:bCs/>
                <w:lang w:eastAsia="fr-FR"/>
              </w:rPr>
            </w:pPr>
            <w:r w:rsidRPr="00626284">
              <w:rPr>
                <w:rFonts w:eastAsia="Times New Roman" w:cs="Calibri"/>
                <w:b/>
                <w:bCs/>
                <w:lang w:eastAsia="fr-FR"/>
              </w:rPr>
              <w:t>5,2</w:t>
            </w:r>
          </w:p>
        </w:tc>
        <w:tc>
          <w:tcPr>
            <w:tcW w:w="292" w:type="pct"/>
            <w:tcBorders>
              <w:top w:val="nil"/>
              <w:left w:val="nil"/>
              <w:bottom w:val="single" w:sz="8" w:space="0" w:color="auto"/>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b/>
                <w:bCs/>
                <w:lang w:eastAsia="fr-FR"/>
              </w:rPr>
            </w:pPr>
            <w:r w:rsidRPr="00626284">
              <w:rPr>
                <w:rFonts w:eastAsia="Times New Roman" w:cs="Calibri"/>
                <w:b/>
                <w:bCs/>
                <w:lang w:eastAsia="fr-FR"/>
              </w:rPr>
              <w:t>3,0</w:t>
            </w:r>
          </w:p>
        </w:tc>
        <w:tc>
          <w:tcPr>
            <w:tcW w:w="292" w:type="pct"/>
            <w:tcBorders>
              <w:top w:val="nil"/>
              <w:left w:val="nil"/>
              <w:bottom w:val="single" w:sz="8" w:space="0" w:color="auto"/>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b/>
                <w:bCs/>
                <w:lang w:eastAsia="fr-FR"/>
              </w:rPr>
            </w:pPr>
            <w:r w:rsidRPr="00626284">
              <w:rPr>
                <w:rFonts w:eastAsia="Times New Roman" w:cs="Calibri"/>
                <w:b/>
                <w:bCs/>
                <w:lang w:eastAsia="fr-FR"/>
              </w:rPr>
              <w:t>4,5</w:t>
            </w:r>
          </w:p>
        </w:tc>
        <w:tc>
          <w:tcPr>
            <w:tcW w:w="292" w:type="pct"/>
            <w:tcBorders>
              <w:top w:val="nil"/>
              <w:left w:val="nil"/>
              <w:bottom w:val="single" w:sz="8" w:space="0" w:color="auto"/>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b/>
                <w:bCs/>
                <w:lang w:eastAsia="fr-FR"/>
              </w:rPr>
            </w:pPr>
            <w:r w:rsidRPr="00626284">
              <w:rPr>
                <w:rFonts w:eastAsia="Times New Roman" w:cs="Calibri"/>
                <w:b/>
                <w:bCs/>
                <w:lang w:eastAsia="fr-FR"/>
              </w:rPr>
              <w:t>2,6</w:t>
            </w:r>
          </w:p>
        </w:tc>
        <w:tc>
          <w:tcPr>
            <w:tcW w:w="292" w:type="pct"/>
            <w:tcBorders>
              <w:top w:val="nil"/>
              <w:left w:val="nil"/>
              <w:bottom w:val="single" w:sz="8" w:space="0" w:color="auto"/>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b/>
                <w:bCs/>
                <w:lang w:eastAsia="fr-FR"/>
              </w:rPr>
            </w:pPr>
            <w:r w:rsidRPr="00626284">
              <w:rPr>
                <w:rFonts w:eastAsia="Times New Roman" w:cs="Calibri"/>
                <w:b/>
                <w:bCs/>
                <w:lang w:eastAsia="fr-FR"/>
              </w:rPr>
              <w:t>4,5</w:t>
            </w:r>
          </w:p>
        </w:tc>
        <w:tc>
          <w:tcPr>
            <w:tcW w:w="293" w:type="pct"/>
            <w:tcBorders>
              <w:top w:val="nil"/>
              <w:left w:val="nil"/>
              <w:bottom w:val="single" w:sz="8" w:space="0" w:color="auto"/>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b/>
                <w:bCs/>
                <w:lang w:eastAsia="fr-FR"/>
              </w:rPr>
            </w:pPr>
            <w:r w:rsidRPr="00626284">
              <w:rPr>
                <w:rFonts w:eastAsia="Times New Roman" w:cs="Calibri"/>
                <w:b/>
                <w:bCs/>
                <w:lang w:eastAsia="fr-FR"/>
              </w:rPr>
              <w:t>1,1</w:t>
            </w:r>
          </w:p>
        </w:tc>
        <w:tc>
          <w:tcPr>
            <w:tcW w:w="292" w:type="pct"/>
            <w:tcBorders>
              <w:top w:val="nil"/>
              <w:left w:val="nil"/>
              <w:bottom w:val="single" w:sz="8" w:space="0" w:color="auto"/>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b/>
                <w:bCs/>
                <w:lang w:eastAsia="fr-FR"/>
              </w:rPr>
            </w:pPr>
            <w:r w:rsidRPr="00626284">
              <w:rPr>
                <w:rFonts w:eastAsia="Times New Roman" w:cs="Calibri"/>
                <w:b/>
                <w:bCs/>
                <w:lang w:eastAsia="fr-FR"/>
              </w:rPr>
              <w:t>3,6</w:t>
            </w:r>
          </w:p>
        </w:tc>
        <w:tc>
          <w:tcPr>
            <w:tcW w:w="449" w:type="pct"/>
            <w:tcBorders>
              <w:top w:val="nil"/>
              <w:left w:val="nil"/>
              <w:bottom w:val="single" w:sz="8" w:space="0" w:color="auto"/>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b/>
                <w:bCs/>
                <w:lang w:eastAsia="fr-FR"/>
              </w:rPr>
            </w:pPr>
            <w:r w:rsidRPr="00626284">
              <w:rPr>
                <w:rFonts w:eastAsia="Times New Roman" w:cs="Calibri"/>
                <w:b/>
                <w:bCs/>
                <w:lang w:eastAsia="fr-FR"/>
              </w:rPr>
              <w:t>4,8</w:t>
            </w:r>
          </w:p>
        </w:tc>
        <w:tc>
          <w:tcPr>
            <w:tcW w:w="469" w:type="pct"/>
            <w:tcBorders>
              <w:top w:val="nil"/>
              <w:left w:val="nil"/>
              <w:bottom w:val="single" w:sz="8" w:space="0" w:color="auto"/>
              <w:right w:val="single" w:sz="8" w:space="0" w:color="auto"/>
            </w:tcBorders>
            <w:shd w:val="clear" w:color="auto" w:fill="auto"/>
            <w:hideMark/>
          </w:tcPr>
          <w:p w:rsidR="00626284" w:rsidRPr="00626284" w:rsidRDefault="00626284" w:rsidP="00626284">
            <w:pPr>
              <w:spacing w:after="0" w:line="240" w:lineRule="auto"/>
              <w:jc w:val="center"/>
              <w:rPr>
                <w:rFonts w:eastAsia="Times New Roman" w:cs="Calibri"/>
                <w:b/>
                <w:bCs/>
                <w:lang w:eastAsia="fr-FR"/>
              </w:rPr>
            </w:pPr>
            <w:r w:rsidRPr="00626284">
              <w:rPr>
                <w:rFonts w:eastAsia="Times New Roman" w:cs="Calibri"/>
                <w:b/>
                <w:bCs/>
                <w:lang w:eastAsia="fr-FR"/>
              </w:rPr>
              <w:t>3,2</w:t>
            </w:r>
          </w:p>
        </w:tc>
      </w:tr>
    </w:tbl>
    <w:p w:rsidR="00626284" w:rsidRDefault="00626284" w:rsidP="00AC503B">
      <w:pPr>
        <w:spacing w:after="0"/>
        <w:jc w:val="both"/>
        <w:rPr>
          <w:b/>
          <w:bCs/>
          <w:sz w:val="24"/>
          <w:szCs w:val="24"/>
        </w:rPr>
      </w:pPr>
    </w:p>
    <w:p w:rsidR="00720DA6" w:rsidRPr="00FD2EA5" w:rsidRDefault="00720DA6" w:rsidP="00AC503B">
      <w:pPr>
        <w:spacing w:after="0"/>
        <w:jc w:val="both"/>
        <w:rPr>
          <w:b/>
          <w:bCs/>
          <w:sz w:val="24"/>
          <w:szCs w:val="24"/>
          <w:highlight w:val="yellow"/>
        </w:rPr>
      </w:pPr>
      <w:r w:rsidRPr="00FD2EA5">
        <w:rPr>
          <w:b/>
          <w:bCs/>
          <w:sz w:val="24"/>
          <w:szCs w:val="24"/>
        </w:rPr>
        <w:t>S’inscrivant dans le sillage de cette double évolution, les années 2016 et 2017 reconfirme</w:t>
      </w:r>
      <w:r w:rsidR="00882401">
        <w:rPr>
          <w:b/>
          <w:bCs/>
          <w:sz w:val="24"/>
          <w:szCs w:val="24"/>
        </w:rPr>
        <w:t>raie</w:t>
      </w:r>
      <w:r w:rsidRPr="00FD2EA5">
        <w:rPr>
          <w:b/>
          <w:bCs/>
          <w:sz w:val="24"/>
          <w:szCs w:val="24"/>
        </w:rPr>
        <w:t>nt le profil identitaire du modèle national de croissance</w:t>
      </w:r>
      <w:r w:rsidR="00230239">
        <w:rPr>
          <w:b/>
          <w:bCs/>
          <w:sz w:val="24"/>
          <w:szCs w:val="24"/>
        </w:rPr>
        <w:t xml:space="preserve"> tirée par la </w:t>
      </w:r>
      <w:r w:rsidRPr="00FD2EA5">
        <w:rPr>
          <w:b/>
          <w:bCs/>
          <w:sz w:val="24"/>
          <w:szCs w:val="24"/>
        </w:rPr>
        <w:t>demande intérieure</w:t>
      </w:r>
      <w:r w:rsidR="002B6D90" w:rsidRPr="00FD2EA5">
        <w:rPr>
          <w:b/>
          <w:bCs/>
          <w:sz w:val="24"/>
          <w:szCs w:val="24"/>
        </w:rPr>
        <w:t xml:space="preserve"> et pénalisé par une demande extérieure structurellement négative.</w:t>
      </w:r>
    </w:p>
    <w:p w:rsidR="00720DA6" w:rsidRPr="007F24A1" w:rsidRDefault="00720DA6" w:rsidP="00AC503B">
      <w:pPr>
        <w:spacing w:after="0"/>
        <w:jc w:val="both"/>
        <w:rPr>
          <w:b/>
          <w:bCs/>
          <w:sz w:val="24"/>
          <w:szCs w:val="24"/>
          <w:highlight w:val="yellow"/>
        </w:rPr>
      </w:pPr>
    </w:p>
    <w:p w:rsidR="00AE5469" w:rsidRDefault="002B6D90" w:rsidP="008E3364">
      <w:pPr>
        <w:spacing w:after="0"/>
        <w:jc w:val="both"/>
        <w:rPr>
          <w:sz w:val="24"/>
          <w:szCs w:val="24"/>
        </w:rPr>
      </w:pPr>
      <w:r>
        <w:rPr>
          <w:sz w:val="24"/>
          <w:szCs w:val="24"/>
        </w:rPr>
        <w:t xml:space="preserve">Avec une progression plutôt modérée à 2,3% en 2016 et </w:t>
      </w:r>
      <w:r w:rsidR="00290BDD">
        <w:rPr>
          <w:sz w:val="24"/>
          <w:szCs w:val="24"/>
        </w:rPr>
        <w:t>3,1</w:t>
      </w:r>
      <w:r>
        <w:rPr>
          <w:sz w:val="24"/>
          <w:szCs w:val="24"/>
        </w:rPr>
        <w:t>% en 2017</w:t>
      </w:r>
      <w:r w:rsidR="00AE5469" w:rsidRPr="00AE5469">
        <w:rPr>
          <w:sz w:val="24"/>
          <w:szCs w:val="24"/>
        </w:rPr>
        <w:t xml:space="preserve"> </w:t>
      </w:r>
      <w:r w:rsidR="00E01308">
        <w:rPr>
          <w:sz w:val="24"/>
          <w:szCs w:val="24"/>
        </w:rPr>
        <w:t xml:space="preserve">de la consommation finale nationale </w:t>
      </w:r>
      <w:r w:rsidR="00AE5469">
        <w:rPr>
          <w:sz w:val="24"/>
          <w:szCs w:val="24"/>
        </w:rPr>
        <w:t xml:space="preserve">et une forte reprise à </w:t>
      </w:r>
      <w:r w:rsidR="00AE5469" w:rsidRPr="009278DE">
        <w:rPr>
          <w:sz w:val="24"/>
          <w:szCs w:val="24"/>
        </w:rPr>
        <w:t>7%</w:t>
      </w:r>
      <w:r w:rsidR="00AE5469">
        <w:rPr>
          <w:sz w:val="24"/>
          <w:szCs w:val="24"/>
        </w:rPr>
        <w:t xml:space="preserve"> en 2016 puis à </w:t>
      </w:r>
      <w:r w:rsidR="00290BDD">
        <w:rPr>
          <w:sz w:val="24"/>
          <w:szCs w:val="24"/>
        </w:rPr>
        <w:t>4,</w:t>
      </w:r>
      <w:r w:rsidR="008E3364">
        <w:rPr>
          <w:sz w:val="24"/>
          <w:szCs w:val="24"/>
        </w:rPr>
        <w:t>6</w:t>
      </w:r>
      <w:r w:rsidR="00AE5469">
        <w:rPr>
          <w:sz w:val="24"/>
          <w:szCs w:val="24"/>
        </w:rPr>
        <w:t>% de l’investissement</w:t>
      </w:r>
      <w:r w:rsidR="00290BDD">
        <w:rPr>
          <w:rStyle w:val="Appelnotedebasdep"/>
          <w:sz w:val="24"/>
          <w:szCs w:val="24"/>
        </w:rPr>
        <w:footnoteReference w:id="1"/>
      </w:r>
      <w:r w:rsidR="00AE5469">
        <w:rPr>
          <w:sz w:val="24"/>
          <w:szCs w:val="24"/>
        </w:rPr>
        <w:t xml:space="preserve">, la demande intérieure </w:t>
      </w:r>
      <w:r w:rsidR="00A169B9">
        <w:rPr>
          <w:sz w:val="24"/>
          <w:szCs w:val="24"/>
        </w:rPr>
        <w:t xml:space="preserve">devrait </w:t>
      </w:r>
      <w:r>
        <w:rPr>
          <w:sz w:val="24"/>
          <w:szCs w:val="24"/>
        </w:rPr>
        <w:t xml:space="preserve">successivement contribuer de </w:t>
      </w:r>
      <w:r w:rsidR="008E3364">
        <w:rPr>
          <w:sz w:val="24"/>
          <w:szCs w:val="24"/>
        </w:rPr>
        <w:t>3,9</w:t>
      </w:r>
      <w:r>
        <w:rPr>
          <w:sz w:val="24"/>
          <w:szCs w:val="24"/>
        </w:rPr>
        <w:t xml:space="preserve"> points </w:t>
      </w:r>
      <w:r w:rsidR="00AE5469">
        <w:rPr>
          <w:sz w:val="24"/>
          <w:szCs w:val="24"/>
        </w:rPr>
        <w:t xml:space="preserve">en 2016 </w:t>
      </w:r>
      <w:r>
        <w:rPr>
          <w:sz w:val="24"/>
          <w:szCs w:val="24"/>
        </w:rPr>
        <w:t xml:space="preserve">et </w:t>
      </w:r>
      <w:r w:rsidR="00AE5469">
        <w:rPr>
          <w:sz w:val="24"/>
          <w:szCs w:val="24"/>
        </w:rPr>
        <w:t>2017</w:t>
      </w:r>
      <w:r>
        <w:rPr>
          <w:sz w:val="24"/>
          <w:szCs w:val="24"/>
        </w:rPr>
        <w:t xml:space="preserve"> à la croissance économique</w:t>
      </w:r>
      <w:r w:rsidR="00FD2EA5">
        <w:rPr>
          <w:sz w:val="24"/>
          <w:szCs w:val="24"/>
        </w:rPr>
        <w:t>,</w:t>
      </w:r>
      <w:r w:rsidR="00DB5C38">
        <w:rPr>
          <w:sz w:val="24"/>
          <w:szCs w:val="24"/>
        </w:rPr>
        <w:t xml:space="preserve"> </w:t>
      </w:r>
      <w:r w:rsidR="00FD2EA5">
        <w:rPr>
          <w:sz w:val="24"/>
          <w:szCs w:val="24"/>
        </w:rPr>
        <w:t xml:space="preserve">rejoignant son </w:t>
      </w:r>
      <w:r w:rsidR="00DB5C38">
        <w:rPr>
          <w:sz w:val="24"/>
          <w:szCs w:val="24"/>
        </w:rPr>
        <w:t>niveau d’avant 2014.</w:t>
      </w:r>
      <w:r w:rsidR="00AE5469">
        <w:rPr>
          <w:sz w:val="24"/>
          <w:szCs w:val="24"/>
        </w:rPr>
        <w:t xml:space="preserve"> </w:t>
      </w:r>
    </w:p>
    <w:p w:rsidR="00E01308" w:rsidRDefault="00E01308" w:rsidP="00AC503B">
      <w:pPr>
        <w:spacing w:after="0"/>
        <w:jc w:val="both"/>
        <w:rPr>
          <w:sz w:val="24"/>
          <w:szCs w:val="24"/>
        </w:rPr>
      </w:pPr>
    </w:p>
    <w:p w:rsidR="00FB7287" w:rsidRDefault="00882401" w:rsidP="008E3364">
      <w:pPr>
        <w:spacing w:after="0"/>
        <w:jc w:val="both"/>
        <w:rPr>
          <w:sz w:val="24"/>
          <w:szCs w:val="24"/>
        </w:rPr>
      </w:pPr>
      <w:r w:rsidRPr="001A29AC">
        <w:rPr>
          <w:sz w:val="24"/>
          <w:szCs w:val="24"/>
        </w:rPr>
        <w:t>L</w:t>
      </w:r>
      <w:r w:rsidR="00B35165" w:rsidRPr="001A29AC">
        <w:rPr>
          <w:sz w:val="24"/>
          <w:szCs w:val="24"/>
        </w:rPr>
        <w:t xml:space="preserve">a </w:t>
      </w:r>
      <w:r w:rsidR="00620960" w:rsidRPr="001A29AC">
        <w:rPr>
          <w:sz w:val="24"/>
          <w:szCs w:val="24"/>
        </w:rPr>
        <w:t xml:space="preserve">demande extérieure </w:t>
      </w:r>
      <w:r w:rsidR="00FD2EA5" w:rsidRPr="001A29AC">
        <w:rPr>
          <w:sz w:val="24"/>
          <w:szCs w:val="24"/>
        </w:rPr>
        <w:t xml:space="preserve">nette </w:t>
      </w:r>
      <w:r w:rsidR="003B13C8" w:rsidRPr="001A29AC">
        <w:rPr>
          <w:sz w:val="24"/>
          <w:szCs w:val="24"/>
        </w:rPr>
        <w:t>devrait</w:t>
      </w:r>
      <w:r w:rsidR="009278DE" w:rsidRPr="001A29AC">
        <w:rPr>
          <w:sz w:val="24"/>
          <w:szCs w:val="24"/>
        </w:rPr>
        <w:t>, en revanche,</w:t>
      </w:r>
      <w:r w:rsidR="00620960" w:rsidRPr="001A29AC">
        <w:rPr>
          <w:sz w:val="24"/>
          <w:szCs w:val="24"/>
        </w:rPr>
        <w:t xml:space="preserve"> </w:t>
      </w:r>
      <w:r w:rsidR="003B13C8" w:rsidRPr="001A29AC">
        <w:rPr>
          <w:sz w:val="24"/>
          <w:szCs w:val="24"/>
        </w:rPr>
        <w:t xml:space="preserve">renouer </w:t>
      </w:r>
      <w:r w:rsidR="00B35165" w:rsidRPr="001A29AC">
        <w:rPr>
          <w:sz w:val="24"/>
          <w:szCs w:val="24"/>
        </w:rPr>
        <w:t xml:space="preserve">avec sa contribution </w:t>
      </w:r>
      <w:r w:rsidR="00620960" w:rsidRPr="001A29AC">
        <w:rPr>
          <w:sz w:val="24"/>
          <w:szCs w:val="24"/>
        </w:rPr>
        <w:t>négative</w:t>
      </w:r>
      <w:r w:rsidRPr="001A29AC">
        <w:rPr>
          <w:sz w:val="24"/>
          <w:szCs w:val="24"/>
        </w:rPr>
        <w:t xml:space="preserve"> à</w:t>
      </w:r>
      <w:r>
        <w:rPr>
          <w:sz w:val="24"/>
          <w:szCs w:val="24"/>
        </w:rPr>
        <w:t xml:space="preserve"> la </w:t>
      </w:r>
      <w:r w:rsidR="00FA2C4B">
        <w:rPr>
          <w:sz w:val="24"/>
          <w:szCs w:val="24"/>
        </w:rPr>
        <w:t>croissance</w:t>
      </w:r>
      <w:r w:rsidR="00CB7BB2">
        <w:rPr>
          <w:sz w:val="24"/>
          <w:szCs w:val="24"/>
        </w:rPr>
        <w:t xml:space="preserve"> </w:t>
      </w:r>
      <w:r w:rsidR="004B7905" w:rsidRPr="00F829E1">
        <w:rPr>
          <w:sz w:val="24"/>
          <w:szCs w:val="24"/>
        </w:rPr>
        <w:t>d</w:t>
      </w:r>
      <w:r w:rsidR="00B35165">
        <w:rPr>
          <w:sz w:val="24"/>
          <w:szCs w:val="24"/>
        </w:rPr>
        <w:t>es années 2008-2011</w:t>
      </w:r>
      <w:r w:rsidR="00CB7BB2">
        <w:rPr>
          <w:sz w:val="24"/>
          <w:szCs w:val="24"/>
        </w:rPr>
        <w:t xml:space="preserve">. </w:t>
      </w:r>
      <w:r w:rsidR="001A29AC">
        <w:rPr>
          <w:sz w:val="24"/>
          <w:szCs w:val="24"/>
        </w:rPr>
        <w:t>E</w:t>
      </w:r>
      <w:r w:rsidR="00DB5C38">
        <w:rPr>
          <w:sz w:val="24"/>
          <w:szCs w:val="24"/>
        </w:rPr>
        <w:t xml:space="preserve">n rupture avec les </w:t>
      </w:r>
      <w:r w:rsidR="00CE0A27">
        <w:rPr>
          <w:sz w:val="24"/>
          <w:szCs w:val="24"/>
        </w:rPr>
        <w:t xml:space="preserve">deux </w:t>
      </w:r>
      <w:r w:rsidR="00DB5C38">
        <w:rPr>
          <w:sz w:val="24"/>
          <w:szCs w:val="24"/>
        </w:rPr>
        <w:t>années 2014-2015 où elle était positive de l’ordre de 2,</w:t>
      </w:r>
      <w:r w:rsidR="008E3364">
        <w:rPr>
          <w:sz w:val="24"/>
          <w:szCs w:val="24"/>
        </w:rPr>
        <w:t>4</w:t>
      </w:r>
      <w:r w:rsidR="00DB5C38">
        <w:rPr>
          <w:sz w:val="24"/>
          <w:szCs w:val="24"/>
        </w:rPr>
        <w:t xml:space="preserve"> points en moyenne</w:t>
      </w:r>
      <w:r w:rsidR="00CB7BB2">
        <w:rPr>
          <w:sz w:val="24"/>
          <w:szCs w:val="24"/>
        </w:rPr>
        <w:t xml:space="preserve">, la contribution à la croissance </w:t>
      </w:r>
      <w:r w:rsidR="001A29AC">
        <w:rPr>
          <w:sz w:val="24"/>
          <w:szCs w:val="24"/>
        </w:rPr>
        <w:t>de la demande extérieure redeviendrait</w:t>
      </w:r>
      <w:r w:rsidR="00CB7BB2">
        <w:rPr>
          <w:sz w:val="24"/>
          <w:szCs w:val="24"/>
        </w:rPr>
        <w:t xml:space="preserve"> </w:t>
      </w:r>
      <w:r w:rsidR="001A29AC">
        <w:rPr>
          <w:sz w:val="24"/>
          <w:szCs w:val="24"/>
        </w:rPr>
        <w:t>négative</w:t>
      </w:r>
      <w:r w:rsidR="00CB7BB2">
        <w:rPr>
          <w:sz w:val="24"/>
          <w:szCs w:val="24"/>
        </w:rPr>
        <w:t xml:space="preserve"> à 2,</w:t>
      </w:r>
      <w:r w:rsidR="008E3364">
        <w:rPr>
          <w:sz w:val="24"/>
          <w:szCs w:val="24"/>
        </w:rPr>
        <w:t>8</w:t>
      </w:r>
      <w:r w:rsidR="00CB7BB2">
        <w:rPr>
          <w:sz w:val="24"/>
          <w:szCs w:val="24"/>
        </w:rPr>
        <w:t xml:space="preserve"> point</w:t>
      </w:r>
      <w:r w:rsidR="001A29AC">
        <w:rPr>
          <w:sz w:val="24"/>
          <w:szCs w:val="24"/>
        </w:rPr>
        <w:t>s</w:t>
      </w:r>
      <w:r w:rsidR="00CB7BB2">
        <w:rPr>
          <w:sz w:val="24"/>
          <w:szCs w:val="24"/>
        </w:rPr>
        <w:t xml:space="preserve"> en 2016 </w:t>
      </w:r>
      <w:r w:rsidR="001A29AC">
        <w:rPr>
          <w:sz w:val="24"/>
          <w:szCs w:val="24"/>
        </w:rPr>
        <w:t xml:space="preserve">et à </w:t>
      </w:r>
      <w:r w:rsidR="001A29AC" w:rsidRPr="001A29AC">
        <w:rPr>
          <w:sz w:val="24"/>
          <w:szCs w:val="24"/>
        </w:rPr>
        <w:t>0,</w:t>
      </w:r>
      <w:r w:rsidR="008E3364">
        <w:rPr>
          <w:sz w:val="24"/>
          <w:szCs w:val="24"/>
        </w:rPr>
        <w:t>3</w:t>
      </w:r>
      <w:r w:rsidR="001A29AC" w:rsidRPr="001A29AC">
        <w:rPr>
          <w:sz w:val="24"/>
          <w:szCs w:val="24"/>
        </w:rPr>
        <w:t xml:space="preserve"> point en 2017</w:t>
      </w:r>
      <w:r w:rsidR="00DB5C38">
        <w:rPr>
          <w:sz w:val="24"/>
          <w:szCs w:val="24"/>
        </w:rPr>
        <w:t>.</w:t>
      </w:r>
      <w:r w:rsidR="001A29AC">
        <w:rPr>
          <w:sz w:val="24"/>
          <w:szCs w:val="24"/>
        </w:rPr>
        <w:t xml:space="preserve"> </w:t>
      </w:r>
    </w:p>
    <w:p w:rsidR="001A29AC" w:rsidRDefault="001A29AC" w:rsidP="00AC503B">
      <w:pPr>
        <w:spacing w:after="0"/>
        <w:jc w:val="both"/>
        <w:rPr>
          <w:sz w:val="24"/>
          <w:szCs w:val="24"/>
        </w:rPr>
      </w:pPr>
    </w:p>
    <w:p w:rsidR="004D51D0" w:rsidRDefault="00D91F54" w:rsidP="004D51D0">
      <w:pPr>
        <w:spacing w:after="0"/>
        <w:jc w:val="both"/>
        <w:rPr>
          <w:sz w:val="24"/>
          <w:szCs w:val="24"/>
        </w:rPr>
      </w:pPr>
      <w:r>
        <w:rPr>
          <w:sz w:val="24"/>
          <w:szCs w:val="24"/>
        </w:rPr>
        <w:t xml:space="preserve">Il </w:t>
      </w:r>
      <w:r w:rsidR="006132D3">
        <w:rPr>
          <w:sz w:val="24"/>
          <w:szCs w:val="24"/>
        </w:rPr>
        <w:t xml:space="preserve">s’agit là </w:t>
      </w:r>
      <w:r>
        <w:rPr>
          <w:sz w:val="24"/>
          <w:szCs w:val="24"/>
        </w:rPr>
        <w:t>de</w:t>
      </w:r>
      <w:r w:rsidR="00194195">
        <w:rPr>
          <w:sz w:val="24"/>
          <w:szCs w:val="24"/>
        </w:rPr>
        <w:t xml:space="preserve"> l’un des indicateurs </w:t>
      </w:r>
      <w:r w:rsidR="00405A09">
        <w:rPr>
          <w:sz w:val="24"/>
          <w:szCs w:val="24"/>
        </w:rPr>
        <w:t>phare de la vulnérabilité de notre mod</w:t>
      </w:r>
      <w:r w:rsidR="006132D3">
        <w:rPr>
          <w:sz w:val="24"/>
          <w:szCs w:val="24"/>
        </w:rPr>
        <w:t>èl</w:t>
      </w:r>
      <w:r w:rsidR="00405A09">
        <w:rPr>
          <w:sz w:val="24"/>
          <w:szCs w:val="24"/>
        </w:rPr>
        <w:t xml:space="preserve">e </w:t>
      </w:r>
      <w:r w:rsidR="006C471B">
        <w:rPr>
          <w:sz w:val="24"/>
          <w:szCs w:val="24"/>
        </w:rPr>
        <w:t xml:space="preserve">de </w:t>
      </w:r>
      <w:r w:rsidR="00405A09">
        <w:rPr>
          <w:sz w:val="24"/>
          <w:szCs w:val="24"/>
        </w:rPr>
        <w:t>croissance qui renvoie à la question de fond que le Maroc devrait résoudre, celle de la faible compétitivité de son tissu productif</w:t>
      </w:r>
      <w:r w:rsidR="00BB5128">
        <w:rPr>
          <w:sz w:val="24"/>
          <w:szCs w:val="24"/>
        </w:rPr>
        <w:t xml:space="preserve"> porteuse de menaces sur la soutenabilité de la croissance et la solvabilité financière du pays</w:t>
      </w:r>
      <w:r w:rsidR="00405A09">
        <w:rPr>
          <w:sz w:val="24"/>
          <w:szCs w:val="24"/>
        </w:rPr>
        <w:t>.</w:t>
      </w:r>
    </w:p>
    <w:p w:rsidR="004F15AC" w:rsidRDefault="004D51D0" w:rsidP="004D51D0">
      <w:pPr>
        <w:spacing w:after="0"/>
        <w:jc w:val="both"/>
        <w:rPr>
          <w:sz w:val="24"/>
          <w:szCs w:val="24"/>
        </w:rPr>
      </w:pPr>
      <w:r>
        <w:rPr>
          <w:sz w:val="24"/>
          <w:szCs w:val="24"/>
        </w:rPr>
        <w:t xml:space="preserve"> </w:t>
      </w:r>
    </w:p>
    <w:p w:rsidR="00FD2EA5" w:rsidRPr="00CF74D3" w:rsidRDefault="00E9752C" w:rsidP="00AC503B">
      <w:pPr>
        <w:spacing w:after="0"/>
        <w:jc w:val="both"/>
        <w:rPr>
          <w:b/>
          <w:bCs/>
          <w:sz w:val="24"/>
          <w:szCs w:val="24"/>
          <w:u w:val="single"/>
        </w:rPr>
      </w:pPr>
      <w:r w:rsidRPr="00CF74D3">
        <w:rPr>
          <w:b/>
          <w:bCs/>
          <w:sz w:val="24"/>
          <w:szCs w:val="24"/>
          <w:u w:val="single"/>
        </w:rPr>
        <w:t>F</w:t>
      </w:r>
      <w:r w:rsidR="00FD2EA5" w:rsidRPr="00CF74D3">
        <w:rPr>
          <w:b/>
          <w:bCs/>
          <w:sz w:val="24"/>
          <w:szCs w:val="24"/>
          <w:u w:val="single"/>
        </w:rPr>
        <w:t>inancement</w:t>
      </w:r>
      <w:r w:rsidR="00AA462D" w:rsidRPr="00CF74D3">
        <w:rPr>
          <w:b/>
          <w:bCs/>
          <w:sz w:val="24"/>
          <w:szCs w:val="24"/>
          <w:u w:val="single"/>
        </w:rPr>
        <w:t xml:space="preserve"> de l’économie </w:t>
      </w:r>
      <w:r w:rsidRPr="00CF74D3">
        <w:rPr>
          <w:b/>
          <w:bCs/>
          <w:sz w:val="24"/>
          <w:szCs w:val="24"/>
          <w:u w:val="single"/>
        </w:rPr>
        <w:t>nationale</w:t>
      </w:r>
    </w:p>
    <w:p w:rsidR="00405A09" w:rsidRDefault="00405A09" w:rsidP="00AC503B">
      <w:pPr>
        <w:spacing w:after="0"/>
        <w:jc w:val="both"/>
        <w:rPr>
          <w:sz w:val="24"/>
          <w:szCs w:val="24"/>
        </w:rPr>
      </w:pPr>
    </w:p>
    <w:p w:rsidR="00405A09" w:rsidRDefault="00405A09" w:rsidP="00AC503B">
      <w:pPr>
        <w:spacing w:after="0"/>
        <w:jc w:val="both"/>
        <w:rPr>
          <w:sz w:val="24"/>
          <w:szCs w:val="24"/>
        </w:rPr>
      </w:pPr>
      <w:r w:rsidRPr="007C504A">
        <w:rPr>
          <w:sz w:val="24"/>
          <w:szCs w:val="24"/>
        </w:rPr>
        <w:t>Les échanges extérieurs de biens et services connai</w:t>
      </w:r>
      <w:r>
        <w:rPr>
          <w:sz w:val="24"/>
          <w:szCs w:val="24"/>
        </w:rPr>
        <w:t>trai</w:t>
      </w:r>
      <w:r w:rsidRPr="007C504A">
        <w:rPr>
          <w:sz w:val="24"/>
          <w:szCs w:val="24"/>
        </w:rPr>
        <w:t>ent un déficit structurel</w:t>
      </w:r>
      <w:r>
        <w:rPr>
          <w:sz w:val="24"/>
          <w:szCs w:val="24"/>
        </w:rPr>
        <w:t xml:space="preserve"> </w:t>
      </w:r>
      <w:r w:rsidRPr="007C504A">
        <w:rPr>
          <w:sz w:val="24"/>
          <w:szCs w:val="24"/>
        </w:rPr>
        <w:t xml:space="preserve">de 100 milliards </w:t>
      </w:r>
      <w:r>
        <w:rPr>
          <w:sz w:val="24"/>
          <w:szCs w:val="24"/>
        </w:rPr>
        <w:t xml:space="preserve">de DH en 2016 </w:t>
      </w:r>
      <w:r w:rsidRPr="007C504A">
        <w:rPr>
          <w:sz w:val="24"/>
          <w:szCs w:val="24"/>
        </w:rPr>
        <w:t xml:space="preserve">au lieu de </w:t>
      </w:r>
      <w:r>
        <w:rPr>
          <w:sz w:val="24"/>
          <w:szCs w:val="24"/>
        </w:rPr>
        <w:t>60</w:t>
      </w:r>
      <w:r w:rsidRPr="007C504A">
        <w:rPr>
          <w:sz w:val="24"/>
          <w:szCs w:val="24"/>
        </w:rPr>
        <w:t xml:space="preserve"> milliards en </w:t>
      </w:r>
      <w:r>
        <w:rPr>
          <w:sz w:val="24"/>
          <w:szCs w:val="24"/>
        </w:rPr>
        <w:t xml:space="preserve">2007, respectivement </w:t>
      </w:r>
      <w:r w:rsidRPr="007C504A">
        <w:rPr>
          <w:sz w:val="24"/>
          <w:szCs w:val="24"/>
        </w:rPr>
        <w:t xml:space="preserve">de l’ordre de 10% </w:t>
      </w:r>
      <w:r>
        <w:rPr>
          <w:sz w:val="24"/>
          <w:szCs w:val="24"/>
        </w:rPr>
        <w:t xml:space="preserve">et de 9,3% </w:t>
      </w:r>
      <w:r w:rsidRPr="007C504A">
        <w:rPr>
          <w:sz w:val="24"/>
          <w:szCs w:val="24"/>
        </w:rPr>
        <w:t>du PIB</w:t>
      </w:r>
      <w:r>
        <w:rPr>
          <w:sz w:val="24"/>
          <w:szCs w:val="24"/>
        </w:rPr>
        <w:t>.</w:t>
      </w:r>
      <w:r w:rsidRPr="007C504A">
        <w:rPr>
          <w:sz w:val="24"/>
          <w:szCs w:val="24"/>
        </w:rPr>
        <w:t xml:space="preserve"> </w:t>
      </w:r>
      <w:r>
        <w:rPr>
          <w:sz w:val="24"/>
          <w:szCs w:val="24"/>
        </w:rPr>
        <w:t>Le déficit commercial des biens à l’exclusion des services aurait été de près de 180 milliards de DH en 2016.</w:t>
      </w:r>
    </w:p>
    <w:p w:rsidR="00405A09" w:rsidRDefault="00405A09" w:rsidP="00AC503B">
      <w:pPr>
        <w:spacing w:after="0"/>
        <w:jc w:val="both"/>
        <w:rPr>
          <w:sz w:val="24"/>
          <w:szCs w:val="24"/>
        </w:rPr>
      </w:pPr>
    </w:p>
    <w:p w:rsidR="006E07B4" w:rsidRDefault="000671FC" w:rsidP="00164531">
      <w:pPr>
        <w:spacing w:after="0"/>
        <w:jc w:val="both"/>
        <w:rPr>
          <w:sz w:val="24"/>
          <w:szCs w:val="24"/>
        </w:rPr>
      </w:pPr>
      <w:r>
        <w:rPr>
          <w:sz w:val="24"/>
          <w:szCs w:val="24"/>
        </w:rPr>
        <w:t>La</w:t>
      </w:r>
      <w:r w:rsidR="00C5772E">
        <w:rPr>
          <w:sz w:val="24"/>
          <w:szCs w:val="24"/>
        </w:rPr>
        <w:t xml:space="preserve"> demande extérieure nette </w:t>
      </w:r>
      <w:r>
        <w:rPr>
          <w:sz w:val="24"/>
          <w:szCs w:val="24"/>
        </w:rPr>
        <w:t xml:space="preserve">aurait </w:t>
      </w:r>
      <w:r w:rsidR="00061E4C">
        <w:rPr>
          <w:sz w:val="24"/>
          <w:szCs w:val="24"/>
        </w:rPr>
        <w:t xml:space="preserve">ainsi </w:t>
      </w:r>
      <w:r>
        <w:rPr>
          <w:sz w:val="24"/>
          <w:szCs w:val="24"/>
        </w:rPr>
        <w:t xml:space="preserve">été </w:t>
      </w:r>
      <w:r w:rsidR="00C5772E">
        <w:rPr>
          <w:sz w:val="24"/>
          <w:szCs w:val="24"/>
        </w:rPr>
        <w:t>respectivement de -10 % et de -9,</w:t>
      </w:r>
      <w:r w:rsidR="00164531">
        <w:rPr>
          <w:sz w:val="24"/>
          <w:szCs w:val="24"/>
        </w:rPr>
        <w:t>6</w:t>
      </w:r>
      <w:r w:rsidR="00C5772E">
        <w:rPr>
          <w:sz w:val="24"/>
          <w:szCs w:val="24"/>
        </w:rPr>
        <w:t>% du PIB en 2016 et 2017</w:t>
      </w:r>
      <w:r w:rsidR="00061E4C">
        <w:rPr>
          <w:sz w:val="24"/>
          <w:szCs w:val="24"/>
        </w:rPr>
        <w:t>. C</w:t>
      </w:r>
      <w:r>
        <w:rPr>
          <w:sz w:val="24"/>
          <w:szCs w:val="24"/>
        </w:rPr>
        <w:t xml:space="preserve">ompte tenu </w:t>
      </w:r>
      <w:r w:rsidR="00061E4C">
        <w:rPr>
          <w:sz w:val="24"/>
          <w:szCs w:val="24"/>
        </w:rPr>
        <w:t>des</w:t>
      </w:r>
      <w:r>
        <w:rPr>
          <w:sz w:val="24"/>
          <w:szCs w:val="24"/>
        </w:rPr>
        <w:t xml:space="preserve"> </w:t>
      </w:r>
      <w:r w:rsidR="00C5772E">
        <w:rPr>
          <w:sz w:val="24"/>
          <w:szCs w:val="24"/>
        </w:rPr>
        <w:t>revenus nets de la propriété et des transferts</w:t>
      </w:r>
      <w:r w:rsidR="00BC1532">
        <w:rPr>
          <w:sz w:val="24"/>
          <w:szCs w:val="24"/>
        </w:rPr>
        <w:t xml:space="preserve"> du reste du monde</w:t>
      </w:r>
      <w:r>
        <w:rPr>
          <w:sz w:val="24"/>
          <w:szCs w:val="24"/>
        </w:rPr>
        <w:t xml:space="preserve"> </w:t>
      </w:r>
      <w:r w:rsidR="00CE0A27">
        <w:rPr>
          <w:sz w:val="24"/>
          <w:szCs w:val="24"/>
        </w:rPr>
        <w:t xml:space="preserve">représentant </w:t>
      </w:r>
      <w:r w:rsidR="00C5772E">
        <w:rPr>
          <w:sz w:val="24"/>
          <w:szCs w:val="24"/>
        </w:rPr>
        <w:t>6,3%</w:t>
      </w:r>
      <w:r w:rsidR="00CE0A27">
        <w:rPr>
          <w:sz w:val="24"/>
          <w:szCs w:val="24"/>
        </w:rPr>
        <w:t xml:space="preserve"> du PIB en 2016 et 2017</w:t>
      </w:r>
      <w:r w:rsidR="00C5772E">
        <w:rPr>
          <w:sz w:val="24"/>
          <w:szCs w:val="24"/>
        </w:rPr>
        <w:t xml:space="preserve">, ces 2 années devraient se terminer avec </w:t>
      </w:r>
      <w:r w:rsidR="00C5772E">
        <w:rPr>
          <w:sz w:val="24"/>
          <w:szCs w:val="24"/>
        </w:rPr>
        <w:lastRenderedPageBreak/>
        <w:t>un besoin de financement</w:t>
      </w:r>
      <w:r w:rsidR="00BC1532">
        <w:rPr>
          <w:sz w:val="24"/>
          <w:szCs w:val="24"/>
        </w:rPr>
        <w:t>,</w:t>
      </w:r>
      <w:r w:rsidR="00C5772E">
        <w:rPr>
          <w:sz w:val="24"/>
          <w:szCs w:val="24"/>
        </w:rPr>
        <w:t xml:space="preserve"> respectivement de </w:t>
      </w:r>
      <w:r w:rsidR="00CE0A27">
        <w:rPr>
          <w:sz w:val="24"/>
          <w:szCs w:val="24"/>
        </w:rPr>
        <w:t>38,</w:t>
      </w:r>
      <w:r w:rsidR="00164531">
        <w:rPr>
          <w:sz w:val="24"/>
          <w:szCs w:val="24"/>
        </w:rPr>
        <w:t>5</w:t>
      </w:r>
      <w:r w:rsidR="00C5772E">
        <w:rPr>
          <w:sz w:val="24"/>
          <w:szCs w:val="24"/>
        </w:rPr>
        <w:t xml:space="preserve"> milliards de DH ou -3,</w:t>
      </w:r>
      <w:r w:rsidR="00164531">
        <w:rPr>
          <w:sz w:val="24"/>
          <w:szCs w:val="24"/>
        </w:rPr>
        <w:t>8</w:t>
      </w:r>
      <w:r w:rsidR="00C5772E">
        <w:rPr>
          <w:sz w:val="24"/>
          <w:szCs w:val="24"/>
        </w:rPr>
        <w:t xml:space="preserve">% du PIB et </w:t>
      </w:r>
      <w:r w:rsidR="00CE0A27">
        <w:rPr>
          <w:sz w:val="24"/>
          <w:szCs w:val="24"/>
        </w:rPr>
        <w:t>35</w:t>
      </w:r>
      <w:r w:rsidR="00164531">
        <w:rPr>
          <w:sz w:val="24"/>
          <w:szCs w:val="24"/>
        </w:rPr>
        <w:t>,8</w:t>
      </w:r>
      <w:r w:rsidR="00C5772E">
        <w:rPr>
          <w:sz w:val="24"/>
          <w:szCs w:val="24"/>
        </w:rPr>
        <w:t xml:space="preserve"> milliards ou encore 3,</w:t>
      </w:r>
      <w:r w:rsidR="00164531">
        <w:rPr>
          <w:sz w:val="24"/>
          <w:szCs w:val="24"/>
        </w:rPr>
        <w:t>4</w:t>
      </w:r>
      <w:r w:rsidR="00C5772E">
        <w:rPr>
          <w:sz w:val="24"/>
          <w:szCs w:val="24"/>
        </w:rPr>
        <w:t>% du PIB.</w:t>
      </w:r>
    </w:p>
    <w:p w:rsidR="00C5772E" w:rsidRDefault="00C5772E" w:rsidP="00AC503B">
      <w:pPr>
        <w:spacing w:after="0"/>
        <w:jc w:val="both"/>
        <w:rPr>
          <w:sz w:val="24"/>
          <w:szCs w:val="24"/>
        </w:rPr>
      </w:pPr>
    </w:p>
    <w:p w:rsidR="00C5772E" w:rsidRDefault="00C5772E" w:rsidP="00AC503B">
      <w:pPr>
        <w:spacing w:after="0"/>
        <w:jc w:val="both"/>
        <w:rPr>
          <w:sz w:val="24"/>
          <w:szCs w:val="24"/>
        </w:rPr>
      </w:pPr>
      <w:r>
        <w:rPr>
          <w:sz w:val="24"/>
          <w:szCs w:val="24"/>
        </w:rPr>
        <w:t>Le recours à l’endet</w:t>
      </w:r>
      <w:r w:rsidR="00BC1532">
        <w:rPr>
          <w:sz w:val="24"/>
          <w:szCs w:val="24"/>
        </w:rPr>
        <w:t>t</w:t>
      </w:r>
      <w:r>
        <w:rPr>
          <w:sz w:val="24"/>
          <w:szCs w:val="24"/>
        </w:rPr>
        <w:t xml:space="preserve">ement extérieur devrait couvrir </w:t>
      </w:r>
      <w:r w:rsidR="00230239">
        <w:rPr>
          <w:sz w:val="24"/>
          <w:szCs w:val="24"/>
        </w:rPr>
        <w:t>près de 58% de ce besoin de financement en 2016 et de 36% en 2017</w:t>
      </w:r>
      <w:r>
        <w:rPr>
          <w:sz w:val="24"/>
          <w:szCs w:val="24"/>
        </w:rPr>
        <w:t xml:space="preserve">. </w:t>
      </w:r>
    </w:p>
    <w:p w:rsidR="00217B4E" w:rsidRDefault="00217B4E" w:rsidP="00AC503B">
      <w:pPr>
        <w:spacing w:after="0"/>
        <w:jc w:val="both"/>
        <w:rPr>
          <w:sz w:val="24"/>
          <w:szCs w:val="24"/>
        </w:rPr>
      </w:pPr>
    </w:p>
    <w:p w:rsidR="00512677" w:rsidRDefault="00A76D1C" w:rsidP="00AC503B">
      <w:pPr>
        <w:pStyle w:val="Titre2"/>
        <w:spacing w:before="0" w:beforeAutospacing="0" w:after="0" w:afterAutospacing="0" w:line="276" w:lineRule="auto"/>
        <w:jc w:val="both"/>
        <w:rPr>
          <w:rFonts w:ascii="Calibri" w:eastAsia="Calibri" w:hAnsi="Calibri" w:cs="Arial"/>
          <w:sz w:val="24"/>
          <w:szCs w:val="24"/>
          <w:lang w:eastAsia="en-US"/>
        </w:rPr>
      </w:pPr>
      <w:r>
        <w:rPr>
          <w:rFonts w:ascii="Calibri" w:eastAsia="Calibri" w:hAnsi="Calibri" w:cs="Arial"/>
          <w:sz w:val="24"/>
          <w:szCs w:val="24"/>
          <w:u w:val="single"/>
          <w:lang w:eastAsia="en-US"/>
        </w:rPr>
        <w:t>Quelques observations en guise de c</w:t>
      </w:r>
      <w:r w:rsidR="00512677" w:rsidRPr="00512677">
        <w:rPr>
          <w:rFonts w:ascii="Calibri" w:eastAsia="Calibri" w:hAnsi="Calibri" w:cs="Arial"/>
          <w:sz w:val="24"/>
          <w:szCs w:val="24"/>
          <w:u w:val="single"/>
          <w:lang w:eastAsia="en-US"/>
        </w:rPr>
        <w:t>onclusion</w:t>
      </w:r>
      <w:r>
        <w:rPr>
          <w:rFonts w:ascii="Calibri" w:eastAsia="Calibri" w:hAnsi="Calibri" w:cs="Arial"/>
          <w:sz w:val="24"/>
          <w:szCs w:val="24"/>
          <w:lang w:eastAsia="en-US"/>
        </w:rPr>
        <w:t> :</w:t>
      </w:r>
    </w:p>
    <w:p w:rsidR="00CA6C74" w:rsidRDefault="00CA6C74" w:rsidP="00AC503B">
      <w:pPr>
        <w:spacing w:after="0"/>
        <w:jc w:val="both"/>
        <w:rPr>
          <w:b/>
          <w:bCs/>
          <w:i/>
          <w:iCs/>
          <w:sz w:val="24"/>
          <w:szCs w:val="24"/>
          <w:u w:val="single"/>
        </w:rPr>
      </w:pPr>
    </w:p>
    <w:p w:rsidR="00D0369D" w:rsidRPr="00217B4E" w:rsidRDefault="00083DBB" w:rsidP="00AC503B">
      <w:pPr>
        <w:spacing w:after="0"/>
        <w:jc w:val="both"/>
        <w:rPr>
          <w:i/>
          <w:iCs/>
          <w:sz w:val="24"/>
          <w:szCs w:val="24"/>
        </w:rPr>
      </w:pPr>
      <w:r w:rsidRPr="00217B4E">
        <w:rPr>
          <w:b/>
          <w:bCs/>
          <w:i/>
          <w:iCs/>
          <w:sz w:val="24"/>
          <w:szCs w:val="24"/>
          <w:u w:val="single"/>
        </w:rPr>
        <w:t>1</w:t>
      </w:r>
      <w:r w:rsidRPr="00217B4E">
        <w:rPr>
          <w:b/>
          <w:bCs/>
          <w:i/>
          <w:iCs/>
          <w:sz w:val="24"/>
          <w:szCs w:val="24"/>
          <w:u w:val="single"/>
          <w:vertAlign w:val="superscript"/>
        </w:rPr>
        <w:t>ère</w:t>
      </w:r>
      <w:r w:rsidRPr="00217B4E">
        <w:rPr>
          <w:b/>
          <w:bCs/>
          <w:i/>
          <w:iCs/>
          <w:sz w:val="24"/>
          <w:szCs w:val="24"/>
          <w:u w:val="single"/>
        </w:rPr>
        <w:t xml:space="preserve"> </w:t>
      </w:r>
      <w:r w:rsidR="00D0369D" w:rsidRPr="00217B4E">
        <w:rPr>
          <w:b/>
          <w:bCs/>
          <w:i/>
          <w:iCs/>
          <w:sz w:val="24"/>
          <w:szCs w:val="24"/>
          <w:u w:val="single"/>
        </w:rPr>
        <w:t>observation</w:t>
      </w:r>
      <w:r w:rsidR="00D0369D" w:rsidRPr="00217B4E">
        <w:rPr>
          <w:b/>
          <w:bCs/>
          <w:i/>
          <w:iCs/>
          <w:sz w:val="24"/>
          <w:szCs w:val="24"/>
        </w:rPr>
        <w:t> :</w:t>
      </w:r>
      <w:r w:rsidR="00D0369D" w:rsidRPr="00217B4E">
        <w:rPr>
          <w:i/>
          <w:iCs/>
          <w:sz w:val="24"/>
          <w:szCs w:val="24"/>
        </w:rPr>
        <w:t xml:space="preserve"> </w:t>
      </w:r>
    </w:p>
    <w:p w:rsidR="00D97955" w:rsidRDefault="00D97955" w:rsidP="00AC503B">
      <w:pPr>
        <w:pStyle w:val="Titre2"/>
        <w:spacing w:before="0" w:beforeAutospacing="0" w:after="0" w:afterAutospacing="0" w:line="276" w:lineRule="auto"/>
        <w:jc w:val="both"/>
        <w:rPr>
          <w:rFonts w:ascii="Calibri" w:eastAsia="Calibri" w:hAnsi="Calibri" w:cs="Arial"/>
          <w:b w:val="0"/>
          <w:bCs w:val="0"/>
          <w:sz w:val="24"/>
          <w:szCs w:val="24"/>
          <w:lang w:eastAsia="en-US"/>
        </w:rPr>
      </w:pPr>
    </w:p>
    <w:p w:rsidR="00BD5827" w:rsidRDefault="00C10632" w:rsidP="00AC503B">
      <w:pPr>
        <w:pStyle w:val="Titre2"/>
        <w:spacing w:before="0" w:beforeAutospacing="0" w:after="0" w:afterAutospacing="0" w:line="276" w:lineRule="auto"/>
        <w:jc w:val="both"/>
        <w:rPr>
          <w:sz w:val="24"/>
          <w:szCs w:val="24"/>
        </w:rPr>
      </w:pPr>
      <w:r w:rsidRPr="00B8111F">
        <w:rPr>
          <w:rFonts w:ascii="Calibri" w:eastAsia="Calibri" w:hAnsi="Calibri" w:cs="Arial"/>
          <w:b w:val="0"/>
          <w:bCs w:val="0"/>
          <w:sz w:val="24"/>
          <w:szCs w:val="24"/>
          <w:lang w:eastAsia="en-US"/>
        </w:rPr>
        <w:t>Le pendant de la faible compétitivité de notre tissu productif se traduirait, en particulier,</w:t>
      </w:r>
      <w:r>
        <w:rPr>
          <w:rFonts w:ascii="Calibri" w:eastAsia="Calibri" w:hAnsi="Calibri" w:cs="Arial"/>
          <w:b w:val="0"/>
          <w:bCs w:val="0"/>
          <w:sz w:val="24"/>
          <w:szCs w:val="24"/>
          <w:lang w:eastAsia="en-US"/>
        </w:rPr>
        <w:t xml:space="preserve"> par le fort et croissant contenu en importations de notre demande intérieure, aussi bien que de </w:t>
      </w:r>
      <w:r w:rsidR="00A955DA">
        <w:rPr>
          <w:rFonts w:ascii="Calibri" w:eastAsia="Calibri" w:hAnsi="Calibri" w:cs="Arial"/>
          <w:b w:val="0"/>
          <w:bCs w:val="0"/>
          <w:sz w:val="24"/>
          <w:szCs w:val="24"/>
          <w:lang w:eastAsia="en-US"/>
        </w:rPr>
        <w:t>la partie de l’o</w:t>
      </w:r>
      <w:r>
        <w:rPr>
          <w:rFonts w:ascii="Calibri" w:eastAsia="Calibri" w:hAnsi="Calibri" w:cs="Arial"/>
          <w:b w:val="0"/>
          <w:bCs w:val="0"/>
          <w:sz w:val="24"/>
          <w:szCs w:val="24"/>
          <w:lang w:eastAsia="en-US"/>
        </w:rPr>
        <w:t xml:space="preserve">ffre </w:t>
      </w:r>
      <w:r w:rsidR="00A955DA">
        <w:rPr>
          <w:rFonts w:ascii="Calibri" w:eastAsia="Calibri" w:hAnsi="Calibri" w:cs="Arial"/>
          <w:b w:val="0"/>
          <w:bCs w:val="0"/>
          <w:sz w:val="24"/>
          <w:szCs w:val="24"/>
          <w:lang w:eastAsia="en-US"/>
        </w:rPr>
        <w:t>nationale qui trouve son chemin à l’</w:t>
      </w:r>
      <w:r>
        <w:rPr>
          <w:rFonts w:ascii="Calibri" w:eastAsia="Calibri" w:hAnsi="Calibri" w:cs="Arial"/>
          <w:b w:val="0"/>
          <w:bCs w:val="0"/>
          <w:sz w:val="24"/>
          <w:szCs w:val="24"/>
          <w:lang w:eastAsia="en-US"/>
        </w:rPr>
        <w:t>exportation</w:t>
      </w:r>
      <w:r w:rsidR="00A955DA">
        <w:rPr>
          <w:rFonts w:ascii="Calibri" w:eastAsia="Calibri" w:hAnsi="Calibri" w:cs="Arial"/>
          <w:b w:val="0"/>
          <w:bCs w:val="0"/>
          <w:sz w:val="24"/>
          <w:szCs w:val="24"/>
          <w:lang w:eastAsia="en-US"/>
        </w:rPr>
        <w:t xml:space="preserve">. </w:t>
      </w:r>
    </w:p>
    <w:p w:rsidR="00BD5827" w:rsidRDefault="00BD5827" w:rsidP="00AC503B">
      <w:pPr>
        <w:spacing w:after="0"/>
        <w:jc w:val="both"/>
        <w:rPr>
          <w:sz w:val="24"/>
          <w:szCs w:val="24"/>
        </w:rPr>
      </w:pPr>
    </w:p>
    <w:p w:rsidR="004F15AC" w:rsidRDefault="00512677" w:rsidP="00AC503B">
      <w:pPr>
        <w:spacing w:after="0"/>
        <w:jc w:val="both"/>
        <w:rPr>
          <w:sz w:val="24"/>
          <w:szCs w:val="24"/>
        </w:rPr>
      </w:pPr>
      <w:r>
        <w:rPr>
          <w:sz w:val="24"/>
          <w:szCs w:val="24"/>
        </w:rPr>
        <w:t xml:space="preserve">S’agissant de la </w:t>
      </w:r>
      <w:r w:rsidRPr="00512677">
        <w:rPr>
          <w:b/>
          <w:bCs/>
          <w:sz w:val="24"/>
          <w:szCs w:val="24"/>
        </w:rPr>
        <w:t>consommation finale des ménages</w:t>
      </w:r>
      <w:r>
        <w:rPr>
          <w:sz w:val="24"/>
          <w:szCs w:val="24"/>
        </w:rPr>
        <w:t>,</w:t>
      </w:r>
      <w:r w:rsidR="000671FC">
        <w:rPr>
          <w:sz w:val="24"/>
          <w:szCs w:val="24"/>
        </w:rPr>
        <w:t xml:space="preserve"> nous savons que</w:t>
      </w:r>
      <w:r>
        <w:rPr>
          <w:sz w:val="24"/>
          <w:szCs w:val="24"/>
        </w:rPr>
        <w:t xml:space="preserve"> </w:t>
      </w:r>
      <w:r w:rsidR="002B19E1">
        <w:rPr>
          <w:sz w:val="24"/>
          <w:szCs w:val="24"/>
        </w:rPr>
        <w:t xml:space="preserve">l’amélioration du niveau de vie de larges </w:t>
      </w:r>
      <w:r w:rsidR="00EB6DB0" w:rsidRPr="00583637">
        <w:rPr>
          <w:sz w:val="24"/>
          <w:szCs w:val="24"/>
        </w:rPr>
        <w:t xml:space="preserve">franges de la population </w:t>
      </w:r>
      <w:r w:rsidR="0046342C">
        <w:rPr>
          <w:sz w:val="24"/>
          <w:szCs w:val="24"/>
        </w:rPr>
        <w:t xml:space="preserve">a permis leur accès à un </w:t>
      </w:r>
      <w:r w:rsidR="00EB6DB0" w:rsidRPr="00583637">
        <w:rPr>
          <w:sz w:val="24"/>
          <w:szCs w:val="24"/>
        </w:rPr>
        <w:t>nouveau modèle de consommation</w:t>
      </w:r>
      <w:r w:rsidR="000671FC">
        <w:rPr>
          <w:sz w:val="24"/>
          <w:szCs w:val="24"/>
        </w:rPr>
        <w:t xml:space="preserve"> avec </w:t>
      </w:r>
      <w:r w:rsidR="00EB6DB0">
        <w:rPr>
          <w:sz w:val="24"/>
          <w:szCs w:val="24"/>
        </w:rPr>
        <w:t>l’émergence</w:t>
      </w:r>
      <w:r w:rsidR="00583637">
        <w:rPr>
          <w:sz w:val="24"/>
          <w:szCs w:val="24"/>
        </w:rPr>
        <w:t>,</w:t>
      </w:r>
      <w:r w:rsidR="00EB6DB0">
        <w:rPr>
          <w:sz w:val="24"/>
          <w:szCs w:val="24"/>
        </w:rPr>
        <w:t xml:space="preserve"> dans son segment non alimentaire</w:t>
      </w:r>
      <w:r w:rsidR="00583637">
        <w:rPr>
          <w:sz w:val="24"/>
          <w:szCs w:val="24"/>
        </w:rPr>
        <w:t>,</w:t>
      </w:r>
      <w:r w:rsidR="00EB6DB0">
        <w:rPr>
          <w:sz w:val="24"/>
          <w:szCs w:val="24"/>
        </w:rPr>
        <w:t xml:space="preserve"> de nouveaux </w:t>
      </w:r>
      <w:r w:rsidR="001F62FA">
        <w:rPr>
          <w:sz w:val="24"/>
          <w:szCs w:val="24"/>
        </w:rPr>
        <w:t xml:space="preserve">besoins de </w:t>
      </w:r>
      <w:r w:rsidR="00EB6DB0">
        <w:rPr>
          <w:sz w:val="24"/>
          <w:szCs w:val="24"/>
        </w:rPr>
        <w:t xml:space="preserve">biens et services </w:t>
      </w:r>
      <w:r w:rsidR="00F1441E">
        <w:rPr>
          <w:sz w:val="24"/>
          <w:szCs w:val="24"/>
        </w:rPr>
        <w:t xml:space="preserve">souvent </w:t>
      </w:r>
      <w:r w:rsidR="00583637">
        <w:rPr>
          <w:sz w:val="24"/>
          <w:szCs w:val="24"/>
        </w:rPr>
        <w:t xml:space="preserve">satisfaits par des </w:t>
      </w:r>
      <w:r w:rsidR="00EB6DB0">
        <w:rPr>
          <w:sz w:val="24"/>
          <w:szCs w:val="24"/>
        </w:rPr>
        <w:t>importation</w:t>
      </w:r>
      <w:r w:rsidR="001F62FA">
        <w:rPr>
          <w:sz w:val="24"/>
          <w:szCs w:val="24"/>
        </w:rPr>
        <w:t>s</w:t>
      </w:r>
      <w:r w:rsidR="00EB6DB0">
        <w:rPr>
          <w:sz w:val="24"/>
          <w:szCs w:val="24"/>
        </w:rPr>
        <w:t xml:space="preserve"> </w:t>
      </w:r>
      <w:r w:rsidR="001F62FA">
        <w:rPr>
          <w:sz w:val="24"/>
          <w:szCs w:val="24"/>
        </w:rPr>
        <w:t>plus compétitives</w:t>
      </w:r>
      <w:r w:rsidR="000671FC">
        <w:rPr>
          <w:sz w:val="24"/>
          <w:szCs w:val="24"/>
        </w:rPr>
        <w:t xml:space="preserve"> que l’offre nationale quand </w:t>
      </w:r>
      <w:r w:rsidR="00F1441E">
        <w:rPr>
          <w:sz w:val="24"/>
          <w:szCs w:val="24"/>
        </w:rPr>
        <w:t>c</w:t>
      </w:r>
      <w:r w:rsidR="000671FC">
        <w:rPr>
          <w:sz w:val="24"/>
          <w:szCs w:val="24"/>
        </w:rPr>
        <w:t>elle</w:t>
      </w:r>
      <w:r w:rsidR="00F1441E">
        <w:rPr>
          <w:sz w:val="24"/>
          <w:szCs w:val="24"/>
        </w:rPr>
        <w:t>-ci</w:t>
      </w:r>
      <w:r w:rsidR="000671FC">
        <w:rPr>
          <w:sz w:val="24"/>
          <w:szCs w:val="24"/>
        </w:rPr>
        <w:t xml:space="preserve"> existe</w:t>
      </w:r>
      <w:r w:rsidR="001F62FA">
        <w:rPr>
          <w:sz w:val="24"/>
          <w:szCs w:val="24"/>
        </w:rPr>
        <w:t xml:space="preserve">. C’est ainsi que </w:t>
      </w:r>
      <w:r w:rsidR="001F62FA" w:rsidRPr="00583637">
        <w:rPr>
          <w:sz w:val="24"/>
          <w:szCs w:val="24"/>
        </w:rPr>
        <w:t>les importations de biens et services</w:t>
      </w:r>
      <w:r w:rsidR="00583637">
        <w:rPr>
          <w:sz w:val="24"/>
          <w:szCs w:val="24"/>
        </w:rPr>
        <w:t xml:space="preserve"> destinés </w:t>
      </w:r>
      <w:r w:rsidR="001F62FA">
        <w:rPr>
          <w:sz w:val="24"/>
          <w:szCs w:val="24"/>
        </w:rPr>
        <w:t xml:space="preserve">aux ménages </w:t>
      </w:r>
      <w:r w:rsidR="00583637">
        <w:rPr>
          <w:sz w:val="24"/>
          <w:szCs w:val="24"/>
        </w:rPr>
        <w:t>auraient occupé une part croissante</w:t>
      </w:r>
      <w:r w:rsidR="00AE0A03">
        <w:rPr>
          <w:sz w:val="24"/>
          <w:szCs w:val="24"/>
        </w:rPr>
        <w:t xml:space="preserve"> dans la balance commerciale jusqu’à</w:t>
      </w:r>
      <w:r w:rsidR="00583637">
        <w:rPr>
          <w:sz w:val="24"/>
          <w:szCs w:val="24"/>
        </w:rPr>
        <w:t xml:space="preserve"> </w:t>
      </w:r>
      <w:r w:rsidR="00064C57">
        <w:rPr>
          <w:sz w:val="24"/>
          <w:szCs w:val="24"/>
        </w:rPr>
        <w:t xml:space="preserve">atteindre </w:t>
      </w:r>
      <w:r w:rsidR="00583637">
        <w:rPr>
          <w:sz w:val="24"/>
          <w:szCs w:val="24"/>
        </w:rPr>
        <w:t xml:space="preserve">20% des importations totales. </w:t>
      </w:r>
    </w:p>
    <w:p w:rsidR="005E3A25" w:rsidRDefault="005E3A25" w:rsidP="00AC503B">
      <w:pPr>
        <w:spacing w:after="0"/>
        <w:jc w:val="both"/>
        <w:rPr>
          <w:sz w:val="24"/>
          <w:szCs w:val="24"/>
        </w:rPr>
      </w:pPr>
    </w:p>
    <w:p w:rsidR="00763B7B" w:rsidRDefault="000B08F5" w:rsidP="00AC503B">
      <w:pPr>
        <w:spacing w:after="0"/>
        <w:jc w:val="both"/>
        <w:rPr>
          <w:sz w:val="24"/>
          <w:szCs w:val="24"/>
        </w:rPr>
      </w:pPr>
      <w:r w:rsidRPr="000B08F5">
        <w:rPr>
          <w:b/>
          <w:bCs/>
          <w:sz w:val="24"/>
          <w:szCs w:val="24"/>
        </w:rPr>
        <w:t>L’investissement</w:t>
      </w:r>
      <w:r>
        <w:rPr>
          <w:sz w:val="24"/>
          <w:szCs w:val="24"/>
        </w:rPr>
        <w:t xml:space="preserve">, </w:t>
      </w:r>
      <w:r w:rsidR="00221D4D">
        <w:rPr>
          <w:sz w:val="24"/>
          <w:szCs w:val="24"/>
        </w:rPr>
        <w:t xml:space="preserve">même en net ralentissement depuis 2010, </w:t>
      </w:r>
      <w:r>
        <w:rPr>
          <w:sz w:val="24"/>
          <w:szCs w:val="24"/>
        </w:rPr>
        <w:t>serait</w:t>
      </w:r>
      <w:r w:rsidR="00AE0A03">
        <w:rPr>
          <w:sz w:val="24"/>
          <w:szCs w:val="24"/>
        </w:rPr>
        <w:t xml:space="preserve"> </w:t>
      </w:r>
      <w:r>
        <w:rPr>
          <w:sz w:val="24"/>
          <w:szCs w:val="24"/>
        </w:rPr>
        <w:t xml:space="preserve">de son côté, </w:t>
      </w:r>
      <w:r w:rsidR="00221D4D">
        <w:rPr>
          <w:sz w:val="24"/>
          <w:szCs w:val="24"/>
        </w:rPr>
        <w:t xml:space="preserve">à l’origine d’une importation croissante de biens d’équipement dont la part </w:t>
      </w:r>
      <w:r w:rsidR="0046342C">
        <w:rPr>
          <w:sz w:val="24"/>
          <w:szCs w:val="24"/>
        </w:rPr>
        <w:t xml:space="preserve">dans les importations </w:t>
      </w:r>
      <w:r w:rsidR="00AE0A03">
        <w:rPr>
          <w:sz w:val="24"/>
          <w:szCs w:val="24"/>
        </w:rPr>
        <w:t>serait</w:t>
      </w:r>
      <w:r w:rsidR="00221D4D">
        <w:rPr>
          <w:sz w:val="24"/>
          <w:szCs w:val="24"/>
        </w:rPr>
        <w:t xml:space="preserve"> passée </w:t>
      </w:r>
      <w:r w:rsidR="0046342C">
        <w:rPr>
          <w:sz w:val="24"/>
          <w:szCs w:val="24"/>
        </w:rPr>
        <w:t>de 19% en 2011 à 29% en 2016</w:t>
      </w:r>
      <w:r w:rsidR="00232FBE">
        <w:rPr>
          <w:sz w:val="24"/>
          <w:szCs w:val="24"/>
        </w:rPr>
        <w:t>. En d’autres termes, elle aurait représenté 40% de la formation brute du capital fixe en 2016, au lieu de 26% en 2012</w:t>
      </w:r>
      <w:r w:rsidR="00221D4D">
        <w:rPr>
          <w:sz w:val="24"/>
          <w:szCs w:val="24"/>
        </w:rPr>
        <w:t>.</w:t>
      </w:r>
    </w:p>
    <w:p w:rsidR="00763B7B" w:rsidRDefault="00763B7B" w:rsidP="00AC503B">
      <w:pPr>
        <w:spacing w:after="0"/>
        <w:jc w:val="both"/>
        <w:rPr>
          <w:sz w:val="24"/>
          <w:szCs w:val="24"/>
        </w:rPr>
      </w:pPr>
    </w:p>
    <w:p w:rsidR="00F821CE" w:rsidRDefault="00A6658A" w:rsidP="00AC503B">
      <w:pPr>
        <w:spacing w:after="0"/>
        <w:jc w:val="both"/>
        <w:rPr>
          <w:sz w:val="24"/>
          <w:szCs w:val="24"/>
        </w:rPr>
      </w:pPr>
      <w:r>
        <w:rPr>
          <w:sz w:val="24"/>
          <w:szCs w:val="24"/>
        </w:rPr>
        <w:t>Il convient</w:t>
      </w:r>
      <w:r w:rsidR="00AE0A03">
        <w:rPr>
          <w:sz w:val="24"/>
          <w:szCs w:val="24"/>
        </w:rPr>
        <w:t xml:space="preserve">, par ailleurs, </w:t>
      </w:r>
      <w:r>
        <w:rPr>
          <w:sz w:val="24"/>
          <w:szCs w:val="24"/>
        </w:rPr>
        <w:t xml:space="preserve">de relever à cet égard </w:t>
      </w:r>
      <w:r w:rsidR="00A806F5">
        <w:rPr>
          <w:sz w:val="24"/>
          <w:szCs w:val="24"/>
        </w:rPr>
        <w:t>que</w:t>
      </w:r>
      <w:r w:rsidR="00BB4E56">
        <w:rPr>
          <w:sz w:val="24"/>
          <w:szCs w:val="24"/>
        </w:rPr>
        <w:t xml:space="preserve"> l</w:t>
      </w:r>
      <w:r w:rsidR="00BD5827">
        <w:rPr>
          <w:sz w:val="24"/>
          <w:szCs w:val="24"/>
        </w:rPr>
        <w:t xml:space="preserve">e seul compartiment industriel des </w:t>
      </w:r>
      <w:r w:rsidR="00F821CE">
        <w:rPr>
          <w:sz w:val="24"/>
          <w:szCs w:val="24"/>
        </w:rPr>
        <w:t>exp</w:t>
      </w:r>
      <w:r w:rsidR="00BB4E56">
        <w:rPr>
          <w:sz w:val="24"/>
          <w:szCs w:val="24"/>
        </w:rPr>
        <w:t>orta</w:t>
      </w:r>
      <w:r w:rsidR="00F821CE">
        <w:rPr>
          <w:sz w:val="24"/>
          <w:szCs w:val="24"/>
        </w:rPr>
        <w:t>tions</w:t>
      </w:r>
      <w:r w:rsidR="00BD5827">
        <w:rPr>
          <w:sz w:val="24"/>
          <w:szCs w:val="24"/>
        </w:rPr>
        <w:t xml:space="preserve"> a</w:t>
      </w:r>
      <w:r w:rsidR="00A806F5">
        <w:rPr>
          <w:sz w:val="24"/>
          <w:szCs w:val="24"/>
        </w:rPr>
        <w:t>urait</w:t>
      </w:r>
      <w:r w:rsidR="00BD5827">
        <w:rPr>
          <w:sz w:val="24"/>
          <w:szCs w:val="24"/>
        </w:rPr>
        <w:t xml:space="preserve"> </w:t>
      </w:r>
      <w:r>
        <w:rPr>
          <w:sz w:val="24"/>
          <w:szCs w:val="24"/>
        </w:rPr>
        <w:t>entrainé</w:t>
      </w:r>
      <w:r w:rsidR="00AE0A03">
        <w:rPr>
          <w:sz w:val="24"/>
          <w:szCs w:val="24"/>
        </w:rPr>
        <w:t xml:space="preserve"> un</w:t>
      </w:r>
      <w:r w:rsidR="00BD5827">
        <w:rPr>
          <w:sz w:val="24"/>
          <w:szCs w:val="24"/>
        </w:rPr>
        <w:t xml:space="preserve"> volume d’importations </w:t>
      </w:r>
      <w:r w:rsidR="00BD5827" w:rsidRPr="007910C0">
        <w:rPr>
          <w:sz w:val="24"/>
          <w:szCs w:val="24"/>
        </w:rPr>
        <w:t xml:space="preserve">en intrants </w:t>
      </w:r>
      <w:r>
        <w:rPr>
          <w:sz w:val="24"/>
          <w:szCs w:val="24"/>
        </w:rPr>
        <w:t xml:space="preserve">intermédiaires </w:t>
      </w:r>
      <w:r w:rsidR="00BD5827">
        <w:rPr>
          <w:sz w:val="24"/>
          <w:szCs w:val="24"/>
        </w:rPr>
        <w:t>d</w:t>
      </w:r>
      <w:r w:rsidR="00AE0A03">
        <w:rPr>
          <w:sz w:val="24"/>
          <w:szCs w:val="24"/>
        </w:rPr>
        <w:t xml:space="preserve">’un </w:t>
      </w:r>
      <w:r w:rsidR="00BD5827" w:rsidRPr="007910C0">
        <w:rPr>
          <w:sz w:val="24"/>
          <w:szCs w:val="24"/>
        </w:rPr>
        <w:t>montant global</w:t>
      </w:r>
      <w:r>
        <w:rPr>
          <w:sz w:val="24"/>
          <w:szCs w:val="24"/>
        </w:rPr>
        <w:t xml:space="preserve"> de </w:t>
      </w:r>
      <w:r w:rsidRPr="007910C0">
        <w:rPr>
          <w:sz w:val="24"/>
          <w:szCs w:val="24"/>
        </w:rPr>
        <w:t>25 milliards</w:t>
      </w:r>
      <w:r>
        <w:rPr>
          <w:sz w:val="24"/>
          <w:szCs w:val="24"/>
        </w:rPr>
        <w:t xml:space="preserve"> en 2015, au lieu de </w:t>
      </w:r>
      <w:r w:rsidRPr="007910C0">
        <w:rPr>
          <w:sz w:val="24"/>
          <w:szCs w:val="24"/>
        </w:rPr>
        <w:t xml:space="preserve">12,7 milliards </w:t>
      </w:r>
      <w:r>
        <w:rPr>
          <w:sz w:val="24"/>
          <w:szCs w:val="24"/>
        </w:rPr>
        <w:t>en 2011</w:t>
      </w:r>
      <w:r w:rsidR="00F21E5B">
        <w:rPr>
          <w:sz w:val="24"/>
          <w:szCs w:val="24"/>
        </w:rPr>
        <w:t>.</w:t>
      </w:r>
    </w:p>
    <w:p w:rsidR="00221D4D" w:rsidRDefault="00221D4D" w:rsidP="00AC503B">
      <w:pPr>
        <w:spacing w:after="0"/>
        <w:jc w:val="both"/>
        <w:rPr>
          <w:sz w:val="24"/>
          <w:szCs w:val="24"/>
        </w:rPr>
      </w:pPr>
    </w:p>
    <w:p w:rsidR="00546AE1" w:rsidRDefault="00AE0A03" w:rsidP="00AC503B">
      <w:pPr>
        <w:spacing w:after="0"/>
        <w:jc w:val="both"/>
        <w:rPr>
          <w:sz w:val="24"/>
          <w:szCs w:val="24"/>
        </w:rPr>
      </w:pPr>
      <w:r>
        <w:rPr>
          <w:sz w:val="24"/>
          <w:szCs w:val="24"/>
        </w:rPr>
        <w:t xml:space="preserve">C’est dans ces conditions que </w:t>
      </w:r>
      <w:r w:rsidR="00910865">
        <w:rPr>
          <w:sz w:val="24"/>
          <w:szCs w:val="24"/>
        </w:rPr>
        <w:t>l</w:t>
      </w:r>
      <w:r w:rsidR="008F4CDC">
        <w:rPr>
          <w:sz w:val="24"/>
          <w:szCs w:val="24"/>
        </w:rPr>
        <w:t>a pénétration du marché domestique par les importations n’a</w:t>
      </w:r>
      <w:r w:rsidR="00DB2A2E">
        <w:rPr>
          <w:sz w:val="24"/>
          <w:szCs w:val="24"/>
        </w:rPr>
        <w:t>urait</w:t>
      </w:r>
      <w:r w:rsidR="008F4CDC">
        <w:rPr>
          <w:sz w:val="24"/>
          <w:szCs w:val="24"/>
        </w:rPr>
        <w:t xml:space="preserve"> cessé d’augmenter</w:t>
      </w:r>
      <w:r w:rsidR="00DB2A2E">
        <w:rPr>
          <w:sz w:val="24"/>
          <w:szCs w:val="24"/>
        </w:rPr>
        <w:t xml:space="preserve"> dans notre pays</w:t>
      </w:r>
      <w:r w:rsidR="008F4CDC">
        <w:rPr>
          <w:sz w:val="24"/>
          <w:szCs w:val="24"/>
        </w:rPr>
        <w:t>. Le taux de pénétration des importations se situe</w:t>
      </w:r>
      <w:r w:rsidR="00A806F5">
        <w:rPr>
          <w:sz w:val="24"/>
          <w:szCs w:val="24"/>
        </w:rPr>
        <w:t>rait</w:t>
      </w:r>
      <w:r w:rsidR="008F4CDC">
        <w:rPr>
          <w:sz w:val="24"/>
          <w:szCs w:val="24"/>
        </w:rPr>
        <w:t xml:space="preserve"> à 34% </w:t>
      </w:r>
      <w:r w:rsidR="00A806F5">
        <w:rPr>
          <w:sz w:val="24"/>
          <w:szCs w:val="24"/>
        </w:rPr>
        <w:t>aujourd’hui atteignant</w:t>
      </w:r>
      <w:r w:rsidR="00290BDD">
        <w:rPr>
          <w:sz w:val="24"/>
          <w:szCs w:val="24"/>
        </w:rPr>
        <w:t xml:space="preserve"> </w:t>
      </w:r>
      <w:r w:rsidR="00F821CE">
        <w:rPr>
          <w:sz w:val="24"/>
          <w:szCs w:val="24"/>
        </w:rPr>
        <w:t xml:space="preserve">l’un des </w:t>
      </w:r>
      <w:r w:rsidR="00A806F5">
        <w:rPr>
          <w:sz w:val="24"/>
          <w:szCs w:val="24"/>
        </w:rPr>
        <w:t>niveaux</w:t>
      </w:r>
      <w:r w:rsidR="00F821CE">
        <w:rPr>
          <w:sz w:val="24"/>
          <w:szCs w:val="24"/>
        </w:rPr>
        <w:t xml:space="preserve"> les plus élevés </w:t>
      </w:r>
      <w:r w:rsidR="00DB2A2E">
        <w:rPr>
          <w:sz w:val="24"/>
          <w:szCs w:val="24"/>
        </w:rPr>
        <w:t xml:space="preserve">relevés </w:t>
      </w:r>
      <w:r w:rsidR="00A806F5">
        <w:rPr>
          <w:sz w:val="24"/>
          <w:szCs w:val="24"/>
        </w:rPr>
        <w:t>d</w:t>
      </w:r>
      <w:r>
        <w:rPr>
          <w:sz w:val="24"/>
          <w:szCs w:val="24"/>
        </w:rPr>
        <w:t xml:space="preserve">ans </w:t>
      </w:r>
      <w:r w:rsidR="00DB2A2E">
        <w:rPr>
          <w:sz w:val="24"/>
          <w:szCs w:val="24"/>
        </w:rPr>
        <w:t>les</w:t>
      </w:r>
      <w:r w:rsidR="00F821CE">
        <w:rPr>
          <w:sz w:val="24"/>
          <w:szCs w:val="24"/>
        </w:rPr>
        <w:t xml:space="preserve"> </w:t>
      </w:r>
      <w:r w:rsidR="008F4CDC">
        <w:rPr>
          <w:sz w:val="24"/>
          <w:szCs w:val="24"/>
        </w:rPr>
        <w:t>pays</w:t>
      </w:r>
      <w:r w:rsidR="00F821CE">
        <w:rPr>
          <w:sz w:val="24"/>
          <w:szCs w:val="24"/>
        </w:rPr>
        <w:t xml:space="preserve"> émergents, notamment parmi ceux qui </w:t>
      </w:r>
      <w:r w:rsidR="00DB2A2E">
        <w:rPr>
          <w:sz w:val="24"/>
          <w:szCs w:val="24"/>
        </w:rPr>
        <w:t xml:space="preserve">réalisent un </w:t>
      </w:r>
      <w:r w:rsidR="00F821CE">
        <w:rPr>
          <w:sz w:val="24"/>
          <w:szCs w:val="24"/>
        </w:rPr>
        <w:t xml:space="preserve">PIB autrement plus </w:t>
      </w:r>
      <w:r w:rsidR="00A806F5">
        <w:rPr>
          <w:sz w:val="24"/>
          <w:szCs w:val="24"/>
        </w:rPr>
        <w:t>élevé</w:t>
      </w:r>
      <w:r w:rsidR="00F821CE">
        <w:rPr>
          <w:sz w:val="24"/>
          <w:szCs w:val="24"/>
        </w:rPr>
        <w:t xml:space="preserve"> que le n</w:t>
      </w:r>
      <w:r w:rsidR="00A806F5">
        <w:rPr>
          <w:sz w:val="24"/>
          <w:szCs w:val="24"/>
        </w:rPr>
        <w:t>ô</w:t>
      </w:r>
      <w:r w:rsidR="00F821CE">
        <w:rPr>
          <w:sz w:val="24"/>
          <w:szCs w:val="24"/>
        </w:rPr>
        <w:t>tre</w:t>
      </w:r>
      <w:r w:rsidR="00546AE1">
        <w:rPr>
          <w:sz w:val="24"/>
          <w:szCs w:val="24"/>
        </w:rPr>
        <w:t>.</w:t>
      </w:r>
    </w:p>
    <w:p w:rsidR="00F821CE" w:rsidRDefault="00F821CE" w:rsidP="00AC503B">
      <w:pPr>
        <w:spacing w:after="0"/>
        <w:jc w:val="both"/>
        <w:rPr>
          <w:sz w:val="24"/>
          <w:szCs w:val="24"/>
        </w:rPr>
      </w:pPr>
    </w:p>
    <w:p w:rsidR="00897AFA" w:rsidRPr="00217B4E" w:rsidRDefault="00E216B8" w:rsidP="00AC503B">
      <w:pPr>
        <w:spacing w:after="0"/>
        <w:jc w:val="both"/>
        <w:rPr>
          <w:i/>
          <w:iCs/>
          <w:sz w:val="24"/>
          <w:szCs w:val="24"/>
        </w:rPr>
      </w:pPr>
      <w:r w:rsidRPr="00217B4E">
        <w:rPr>
          <w:b/>
          <w:bCs/>
          <w:i/>
          <w:iCs/>
          <w:sz w:val="24"/>
          <w:szCs w:val="24"/>
          <w:u w:val="single"/>
        </w:rPr>
        <w:t>2</w:t>
      </w:r>
      <w:r w:rsidRPr="00217B4E">
        <w:rPr>
          <w:b/>
          <w:bCs/>
          <w:i/>
          <w:iCs/>
          <w:sz w:val="24"/>
          <w:szCs w:val="24"/>
          <w:u w:val="single"/>
          <w:vertAlign w:val="superscript"/>
        </w:rPr>
        <w:t>ème</w:t>
      </w:r>
      <w:r w:rsidRPr="00217B4E">
        <w:rPr>
          <w:b/>
          <w:bCs/>
          <w:i/>
          <w:iCs/>
          <w:sz w:val="24"/>
          <w:szCs w:val="24"/>
          <w:u w:val="single"/>
        </w:rPr>
        <w:t xml:space="preserve"> </w:t>
      </w:r>
      <w:r w:rsidR="00BF4B4D" w:rsidRPr="00217B4E">
        <w:rPr>
          <w:b/>
          <w:bCs/>
          <w:i/>
          <w:iCs/>
          <w:sz w:val="24"/>
          <w:szCs w:val="24"/>
          <w:u w:val="single"/>
        </w:rPr>
        <w:t>observation</w:t>
      </w:r>
      <w:r w:rsidRPr="00217B4E">
        <w:rPr>
          <w:b/>
          <w:bCs/>
          <w:i/>
          <w:iCs/>
          <w:sz w:val="24"/>
          <w:szCs w:val="24"/>
        </w:rPr>
        <w:t> :</w:t>
      </w:r>
      <w:r w:rsidRPr="00217B4E">
        <w:rPr>
          <w:i/>
          <w:iCs/>
          <w:sz w:val="24"/>
          <w:szCs w:val="24"/>
        </w:rPr>
        <w:t xml:space="preserve"> </w:t>
      </w:r>
    </w:p>
    <w:p w:rsidR="00897AFA" w:rsidRDefault="00897AFA" w:rsidP="00AC503B">
      <w:pPr>
        <w:spacing w:after="0"/>
        <w:jc w:val="both"/>
        <w:rPr>
          <w:sz w:val="24"/>
          <w:szCs w:val="24"/>
        </w:rPr>
      </w:pPr>
    </w:p>
    <w:p w:rsidR="005E6273" w:rsidRDefault="00BF4B4D" w:rsidP="00AC503B">
      <w:pPr>
        <w:spacing w:after="0"/>
        <w:jc w:val="both"/>
        <w:rPr>
          <w:sz w:val="24"/>
          <w:szCs w:val="24"/>
        </w:rPr>
      </w:pPr>
      <w:r>
        <w:rPr>
          <w:sz w:val="24"/>
          <w:szCs w:val="24"/>
        </w:rPr>
        <w:t>L</w:t>
      </w:r>
      <w:r w:rsidR="00897AFA">
        <w:rPr>
          <w:sz w:val="24"/>
          <w:szCs w:val="24"/>
        </w:rPr>
        <w:t xml:space="preserve">a consommation finale des ménages </w:t>
      </w:r>
      <w:r w:rsidR="00E216B8">
        <w:rPr>
          <w:sz w:val="24"/>
          <w:szCs w:val="24"/>
        </w:rPr>
        <w:t>serait</w:t>
      </w:r>
      <w:r w:rsidR="00897AFA">
        <w:rPr>
          <w:sz w:val="24"/>
          <w:szCs w:val="24"/>
        </w:rPr>
        <w:t xml:space="preserve"> </w:t>
      </w:r>
      <w:r w:rsidR="00E216B8">
        <w:rPr>
          <w:sz w:val="24"/>
          <w:szCs w:val="24"/>
        </w:rPr>
        <w:t xml:space="preserve">aujourd’hui </w:t>
      </w:r>
      <w:r w:rsidR="00897AFA">
        <w:rPr>
          <w:sz w:val="24"/>
          <w:szCs w:val="24"/>
        </w:rPr>
        <w:t>difficilement compressible</w:t>
      </w:r>
      <w:r w:rsidR="005E6273">
        <w:rPr>
          <w:sz w:val="24"/>
          <w:szCs w:val="24"/>
        </w:rPr>
        <w:t xml:space="preserve"> sans compromettre la nécessaire stabilité sociale. </w:t>
      </w:r>
      <w:r w:rsidR="00E216B8">
        <w:rPr>
          <w:sz w:val="24"/>
          <w:szCs w:val="24"/>
        </w:rPr>
        <w:t>Rappelons-nous, à cet égard, que t</w:t>
      </w:r>
      <w:r w:rsidR="005E6273">
        <w:rPr>
          <w:sz w:val="24"/>
          <w:szCs w:val="24"/>
        </w:rPr>
        <w:t xml:space="preserve">outes les enquêtes </w:t>
      </w:r>
      <w:r w:rsidR="00E216B8">
        <w:rPr>
          <w:sz w:val="24"/>
          <w:szCs w:val="24"/>
        </w:rPr>
        <w:t xml:space="preserve">sur le ressenti des populations </w:t>
      </w:r>
      <w:r w:rsidR="005E6273">
        <w:rPr>
          <w:sz w:val="24"/>
          <w:szCs w:val="24"/>
        </w:rPr>
        <w:t xml:space="preserve">montrent que le </w:t>
      </w:r>
      <w:r w:rsidR="00270137">
        <w:rPr>
          <w:sz w:val="24"/>
          <w:szCs w:val="24"/>
        </w:rPr>
        <w:t>sentiment</w:t>
      </w:r>
      <w:r w:rsidR="005E6273">
        <w:rPr>
          <w:sz w:val="24"/>
          <w:szCs w:val="24"/>
        </w:rPr>
        <w:t xml:space="preserve"> de vulnérabilité</w:t>
      </w:r>
      <w:r w:rsidR="00E216B8">
        <w:rPr>
          <w:sz w:val="24"/>
          <w:szCs w:val="24"/>
        </w:rPr>
        <w:t xml:space="preserve">, voire </w:t>
      </w:r>
      <w:r w:rsidR="00E216B8">
        <w:rPr>
          <w:sz w:val="24"/>
          <w:szCs w:val="24"/>
        </w:rPr>
        <w:lastRenderedPageBreak/>
        <w:t>de pauvreté,</w:t>
      </w:r>
      <w:r w:rsidR="005E6273">
        <w:rPr>
          <w:sz w:val="24"/>
          <w:szCs w:val="24"/>
        </w:rPr>
        <w:t xml:space="preserve"> s’accroit avec l’amélioration des conditions de vie.</w:t>
      </w:r>
      <w:r w:rsidR="00083DBB">
        <w:rPr>
          <w:sz w:val="24"/>
          <w:szCs w:val="24"/>
        </w:rPr>
        <w:t xml:space="preserve">  </w:t>
      </w:r>
      <w:r w:rsidR="00E216B8">
        <w:rPr>
          <w:sz w:val="24"/>
          <w:szCs w:val="24"/>
        </w:rPr>
        <w:t xml:space="preserve">Il est, </w:t>
      </w:r>
      <w:r w:rsidR="00D53B43">
        <w:rPr>
          <w:sz w:val="24"/>
          <w:szCs w:val="24"/>
        </w:rPr>
        <w:t>à cet égard</w:t>
      </w:r>
      <w:r w:rsidR="00E216B8">
        <w:rPr>
          <w:sz w:val="24"/>
          <w:szCs w:val="24"/>
        </w:rPr>
        <w:t xml:space="preserve">, significatif </w:t>
      </w:r>
      <w:r w:rsidR="00D53B43">
        <w:rPr>
          <w:sz w:val="24"/>
          <w:szCs w:val="24"/>
        </w:rPr>
        <w:t>de constater que malgré la baisse du rythme de croissance du revenu brut disponible des ménages en volume entre les 2 périodes 2007-2010 et 2011-2015, la consommation finale des ménages en volume devait maintenir un taux de croissance de 5% durant la 1</w:t>
      </w:r>
      <w:r w:rsidR="00D53B43" w:rsidRPr="00041C46">
        <w:rPr>
          <w:sz w:val="24"/>
          <w:szCs w:val="24"/>
          <w:vertAlign w:val="superscript"/>
        </w:rPr>
        <w:t>ère</w:t>
      </w:r>
      <w:r w:rsidR="00D53B43">
        <w:rPr>
          <w:sz w:val="24"/>
          <w:szCs w:val="24"/>
        </w:rPr>
        <w:t xml:space="preserve"> période et de 3,7% durant la 2</w:t>
      </w:r>
      <w:r w:rsidR="00D53B43" w:rsidRPr="00041C46">
        <w:rPr>
          <w:sz w:val="24"/>
          <w:szCs w:val="24"/>
          <w:vertAlign w:val="superscript"/>
        </w:rPr>
        <w:t>ème</w:t>
      </w:r>
      <w:r w:rsidR="00D53B43">
        <w:rPr>
          <w:sz w:val="24"/>
          <w:szCs w:val="24"/>
        </w:rPr>
        <w:t xml:space="preserve"> période. Ceci éclaire d’un nouveau jour l’attachement des populations à préserver leur niveau de consommation et leur recours à l’endettement.</w:t>
      </w:r>
      <w:r w:rsidR="005E6273">
        <w:rPr>
          <w:sz w:val="24"/>
          <w:szCs w:val="24"/>
        </w:rPr>
        <w:t xml:space="preserve"> </w:t>
      </w:r>
    </w:p>
    <w:p w:rsidR="00800DF5" w:rsidRDefault="00800DF5" w:rsidP="00AC503B">
      <w:pPr>
        <w:spacing w:after="0"/>
        <w:jc w:val="both"/>
        <w:rPr>
          <w:sz w:val="24"/>
          <w:szCs w:val="24"/>
        </w:rPr>
      </w:pPr>
      <w:r>
        <w:rPr>
          <w:sz w:val="24"/>
          <w:szCs w:val="24"/>
        </w:rPr>
        <w:t>Aussi faut-il convenir que la consommation des ménages a vocation à préserver une tendance croissante à la hausse. Quel que soit l’effort que légitimement le pays devrait évoquer pour la limiter en vue d’accroitre l’épargne nationale, cet effort devrait s’exprimer dans une volonté collective issue d’un dialogue social institutionnalisé.</w:t>
      </w:r>
    </w:p>
    <w:p w:rsidR="00270137" w:rsidRDefault="00270137" w:rsidP="00AC503B">
      <w:pPr>
        <w:spacing w:after="0"/>
        <w:jc w:val="both"/>
        <w:rPr>
          <w:sz w:val="24"/>
          <w:szCs w:val="24"/>
        </w:rPr>
      </w:pPr>
    </w:p>
    <w:p w:rsidR="00270137" w:rsidRDefault="00B11D3B" w:rsidP="00AC503B">
      <w:pPr>
        <w:spacing w:after="0"/>
        <w:jc w:val="both"/>
        <w:rPr>
          <w:sz w:val="24"/>
          <w:szCs w:val="24"/>
        </w:rPr>
      </w:pPr>
      <w:r>
        <w:rPr>
          <w:sz w:val="24"/>
          <w:szCs w:val="24"/>
        </w:rPr>
        <w:t xml:space="preserve">De son côté, </w:t>
      </w:r>
      <w:r w:rsidR="00270137">
        <w:rPr>
          <w:sz w:val="24"/>
          <w:szCs w:val="24"/>
        </w:rPr>
        <w:t>l’effort d’investissement</w:t>
      </w:r>
      <w:r w:rsidR="00E51406">
        <w:rPr>
          <w:sz w:val="24"/>
          <w:szCs w:val="24"/>
        </w:rPr>
        <w:t xml:space="preserve"> ne saurait </w:t>
      </w:r>
      <w:r w:rsidR="00A26971">
        <w:rPr>
          <w:sz w:val="24"/>
          <w:szCs w:val="24"/>
        </w:rPr>
        <w:t>se relâcher</w:t>
      </w:r>
      <w:r>
        <w:rPr>
          <w:sz w:val="24"/>
          <w:szCs w:val="24"/>
        </w:rPr>
        <w:t>,</w:t>
      </w:r>
      <w:r w:rsidR="00270137">
        <w:rPr>
          <w:sz w:val="24"/>
          <w:szCs w:val="24"/>
        </w:rPr>
        <w:t xml:space="preserve"> comme </w:t>
      </w:r>
      <w:r w:rsidR="00A26971">
        <w:rPr>
          <w:sz w:val="24"/>
          <w:szCs w:val="24"/>
        </w:rPr>
        <w:t xml:space="preserve">cela </w:t>
      </w:r>
      <w:r w:rsidR="00270137">
        <w:rPr>
          <w:sz w:val="24"/>
          <w:szCs w:val="24"/>
        </w:rPr>
        <w:t>a été le cas au cours des années 2013 et 2014</w:t>
      </w:r>
      <w:r>
        <w:rPr>
          <w:sz w:val="24"/>
          <w:szCs w:val="24"/>
        </w:rPr>
        <w:t>,</w:t>
      </w:r>
      <w:r w:rsidR="00270137">
        <w:rPr>
          <w:sz w:val="24"/>
          <w:szCs w:val="24"/>
        </w:rPr>
        <w:t xml:space="preserve"> </w:t>
      </w:r>
      <w:r w:rsidR="00A26971">
        <w:rPr>
          <w:sz w:val="24"/>
          <w:szCs w:val="24"/>
        </w:rPr>
        <w:t>sans</w:t>
      </w:r>
      <w:r>
        <w:rPr>
          <w:sz w:val="24"/>
          <w:szCs w:val="24"/>
        </w:rPr>
        <w:t xml:space="preserve"> </w:t>
      </w:r>
      <w:r w:rsidR="00270137">
        <w:rPr>
          <w:sz w:val="24"/>
          <w:szCs w:val="24"/>
        </w:rPr>
        <w:t>compromettr</w:t>
      </w:r>
      <w:r>
        <w:rPr>
          <w:sz w:val="24"/>
          <w:szCs w:val="24"/>
        </w:rPr>
        <w:t>e</w:t>
      </w:r>
      <w:r w:rsidR="00270137">
        <w:rPr>
          <w:sz w:val="24"/>
          <w:szCs w:val="24"/>
        </w:rPr>
        <w:t xml:space="preserve"> la croissance potentielle future de notre pays. L’étude conduite par le HCP sur le rendement d</w:t>
      </w:r>
      <w:r>
        <w:rPr>
          <w:sz w:val="24"/>
          <w:szCs w:val="24"/>
        </w:rPr>
        <w:t xml:space="preserve">u capital physique </w:t>
      </w:r>
      <w:r w:rsidR="00CD0A24">
        <w:rPr>
          <w:sz w:val="24"/>
          <w:szCs w:val="24"/>
        </w:rPr>
        <w:t>a mis en exergue le faible niveau d</w:t>
      </w:r>
      <w:r w:rsidR="00270137">
        <w:rPr>
          <w:sz w:val="24"/>
          <w:szCs w:val="24"/>
        </w:rPr>
        <w:t xml:space="preserve">e l’intensité capitalistique </w:t>
      </w:r>
      <w:r w:rsidR="00CD0A24">
        <w:rPr>
          <w:sz w:val="24"/>
          <w:szCs w:val="24"/>
        </w:rPr>
        <w:t xml:space="preserve">au Maroc, comparativement avec </w:t>
      </w:r>
      <w:r w:rsidR="0058280B">
        <w:rPr>
          <w:sz w:val="24"/>
          <w:szCs w:val="24"/>
        </w:rPr>
        <w:t xml:space="preserve">plusieurs </w:t>
      </w:r>
      <w:r w:rsidR="00270137">
        <w:rPr>
          <w:sz w:val="24"/>
          <w:szCs w:val="24"/>
        </w:rPr>
        <w:t xml:space="preserve">pays </w:t>
      </w:r>
      <w:r w:rsidR="0058280B">
        <w:rPr>
          <w:sz w:val="24"/>
          <w:szCs w:val="24"/>
        </w:rPr>
        <w:t>émergents.</w:t>
      </w:r>
      <w:r w:rsidR="00217B4E">
        <w:rPr>
          <w:sz w:val="24"/>
          <w:szCs w:val="24"/>
        </w:rPr>
        <w:t xml:space="preserve"> </w:t>
      </w:r>
    </w:p>
    <w:p w:rsidR="00270137" w:rsidRDefault="00270137" w:rsidP="00AC503B">
      <w:pPr>
        <w:spacing w:after="0"/>
        <w:jc w:val="both"/>
        <w:rPr>
          <w:sz w:val="24"/>
          <w:szCs w:val="24"/>
        </w:rPr>
      </w:pPr>
    </w:p>
    <w:p w:rsidR="004B581B" w:rsidRDefault="00217B4E" w:rsidP="00AC503B">
      <w:pPr>
        <w:spacing w:after="0"/>
        <w:jc w:val="both"/>
        <w:rPr>
          <w:sz w:val="24"/>
          <w:szCs w:val="24"/>
        </w:rPr>
      </w:pPr>
      <w:r>
        <w:rPr>
          <w:sz w:val="24"/>
          <w:szCs w:val="24"/>
        </w:rPr>
        <w:t xml:space="preserve">Si aujourd’hui on ne peut que relever le faible rendement de l’investissement, ce serait plutôt dans une meilleure gestion de ses programmes et </w:t>
      </w:r>
      <w:r w:rsidR="004B581B">
        <w:rPr>
          <w:sz w:val="24"/>
          <w:szCs w:val="24"/>
        </w:rPr>
        <w:t>leur</w:t>
      </w:r>
      <w:r>
        <w:rPr>
          <w:sz w:val="24"/>
          <w:szCs w:val="24"/>
        </w:rPr>
        <w:t xml:space="preserve"> allocation optimale </w:t>
      </w:r>
      <w:r w:rsidR="000B4A0B">
        <w:rPr>
          <w:sz w:val="24"/>
          <w:szCs w:val="24"/>
        </w:rPr>
        <w:t xml:space="preserve">sectorielle et technologique </w:t>
      </w:r>
      <w:r w:rsidR="004B581B">
        <w:rPr>
          <w:sz w:val="24"/>
          <w:szCs w:val="24"/>
        </w:rPr>
        <w:t>que le pays pourrait puiser les facteurs d’amélioration de la compétitivité du tissu productif national et de la croissance économique.</w:t>
      </w:r>
    </w:p>
    <w:p w:rsidR="00CD0A24" w:rsidRDefault="00CD0A24" w:rsidP="00AC503B">
      <w:pPr>
        <w:spacing w:after="0"/>
        <w:jc w:val="both"/>
        <w:rPr>
          <w:sz w:val="24"/>
          <w:szCs w:val="24"/>
        </w:rPr>
      </w:pPr>
    </w:p>
    <w:p w:rsidR="004B581B" w:rsidRPr="00BA37FC" w:rsidRDefault="00CD0A24" w:rsidP="00AC503B">
      <w:pPr>
        <w:spacing w:after="0"/>
        <w:jc w:val="both"/>
        <w:rPr>
          <w:i/>
          <w:iCs/>
          <w:sz w:val="24"/>
          <w:szCs w:val="24"/>
        </w:rPr>
      </w:pPr>
      <w:r w:rsidRPr="00BA37FC">
        <w:rPr>
          <w:b/>
          <w:bCs/>
          <w:i/>
          <w:iCs/>
          <w:sz w:val="24"/>
          <w:szCs w:val="24"/>
          <w:u w:val="single"/>
        </w:rPr>
        <w:t>3</w:t>
      </w:r>
      <w:r w:rsidRPr="00BA37FC">
        <w:rPr>
          <w:b/>
          <w:bCs/>
          <w:i/>
          <w:iCs/>
          <w:sz w:val="24"/>
          <w:szCs w:val="24"/>
          <w:u w:val="single"/>
          <w:vertAlign w:val="superscript"/>
        </w:rPr>
        <w:t>ème</w:t>
      </w:r>
      <w:r w:rsidRPr="00BA37FC">
        <w:rPr>
          <w:b/>
          <w:bCs/>
          <w:i/>
          <w:iCs/>
          <w:sz w:val="24"/>
          <w:szCs w:val="24"/>
          <w:u w:val="single"/>
        </w:rPr>
        <w:t xml:space="preserve"> </w:t>
      </w:r>
      <w:r w:rsidR="004B581B" w:rsidRPr="00BA37FC">
        <w:rPr>
          <w:b/>
          <w:bCs/>
          <w:i/>
          <w:iCs/>
          <w:sz w:val="24"/>
          <w:szCs w:val="24"/>
          <w:u w:val="single"/>
        </w:rPr>
        <w:t>observation</w:t>
      </w:r>
      <w:r w:rsidRPr="00BA37FC">
        <w:rPr>
          <w:b/>
          <w:bCs/>
          <w:i/>
          <w:iCs/>
          <w:sz w:val="24"/>
          <w:szCs w:val="24"/>
        </w:rPr>
        <w:t> :</w:t>
      </w:r>
      <w:r w:rsidRPr="00BA37FC">
        <w:rPr>
          <w:i/>
          <w:iCs/>
          <w:sz w:val="24"/>
          <w:szCs w:val="24"/>
        </w:rPr>
        <w:t xml:space="preserve"> </w:t>
      </w:r>
    </w:p>
    <w:p w:rsidR="004B581B" w:rsidRDefault="004B581B" w:rsidP="00AC503B">
      <w:pPr>
        <w:spacing w:after="0"/>
        <w:jc w:val="both"/>
        <w:rPr>
          <w:sz w:val="24"/>
          <w:szCs w:val="24"/>
        </w:rPr>
      </w:pPr>
    </w:p>
    <w:p w:rsidR="00C4675E" w:rsidRDefault="00783878" w:rsidP="00C7647A">
      <w:pPr>
        <w:jc w:val="both"/>
        <w:rPr>
          <w:sz w:val="24"/>
          <w:szCs w:val="24"/>
        </w:rPr>
      </w:pPr>
      <w:r w:rsidRPr="00783878">
        <w:rPr>
          <w:sz w:val="24"/>
          <w:szCs w:val="24"/>
        </w:rPr>
        <w:t xml:space="preserve">L’encours de la dette publique globale </w:t>
      </w:r>
      <w:r w:rsidR="005105DB">
        <w:rPr>
          <w:sz w:val="24"/>
          <w:szCs w:val="24"/>
        </w:rPr>
        <w:t xml:space="preserve">du Maroc aurait connu une augmentation significative, au cours des dernières années, même si </w:t>
      </w:r>
      <w:r w:rsidR="004C3540">
        <w:rPr>
          <w:sz w:val="24"/>
          <w:szCs w:val="24"/>
        </w:rPr>
        <w:t>sa</w:t>
      </w:r>
      <w:r w:rsidR="005105DB">
        <w:rPr>
          <w:sz w:val="24"/>
          <w:szCs w:val="24"/>
        </w:rPr>
        <w:t xml:space="preserve"> décélération </w:t>
      </w:r>
      <w:r w:rsidR="004C3540">
        <w:rPr>
          <w:sz w:val="24"/>
          <w:szCs w:val="24"/>
        </w:rPr>
        <w:t>serait nette en 2016 et 2017.</w:t>
      </w:r>
      <w:r w:rsidRPr="00783878">
        <w:rPr>
          <w:sz w:val="24"/>
          <w:szCs w:val="24"/>
        </w:rPr>
        <w:t xml:space="preserve"> Son volume </w:t>
      </w:r>
      <w:r w:rsidR="004C3540">
        <w:rPr>
          <w:sz w:val="24"/>
          <w:szCs w:val="24"/>
        </w:rPr>
        <w:t>global serait</w:t>
      </w:r>
      <w:r w:rsidRPr="00783878">
        <w:rPr>
          <w:sz w:val="24"/>
          <w:szCs w:val="24"/>
        </w:rPr>
        <w:t xml:space="preserve"> passé de </w:t>
      </w:r>
      <w:r w:rsidR="004C3540" w:rsidRPr="00783878">
        <w:rPr>
          <w:sz w:val="24"/>
          <w:szCs w:val="24"/>
        </w:rPr>
        <w:t>81,8% du PIB</w:t>
      </w:r>
      <w:r w:rsidR="004C3540">
        <w:rPr>
          <w:sz w:val="24"/>
          <w:szCs w:val="24"/>
        </w:rPr>
        <w:t xml:space="preserve"> en 2016</w:t>
      </w:r>
      <w:r w:rsidR="00C71A42">
        <w:rPr>
          <w:sz w:val="24"/>
          <w:szCs w:val="24"/>
        </w:rPr>
        <w:t>,</w:t>
      </w:r>
      <w:r w:rsidR="004C3540">
        <w:rPr>
          <w:sz w:val="24"/>
          <w:szCs w:val="24"/>
        </w:rPr>
        <w:t xml:space="preserve"> après </w:t>
      </w:r>
      <w:r w:rsidRPr="00783878">
        <w:rPr>
          <w:sz w:val="24"/>
          <w:szCs w:val="24"/>
        </w:rPr>
        <w:t xml:space="preserve">59,4% en 2010 </w:t>
      </w:r>
      <w:r w:rsidR="004C3540">
        <w:rPr>
          <w:sz w:val="24"/>
          <w:szCs w:val="24"/>
        </w:rPr>
        <w:t xml:space="preserve">marquant un accroissement de </w:t>
      </w:r>
      <w:r w:rsidRPr="00783878">
        <w:rPr>
          <w:sz w:val="24"/>
          <w:szCs w:val="24"/>
        </w:rPr>
        <w:t>plus de 22 points de pourcentage du PIB. Plus d</w:t>
      </w:r>
      <w:r w:rsidR="004C3540">
        <w:rPr>
          <w:sz w:val="24"/>
          <w:szCs w:val="24"/>
        </w:rPr>
        <w:t>es</w:t>
      </w:r>
      <w:r w:rsidRPr="00783878">
        <w:rPr>
          <w:sz w:val="24"/>
          <w:szCs w:val="24"/>
        </w:rPr>
        <w:t xml:space="preserve"> deux tiers de l’accroissement moyen de </w:t>
      </w:r>
      <w:r w:rsidR="004C3540">
        <w:rPr>
          <w:sz w:val="24"/>
          <w:szCs w:val="24"/>
        </w:rPr>
        <w:t>cette</w:t>
      </w:r>
      <w:r w:rsidRPr="00783878">
        <w:rPr>
          <w:sz w:val="24"/>
          <w:szCs w:val="24"/>
        </w:rPr>
        <w:t xml:space="preserve"> dette provien</w:t>
      </w:r>
      <w:r w:rsidR="004C3540">
        <w:rPr>
          <w:sz w:val="24"/>
          <w:szCs w:val="24"/>
        </w:rPr>
        <w:t>drait</w:t>
      </w:r>
      <w:r w:rsidRPr="00783878">
        <w:rPr>
          <w:sz w:val="24"/>
          <w:szCs w:val="24"/>
        </w:rPr>
        <w:t xml:space="preserve"> de la dette directe du Trésor</w:t>
      </w:r>
      <w:r w:rsidR="004C3540">
        <w:rPr>
          <w:sz w:val="24"/>
          <w:szCs w:val="24"/>
        </w:rPr>
        <w:t xml:space="preserve">. Celle-ci serait passée de 49% du PIB à 64,8%, au cours de la même période. </w:t>
      </w:r>
      <w:r w:rsidRPr="00783878">
        <w:rPr>
          <w:sz w:val="24"/>
          <w:szCs w:val="24"/>
        </w:rPr>
        <w:t>Il convient</w:t>
      </w:r>
      <w:r w:rsidR="004C3540">
        <w:rPr>
          <w:sz w:val="24"/>
          <w:szCs w:val="24"/>
        </w:rPr>
        <w:t>,</w:t>
      </w:r>
      <w:r w:rsidRPr="00783878">
        <w:rPr>
          <w:sz w:val="24"/>
          <w:szCs w:val="24"/>
        </w:rPr>
        <w:t xml:space="preserve"> </w:t>
      </w:r>
      <w:r w:rsidR="004C3540">
        <w:rPr>
          <w:sz w:val="24"/>
          <w:szCs w:val="24"/>
        </w:rPr>
        <w:t>cependant</w:t>
      </w:r>
      <w:r w:rsidRPr="00783878">
        <w:rPr>
          <w:sz w:val="24"/>
          <w:szCs w:val="24"/>
        </w:rPr>
        <w:t xml:space="preserve">, de souligner que </w:t>
      </w:r>
      <w:r w:rsidR="00306824">
        <w:rPr>
          <w:sz w:val="24"/>
          <w:szCs w:val="24"/>
        </w:rPr>
        <w:t xml:space="preserve">45% de cet </w:t>
      </w:r>
      <w:r w:rsidR="00013827">
        <w:rPr>
          <w:sz w:val="24"/>
          <w:szCs w:val="24"/>
        </w:rPr>
        <w:t>accroissement de la dette publique global</w:t>
      </w:r>
      <w:r w:rsidR="00306824">
        <w:rPr>
          <w:sz w:val="24"/>
          <w:szCs w:val="24"/>
        </w:rPr>
        <w:t>e s’expliquerait par l’accroissement qu’a connu, entre 2014 et 2016, la montée en puissance de l’endettement des établissements publics.</w:t>
      </w:r>
    </w:p>
    <w:p w:rsidR="00783878" w:rsidRPr="00783878" w:rsidRDefault="00C4675E" w:rsidP="00C4675E">
      <w:pPr>
        <w:jc w:val="both"/>
        <w:rPr>
          <w:sz w:val="24"/>
          <w:szCs w:val="24"/>
        </w:rPr>
      </w:pPr>
      <w:r>
        <w:rPr>
          <w:sz w:val="24"/>
          <w:szCs w:val="24"/>
        </w:rPr>
        <w:t>D’une façon générale</w:t>
      </w:r>
      <w:r w:rsidR="00C71A42">
        <w:rPr>
          <w:sz w:val="24"/>
          <w:szCs w:val="24"/>
        </w:rPr>
        <w:t>, autant par son niveau par rapport au PIB que par les indicateurs d</w:t>
      </w:r>
      <w:r>
        <w:rPr>
          <w:sz w:val="24"/>
          <w:szCs w:val="24"/>
        </w:rPr>
        <w:t xml:space="preserve">e risque dont elle est assortie, elle </w:t>
      </w:r>
      <w:r w:rsidR="00C71A42">
        <w:rPr>
          <w:sz w:val="24"/>
          <w:szCs w:val="24"/>
        </w:rPr>
        <w:t>ne susciterait aujourd</w:t>
      </w:r>
      <w:r w:rsidR="00BD5F57">
        <w:rPr>
          <w:sz w:val="24"/>
          <w:szCs w:val="24"/>
        </w:rPr>
        <w:t>’hui une réelle préoccupation. L</w:t>
      </w:r>
      <w:r w:rsidR="00C71A42">
        <w:rPr>
          <w:sz w:val="24"/>
          <w:szCs w:val="24"/>
        </w:rPr>
        <w:t xml:space="preserve">a vigilance devrait </w:t>
      </w:r>
      <w:r w:rsidR="00306824">
        <w:rPr>
          <w:sz w:val="24"/>
          <w:szCs w:val="24"/>
        </w:rPr>
        <w:t xml:space="preserve">cependant </w:t>
      </w:r>
      <w:r w:rsidR="00C71A42">
        <w:rPr>
          <w:sz w:val="24"/>
          <w:szCs w:val="24"/>
        </w:rPr>
        <w:t>être de rigueur, d’autant plus qu’aujourd’hui la dette extérieure des établissement</w:t>
      </w:r>
      <w:r w:rsidR="000C2E79">
        <w:rPr>
          <w:sz w:val="24"/>
          <w:szCs w:val="24"/>
        </w:rPr>
        <w:t>s</w:t>
      </w:r>
      <w:r w:rsidR="00C71A42">
        <w:rPr>
          <w:sz w:val="24"/>
          <w:szCs w:val="24"/>
        </w:rPr>
        <w:t xml:space="preserve"> publics </w:t>
      </w:r>
      <w:r w:rsidR="00BD5F57">
        <w:rPr>
          <w:sz w:val="24"/>
          <w:szCs w:val="24"/>
        </w:rPr>
        <w:t xml:space="preserve">aurait tendance à prendre le pas sur celle </w:t>
      </w:r>
      <w:r w:rsidR="00C71A42">
        <w:rPr>
          <w:sz w:val="24"/>
          <w:szCs w:val="24"/>
        </w:rPr>
        <w:t xml:space="preserve">du Trésor et </w:t>
      </w:r>
      <w:r w:rsidR="00BD5F57">
        <w:rPr>
          <w:sz w:val="24"/>
          <w:szCs w:val="24"/>
        </w:rPr>
        <w:t xml:space="preserve">que l’environnement international </w:t>
      </w:r>
      <w:r w:rsidR="000C2E79">
        <w:rPr>
          <w:sz w:val="24"/>
          <w:szCs w:val="24"/>
        </w:rPr>
        <w:t>décline de réelles menaces sur les coûts de financement de notre économie.</w:t>
      </w:r>
    </w:p>
    <w:p w:rsidR="009D79D1" w:rsidRDefault="00C4675E" w:rsidP="00D97955">
      <w:pPr>
        <w:spacing w:after="0"/>
        <w:jc w:val="both"/>
        <w:rPr>
          <w:sz w:val="24"/>
          <w:szCs w:val="24"/>
        </w:rPr>
      </w:pPr>
      <w:r>
        <w:rPr>
          <w:sz w:val="24"/>
          <w:szCs w:val="24"/>
        </w:rPr>
        <w:lastRenderedPageBreak/>
        <w:t xml:space="preserve">Au terme de ces observations, </w:t>
      </w:r>
      <w:r w:rsidR="0010229F">
        <w:rPr>
          <w:sz w:val="24"/>
          <w:szCs w:val="24"/>
        </w:rPr>
        <w:t xml:space="preserve">l’évolution de l’économie nationale au cours des années 2016 et 2017 serait restée dans l’équilibre bas de ses fondamentaux sans réaliser les performances nécessaires pour atteindre le niveau de création de richesses et de soutenabilité, à long terme, de son financement que requiert </w:t>
      </w:r>
      <w:r w:rsidR="002243F2">
        <w:rPr>
          <w:sz w:val="24"/>
          <w:szCs w:val="24"/>
        </w:rPr>
        <w:t>son accès à une émergence durable.</w:t>
      </w:r>
    </w:p>
    <w:p w:rsidR="009D79D1" w:rsidRDefault="009D79D1" w:rsidP="00AC503B">
      <w:pPr>
        <w:spacing w:after="0"/>
        <w:jc w:val="both"/>
        <w:rPr>
          <w:sz w:val="24"/>
          <w:szCs w:val="24"/>
        </w:rPr>
      </w:pPr>
    </w:p>
    <w:sectPr w:rsidR="009D79D1" w:rsidSect="00357F3B">
      <w:footerReference w:type="default" r:id="rId8"/>
      <w:headerReference w:type="first" r:id="rId9"/>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2CA" w:rsidRDefault="001842CA" w:rsidP="00D179CC">
      <w:pPr>
        <w:spacing w:after="0" w:line="240" w:lineRule="auto"/>
      </w:pPr>
      <w:r>
        <w:separator/>
      </w:r>
    </w:p>
  </w:endnote>
  <w:endnote w:type="continuationSeparator" w:id="0">
    <w:p w:rsidR="001842CA" w:rsidRDefault="001842CA" w:rsidP="00D179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5F7" w:rsidRDefault="003F35F7" w:rsidP="00F419C4">
    <w:pPr>
      <w:pStyle w:val="Pieddepage"/>
      <w:jc w:val="right"/>
    </w:pPr>
    <w:fldSimple w:instr=" PAGE   \* MERGEFORMAT ">
      <w:r w:rsidR="00633681">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2CA" w:rsidRDefault="001842CA" w:rsidP="00D179CC">
      <w:pPr>
        <w:spacing w:after="0" w:line="240" w:lineRule="auto"/>
      </w:pPr>
      <w:r>
        <w:separator/>
      </w:r>
    </w:p>
  </w:footnote>
  <w:footnote w:type="continuationSeparator" w:id="0">
    <w:p w:rsidR="001842CA" w:rsidRDefault="001842CA" w:rsidP="00D179CC">
      <w:pPr>
        <w:spacing w:after="0" w:line="240" w:lineRule="auto"/>
      </w:pPr>
      <w:r>
        <w:continuationSeparator/>
      </w:r>
    </w:p>
  </w:footnote>
  <w:footnote w:id="1">
    <w:p w:rsidR="003F35F7" w:rsidRDefault="003F35F7">
      <w:pPr>
        <w:pStyle w:val="Notedebasdepage"/>
      </w:pPr>
      <w:r>
        <w:rPr>
          <w:rStyle w:val="Appelnotedebasdep"/>
        </w:rPr>
        <w:footnoteRef/>
      </w:r>
      <w:r>
        <w:t xml:space="preserve"> </w:t>
      </w:r>
      <w:r w:rsidRPr="00000FE5">
        <w:t>formation brute du capital fixe + variation de stocks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5F7" w:rsidRDefault="00633681">
    <w:pPr>
      <w:pStyle w:val="En-tte"/>
    </w:pPr>
    <w:r>
      <w:rPr>
        <w:noProof/>
        <w:lang w:eastAsia="fr-FR"/>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2850" cy="9586595"/>
          <wp:effectExtent l="1905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srcRect b="4871"/>
                  <a:stretch>
                    <a:fillRect/>
                  </a:stretch>
                </pic:blipFill>
                <pic:spPr bwMode="auto">
                  <a:xfrm>
                    <a:off x="0" y="0"/>
                    <a:ext cx="7562850" cy="95865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71135"/>
    <w:multiLevelType w:val="hybridMultilevel"/>
    <w:tmpl w:val="1C8EE3B4"/>
    <w:lvl w:ilvl="0" w:tplc="D93A160C">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8C44FC9"/>
    <w:multiLevelType w:val="hybridMultilevel"/>
    <w:tmpl w:val="FD8EFA56"/>
    <w:lvl w:ilvl="0" w:tplc="70F871C0">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4D2663E8"/>
    <w:multiLevelType w:val="hybridMultilevel"/>
    <w:tmpl w:val="ED38FEEA"/>
    <w:lvl w:ilvl="0" w:tplc="E62CB204">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mailMerge>
    <w:mainDocumentType w:val="formLetters"/>
    <w:dataType w:val="textFile"/>
    <w:activeRecord w:val="-1"/>
    <w:odso/>
  </w:mailMerge>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5E5224"/>
    <w:rsid w:val="00000FE5"/>
    <w:rsid w:val="000011F0"/>
    <w:rsid w:val="000119DD"/>
    <w:rsid w:val="00013827"/>
    <w:rsid w:val="00016407"/>
    <w:rsid w:val="00023AD4"/>
    <w:rsid w:val="00025302"/>
    <w:rsid w:val="00027AE9"/>
    <w:rsid w:val="00035F1C"/>
    <w:rsid w:val="00041C46"/>
    <w:rsid w:val="00061E4C"/>
    <w:rsid w:val="00064C57"/>
    <w:rsid w:val="000671FC"/>
    <w:rsid w:val="00080377"/>
    <w:rsid w:val="00081576"/>
    <w:rsid w:val="00082204"/>
    <w:rsid w:val="00083DBB"/>
    <w:rsid w:val="00084ABE"/>
    <w:rsid w:val="000B08F5"/>
    <w:rsid w:val="000B4A0B"/>
    <w:rsid w:val="000C26C2"/>
    <w:rsid w:val="000C2962"/>
    <w:rsid w:val="000C2E79"/>
    <w:rsid w:val="000E7E05"/>
    <w:rsid w:val="000F1652"/>
    <w:rsid w:val="000F2B94"/>
    <w:rsid w:val="00101965"/>
    <w:rsid w:val="0010229F"/>
    <w:rsid w:val="001235DF"/>
    <w:rsid w:val="00124FC2"/>
    <w:rsid w:val="00126E31"/>
    <w:rsid w:val="00127ED7"/>
    <w:rsid w:val="0013022B"/>
    <w:rsid w:val="00142CC6"/>
    <w:rsid w:val="001541F6"/>
    <w:rsid w:val="00164531"/>
    <w:rsid w:val="00167FA7"/>
    <w:rsid w:val="00172F55"/>
    <w:rsid w:val="0017453B"/>
    <w:rsid w:val="00174C7F"/>
    <w:rsid w:val="00180257"/>
    <w:rsid w:val="00181D60"/>
    <w:rsid w:val="001842CA"/>
    <w:rsid w:val="00194195"/>
    <w:rsid w:val="001A29AC"/>
    <w:rsid w:val="001A321E"/>
    <w:rsid w:val="001B690C"/>
    <w:rsid w:val="001C2E7B"/>
    <w:rsid w:val="001C3296"/>
    <w:rsid w:val="001D4B25"/>
    <w:rsid w:val="001F4DEF"/>
    <w:rsid w:val="001F62FA"/>
    <w:rsid w:val="00217B4E"/>
    <w:rsid w:val="00221D4D"/>
    <w:rsid w:val="0022246D"/>
    <w:rsid w:val="002243F2"/>
    <w:rsid w:val="002260E7"/>
    <w:rsid w:val="00226E32"/>
    <w:rsid w:val="00230239"/>
    <w:rsid w:val="002306BD"/>
    <w:rsid w:val="00232FBE"/>
    <w:rsid w:val="00247171"/>
    <w:rsid w:val="00270137"/>
    <w:rsid w:val="002707F2"/>
    <w:rsid w:val="00290BDD"/>
    <w:rsid w:val="002936DF"/>
    <w:rsid w:val="002A31A6"/>
    <w:rsid w:val="002A34D8"/>
    <w:rsid w:val="002A57A2"/>
    <w:rsid w:val="002B19E1"/>
    <w:rsid w:val="002B4941"/>
    <w:rsid w:val="002B6D90"/>
    <w:rsid w:val="002C53C8"/>
    <w:rsid w:val="002C58D2"/>
    <w:rsid w:val="002E433D"/>
    <w:rsid w:val="002E4655"/>
    <w:rsid w:val="00306824"/>
    <w:rsid w:val="00315186"/>
    <w:rsid w:val="003151C3"/>
    <w:rsid w:val="00335E5C"/>
    <w:rsid w:val="00357F3B"/>
    <w:rsid w:val="0036089D"/>
    <w:rsid w:val="00382E07"/>
    <w:rsid w:val="0039137B"/>
    <w:rsid w:val="003B13C8"/>
    <w:rsid w:val="003C1F71"/>
    <w:rsid w:val="003D25A4"/>
    <w:rsid w:val="003E5553"/>
    <w:rsid w:val="003E5F82"/>
    <w:rsid w:val="003E6F61"/>
    <w:rsid w:val="003F35F7"/>
    <w:rsid w:val="003F5E7F"/>
    <w:rsid w:val="00400807"/>
    <w:rsid w:val="00405A09"/>
    <w:rsid w:val="004129A0"/>
    <w:rsid w:val="004145B7"/>
    <w:rsid w:val="00414E85"/>
    <w:rsid w:val="00437A03"/>
    <w:rsid w:val="00450132"/>
    <w:rsid w:val="0045501F"/>
    <w:rsid w:val="00461900"/>
    <w:rsid w:val="0046342C"/>
    <w:rsid w:val="0047219B"/>
    <w:rsid w:val="004763BD"/>
    <w:rsid w:val="00477293"/>
    <w:rsid w:val="00480B75"/>
    <w:rsid w:val="00490B84"/>
    <w:rsid w:val="004A33F5"/>
    <w:rsid w:val="004A5A61"/>
    <w:rsid w:val="004B581B"/>
    <w:rsid w:val="004B7905"/>
    <w:rsid w:val="004C1C5D"/>
    <w:rsid w:val="004C3540"/>
    <w:rsid w:val="004C484E"/>
    <w:rsid w:val="004C557B"/>
    <w:rsid w:val="004D51D0"/>
    <w:rsid w:val="004F15AC"/>
    <w:rsid w:val="004F2A0B"/>
    <w:rsid w:val="00500B11"/>
    <w:rsid w:val="00501661"/>
    <w:rsid w:val="005030FC"/>
    <w:rsid w:val="005105DB"/>
    <w:rsid w:val="00512677"/>
    <w:rsid w:val="00514452"/>
    <w:rsid w:val="00536869"/>
    <w:rsid w:val="00536B7E"/>
    <w:rsid w:val="00546AE1"/>
    <w:rsid w:val="00550F35"/>
    <w:rsid w:val="005515D5"/>
    <w:rsid w:val="00551E2E"/>
    <w:rsid w:val="005607C0"/>
    <w:rsid w:val="00564A0E"/>
    <w:rsid w:val="00573795"/>
    <w:rsid w:val="0058280B"/>
    <w:rsid w:val="00582A2D"/>
    <w:rsid w:val="00583637"/>
    <w:rsid w:val="00584DDF"/>
    <w:rsid w:val="00590F98"/>
    <w:rsid w:val="0059199D"/>
    <w:rsid w:val="005B0ACE"/>
    <w:rsid w:val="005B5D20"/>
    <w:rsid w:val="005D7376"/>
    <w:rsid w:val="005E0E17"/>
    <w:rsid w:val="005E3A25"/>
    <w:rsid w:val="005E5224"/>
    <w:rsid w:val="005E6273"/>
    <w:rsid w:val="005E7823"/>
    <w:rsid w:val="00612639"/>
    <w:rsid w:val="006132D3"/>
    <w:rsid w:val="0061494B"/>
    <w:rsid w:val="00617F8E"/>
    <w:rsid w:val="00620960"/>
    <w:rsid w:val="00622EA1"/>
    <w:rsid w:val="00626284"/>
    <w:rsid w:val="0062642C"/>
    <w:rsid w:val="00633681"/>
    <w:rsid w:val="00635A35"/>
    <w:rsid w:val="0064520B"/>
    <w:rsid w:val="00665A58"/>
    <w:rsid w:val="00683C0E"/>
    <w:rsid w:val="00691785"/>
    <w:rsid w:val="006A5BC1"/>
    <w:rsid w:val="006B31BB"/>
    <w:rsid w:val="006B547F"/>
    <w:rsid w:val="006C14B5"/>
    <w:rsid w:val="006C471B"/>
    <w:rsid w:val="006D4079"/>
    <w:rsid w:val="006E07B4"/>
    <w:rsid w:val="006E599D"/>
    <w:rsid w:val="00706B65"/>
    <w:rsid w:val="007110E0"/>
    <w:rsid w:val="00717B84"/>
    <w:rsid w:val="00720DA6"/>
    <w:rsid w:val="0072408F"/>
    <w:rsid w:val="0072525D"/>
    <w:rsid w:val="007264AA"/>
    <w:rsid w:val="0073147B"/>
    <w:rsid w:val="00757101"/>
    <w:rsid w:val="00760453"/>
    <w:rsid w:val="007625F8"/>
    <w:rsid w:val="00762A02"/>
    <w:rsid w:val="00763553"/>
    <w:rsid w:val="00763B7B"/>
    <w:rsid w:val="00781B3F"/>
    <w:rsid w:val="00783878"/>
    <w:rsid w:val="00791842"/>
    <w:rsid w:val="007A08D6"/>
    <w:rsid w:val="007A5F7C"/>
    <w:rsid w:val="007C50BE"/>
    <w:rsid w:val="007C5DA5"/>
    <w:rsid w:val="007C72EB"/>
    <w:rsid w:val="007F24A1"/>
    <w:rsid w:val="007F5CBF"/>
    <w:rsid w:val="008005F7"/>
    <w:rsid w:val="00800DF5"/>
    <w:rsid w:val="00800F01"/>
    <w:rsid w:val="0080226F"/>
    <w:rsid w:val="00821BFD"/>
    <w:rsid w:val="008429CA"/>
    <w:rsid w:val="00853737"/>
    <w:rsid w:val="008621F9"/>
    <w:rsid w:val="0086298C"/>
    <w:rsid w:val="0087334D"/>
    <w:rsid w:val="00882401"/>
    <w:rsid w:val="008851C9"/>
    <w:rsid w:val="00885237"/>
    <w:rsid w:val="00887FD4"/>
    <w:rsid w:val="00897AFA"/>
    <w:rsid w:val="008A526D"/>
    <w:rsid w:val="008C24F1"/>
    <w:rsid w:val="008D58E9"/>
    <w:rsid w:val="008E3364"/>
    <w:rsid w:val="008F3254"/>
    <w:rsid w:val="008F4CDC"/>
    <w:rsid w:val="00910865"/>
    <w:rsid w:val="009278DE"/>
    <w:rsid w:val="0096753D"/>
    <w:rsid w:val="00992E66"/>
    <w:rsid w:val="00997078"/>
    <w:rsid w:val="009C453E"/>
    <w:rsid w:val="009C744E"/>
    <w:rsid w:val="009D4B02"/>
    <w:rsid w:val="009D79D1"/>
    <w:rsid w:val="009E1F94"/>
    <w:rsid w:val="009F3820"/>
    <w:rsid w:val="00A019A9"/>
    <w:rsid w:val="00A0236F"/>
    <w:rsid w:val="00A12739"/>
    <w:rsid w:val="00A169B9"/>
    <w:rsid w:val="00A25815"/>
    <w:rsid w:val="00A26971"/>
    <w:rsid w:val="00A33D77"/>
    <w:rsid w:val="00A44EB1"/>
    <w:rsid w:val="00A459BE"/>
    <w:rsid w:val="00A51758"/>
    <w:rsid w:val="00A6658A"/>
    <w:rsid w:val="00A76D1C"/>
    <w:rsid w:val="00A806F5"/>
    <w:rsid w:val="00A9213C"/>
    <w:rsid w:val="00A955DA"/>
    <w:rsid w:val="00A97300"/>
    <w:rsid w:val="00AA2038"/>
    <w:rsid w:val="00AA20EF"/>
    <w:rsid w:val="00AA462D"/>
    <w:rsid w:val="00AA4D1A"/>
    <w:rsid w:val="00AB5AB5"/>
    <w:rsid w:val="00AC0A01"/>
    <w:rsid w:val="00AC21C7"/>
    <w:rsid w:val="00AC503B"/>
    <w:rsid w:val="00AC52F5"/>
    <w:rsid w:val="00AD3062"/>
    <w:rsid w:val="00AD7B3B"/>
    <w:rsid w:val="00AE0A03"/>
    <w:rsid w:val="00AE2A2A"/>
    <w:rsid w:val="00AE2BCF"/>
    <w:rsid w:val="00AE33DF"/>
    <w:rsid w:val="00AE5469"/>
    <w:rsid w:val="00AE5D1C"/>
    <w:rsid w:val="00AF283E"/>
    <w:rsid w:val="00B045BB"/>
    <w:rsid w:val="00B11D3B"/>
    <w:rsid w:val="00B35165"/>
    <w:rsid w:val="00B53C94"/>
    <w:rsid w:val="00B8111F"/>
    <w:rsid w:val="00B944CC"/>
    <w:rsid w:val="00BA0D7A"/>
    <w:rsid w:val="00BA37FC"/>
    <w:rsid w:val="00BA4A15"/>
    <w:rsid w:val="00BB4E56"/>
    <w:rsid w:val="00BB5128"/>
    <w:rsid w:val="00BC1532"/>
    <w:rsid w:val="00BC186B"/>
    <w:rsid w:val="00BD5827"/>
    <w:rsid w:val="00BD5F57"/>
    <w:rsid w:val="00BF427F"/>
    <w:rsid w:val="00BF4B4D"/>
    <w:rsid w:val="00BF63E6"/>
    <w:rsid w:val="00C10632"/>
    <w:rsid w:val="00C16515"/>
    <w:rsid w:val="00C31FE0"/>
    <w:rsid w:val="00C33EDF"/>
    <w:rsid w:val="00C4675E"/>
    <w:rsid w:val="00C51331"/>
    <w:rsid w:val="00C5772E"/>
    <w:rsid w:val="00C71A42"/>
    <w:rsid w:val="00C7647A"/>
    <w:rsid w:val="00C8250E"/>
    <w:rsid w:val="00CA3321"/>
    <w:rsid w:val="00CA6C74"/>
    <w:rsid w:val="00CB7BB2"/>
    <w:rsid w:val="00CC2061"/>
    <w:rsid w:val="00CC4182"/>
    <w:rsid w:val="00CC708A"/>
    <w:rsid w:val="00CD0A24"/>
    <w:rsid w:val="00CD7BDF"/>
    <w:rsid w:val="00CE0A27"/>
    <w:rsid w:val="00CF74D3"/>
    <w:rsid w:val="00D0369D"/>
    <w:rsid w:val="00D07674"/>
    <w:rsid w:val="00D07D16"/>
    <w:rsid w:val="00D179CC"/>
    <w:rsid w:val="00D21AF4"/>
    <w:rsid w:val="00D26BAC"/>
    <w:rsid w:val="00D27558"/>
    <w:rsid w:val="00D31036"/>
    <w:rsid w:val="00D40DF4"/>
    <w:rsid w:val="00D53769"/>
    <w:rsid w:val="00D53B43"/>
    <w:rsid w:val="00D54FA9"/>
    <w:rsid w:val="00D6635A"/>
    <w:rsid w:val="00D7209B"/>
    <w:rsid w:val="00D7295E"/>
    <w:rsid w:val="00D91AAD"/>
    <w:rsid w:val="00D91F54"/>
    <w:rsid w:val="00D975CA"/>
    <w:rsid w:val="00D97955"/>
    <w:rsid w:val="00DA147A"/>
    <w:rsid w:val="00DA185A"/>
    <w:rsid w:val="00DB2A2E"/>
    <w:rsid w:val="00DB5C38"/>
    <w:rsid w:val="00DE4490"/>
    <w:rsid w:val="00DE546A"/>
    <w:rsid w:val="00E01308"/>
    <w:rsid w:val="00E05794"/>
    <w:rsid w:val="00E05F09"/>
    <w:rsid w:val="00E216B8"/>
    <w:rsid w:val="00E31138"/>
    <w:rsid w:val="00E412D0"/>
    <w:rsid w:val="00E50596"/>
    <w:rsid w:val="00E51406"/>
    <w:rsid w:val="00E525AA"/>
    <w:rsid w:val="00E53DF0"/>
    <w:rsid w:val="00E71A62"/>
    <w:rsid w:val="00E80D9D"/>
    <w:rsid w:val="00E8358B"/>
    <w:rsid w:val="00E9415E"/>
    <w:rsid w:val="00E9752C"/>
    <w:rsid w:val="00E97FF5"/>
    <w:rsid w:val="00EA6BC5"/>
    <w:rsid w:val="00EB4907"/>
    <w:rsid w:val="00EB6DB0"/>
    <w:rsid w:val="00EC075A"/>
    <w:rsid w:val="00EC1CD1"/>
    <w:rsid w:val="00EC28E0"/>
    <w:rsid w:val="00EE17C6"/>
    <w:rsid w:val="00EE4DB6"/>
    <w:rsid w:val="00EF0C9A"/>
    <w:rsid w:val="00EF3EB5"/>
    <w:rsid w:val="00F037AA"/>
    <w:rsid w:val="00F058C4"/>
    <w:rsid w:val="00F06F35"/>
    <w:rsid w:val="00F11A4F"/>
    <w:rsid w:val="00F1441E"/>
    <w:rsid w:val="00F207E2"/>
    <w:rsid w:val="00F21E5B"/>
    <w:rsid w:val="00F223A1"/>
    <w:rsid w:val="00F334CB"/>
    <w:rsid w:val="00F419C4"/>
    <w:rsid w:val="00F709EC"/>
    <w:rsid w:val="00F71F1B"/>
    <w:rsid w:val="00F821CE"/>
    <w:rsid w:val="00F829E1"/>
    <w:rsid w:val="00F933AD"/>
    <w:rsid w:val="00FA2C4B"/>
    <w:rsid w:val="00FA61AD"/>
    <w:rsid w:val="00FA7DB4"/>
    <w:rsid w:val="00FB7287"/>
    <w:rsid w:val="00FC35C5"/>
    <w:rsid w:val="00FD2EA5"/>
    <w:rsid w:val="00FD6742"/>
    <w:rsid w:val="00FE7D0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A01"/>
    <w:pPr>
      <w:spacing w:after="200" w:line="276" w:lineRule="auto"/>
    </w:pPr>
    <w:rPr>
      <w:sz w:val="22"/>
      <w:szCs w:val="22"/>
      <w:lang w:eastAsia="en-US"/>
    </w:rPr>
  </w:style>
  <w:style w:type="paragraph" w:styleId="Titre2">
    <w:name w:val="heading 2"/>
    <w:basedOn w:val="Normal"/>
    <w:link w:val="Titre2Car"/>
    <w:uiPriority w:val="9"/>
    <w:qFormat/>
    <w:rsid w:val="00BC153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D179CC"/>
    <w:pPr>
      <w:tabs>
        <w:tab w:val="center" w:pos="4536"/>
        <w:tab w:val="right" w:pos="9072"/>
      </w:tabs>
    </w:pPr>
  </w:style>
  <w:style w:type="character" w:customStyle="1" w:styleId="En-tteCar">
    <w:name w:val="En-tête Car"/>
    <w:basedOn w:val="Policepardfaut"/>
    <w:link w:val="En-tte"/>
    <w:uiPriority w:val="99"/>
    <w:semiHidden/>
    <w:rsid w:val="00D179CC"/>
    <w:rPr>
      <w:sz w:val="22"/>
      <w:szCs w:val="22"/>
      <w:lang w:eastAsia="en-US"/>
    </w:rPr>
  </w:style>
  <w:style w:type="paragraph" w:styleId="Pieddepage">
    <w:name w:val="footer"/>
    <w:basedOn w:val="Normal"/>
    <w:link w:val="PieddepageCar"/>
    <w:uiPriority w:val="99"/>
    <w:unhideWhenUsed/>
    <w:rsid w:val="00D179CC"/>
    <w:pPr>
      <w:tabs>
        <w:tab w:val="center" w:pos="4536"/>
        <w:tab w:val="right" w:pos="9072"/>
      </w:tabs>
    </w:pPr>
  </w:style>
  <w:style w:type="character" w:customStyle="1" w:styleId="PieddepageCar">
    <w:name w:val="Pied de page Car"/>
    <w:basedOn w:val="Policepardfaut"/>
    <w:link w:val="Pieddepage"/>
    <w:uiPriority w:val="99"/>
    <w:rsid w:val="00D179CC"/>
    <w:rPr>
      <w:sz w:val="22"/>
      <w:szCs w:val="22"/>
      <w:lang w:eastAsia="en-US"/>
    </w:rPr>
  </w:style>
  <w:style w:type="paragraph" w:styleId="Notedebasdepage">
    <w:name w:val="footnote text"/>
    <w:basedOn w:val="Normal"/>
    <w:link w:val="NotedebasdepageCar"/>
    <w:uiPriority w:val="99"/>
    <w:semiHidden/>
    <w:unhideWhenUsed/>
    <w:rsid w:val="00000FE5"/>
    <w:rPr>
      <w:sz w:val="20"/>
      <w:szCs w:val="20"/>
    </w:rPr>
  </w:style>
  <w:style w:type="character" w:customStyle="1" w:styleId="NotedebasdepageCar">
    <w:name w:val="Note de bas de page Car"/>
    <w:basedOn w:val="Policepardfaut"/>
    <w:link w:val="Notedebasdepage"/>
    <w:uiPriority w:val="99"/>
    <w:semiHidden/>
    <w:rsid w:val="00000FE5"/>
    <w:rPr>
      <w:lang w:eastAsia="en-US"/>
    </w:rPr>
  </w:style>
  <w:style w:type="character" w:styleId="Appelnotedebasdep">
    <w:name w:val="footnote reference"/>
    <w:basedOn w:val="Policepardfaut"/>
    <w:uiPriority w:val="99"/>
    <w:semiHidden/>
    <w:unhideWhenUsed/>
    <w:rsid w:val="00000FE5"/>
    <w:rPr>
      <w:vertAlign w:val="superscript"/>
    </w:rPr>
  </w:style>
  <w:style w:type="character" w:customStyle="1" w:styleId="Titre2Car">
    <w:name w:val="Titre 2 Car"/>
    <w:basedOn w:val="Policepardfaut"/>
    <w:link w:val="Titre2"/>
    <w:uiPriority w:val="9"/>
    <w:rsid w:val="00BC1532"/>
    <w:rPr>
      <w:rFonts w:ascii="Times New Roman" w:eastAsia="Times New Roman" w:hAnsi="Times New Roman" w:cs="Times New Roman"/>
      <w:b/>
      <w:bCs/>
      <w:sz w:val="36"/>
      <w:szCs w:val="36"/>
    </w:rPr>
  </w:style>
  <w:style w:type="paragraph" w:styleId="Textedebulles">
    <w:name w:val="Balloon Text"/>
    <w:basedOn w:val="Normal"/>
    <w:link w:val="TextedebullesCar"/>
    <w:uiPriority w:val="99"/>
    <w:semiHidden/>
    <w:unhideWhenUsed/>
    <w:rsid w:val="0023023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023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202748839">
      <w:bodyDiv w:val="1"/>
      <w:marLeft w:val="0"/>
      <w:marRight w:val="0"/>
      <w:marTop w:val="0"/>
      <w:marBottom w:val="0"/>
      <w:divBdr>
        <w:top w:val="none" w:sz="0" w:space="0" w:color="auto"/>
        <w:left w:val="none" w:sz="0" w:space="0" w:color="auto"/>
        <w:bottom w:val="none" w:sz="0" w:space="0" w:color="auto"/>
        <w:right w:val="none" w:sz="0" w:space="0" w:color="auto"/>
      </w:divBdr>
    </w:div>
    <w:div w:id="170074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1C214B-3F7C-479E-9AFD-B56630B68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1665</Words>
  <Characters>9162</Characters>
  <Application>Microsoft Office Word</Application>
  <DocSecurity>4</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dc:creator>
  <cp:lastModifiedBy>user</cp:lastModifiedBy>
  <cp:revision>2</cp:revision>
  <cp:lastPrinted>2017-01-17T16:02:00Z</cp:lastPrinted>
  <dcterms:created xsi:type="dcterms:W3CDTF">2017-01-17T20:55:00Z</dcterms:created>
  <dcterms:modified xsi:type="dcterms:W3CDTF">2017-01-17T20:55:00Z</dcterms:modified>
</cp:coreProperties>
</file>